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p>
    <w:p>
      <w:pPr>
        <w:jc w:val="center"/>
      </w:pPr>
      <w:r>
        <w:rPr>
          <w:b/>
          <w:bCs/>
          <w:color w:val="1F3864"/>
          <w:sz w:val="56"/>
          <w:szCs w:val="56"/>
        </w:rPr>
        <w:t xml:space="preserve">ENTERPRISE ARCHITECTURE BLUEPRINT</w:t>
      </w:r>
    </w:p>
    <w:p>
      <w:pPr>
        <w:spacing w:before="200" w:after="100"/>
        <w:jc w:val="center"/>
      </w:pPr>
      <w:r>
        <w:rPr>
          <w:color w:val="2E75B6"/>
          <w:sz w:val="32"/>
          <w:szCs w:val="32"/>
        </w:rPr>
        <w:t xml:space="preserve">Cloud Accounting &amp; Business Management Platform</w:t>
      </w:r>
    </w:p>
    <w:p>
      <w:pPr>
        <w:spacing w:after="600"/>
        <w:jc w:val="center"/>
      </w:pPr>
      <w:r>
        <w:rPr>
          <w:i/>
          <w:iCs/>
          <w:color w:val="595959"/>
          <w:sz w:val="22"/>
          <w:szCs w:val="22"/>
        </w:rPr>
        <w:t xml:space="preserve">(Codename "Ledger" - Zoho Books-class product)</w:t>
      </w:r>
    </w:p>
    <w:p>
      <w:pPr>
        <w:spacing w:before="800" w:after="100"/>
        <w:jc w:val="center"/>
      </w:pPr>
      <w:r>
        <w:rPr>
          <w:b/>
          <w:bCs/>
          <w:color w:val="1F3864"/>
          <w:sz w:val="30"/>
          <w:szCs w:val="30"/>
        </w:rPr>
        <w:t xml:space="preserve">VOLUME 1 OF 9</w:t>
      </w:r>
    </w:p>
    <w:p>
      <w:pPr>
        <w:spacing w:after="100"/>
        <w:jc w:val="center"/>
      </w:pPr>
      <w:r>
        <w:rPr>
          <w:b/>
          <w:bCs/>
          <w:color w:val="2E75B6"/>
          <w:sz w:val="40"/>
          <w:szCs w:val="40"/>
        </w:rPr>
        <w:t xml:space="preserve">BUSINESS ARCHITECTURE</w:t>
      </w:r>
    </w:p>
    <w:p>
      <w:pPr>
        <w:spacing w:after="1200"/>
        <w:jc w:val="center"/>
      </w:pPr>
      <w:r>
        <w:rPr>
          <w:color w:val="595959"/>
          <w:sz w:val="22"/>
          <w:szCs w:val="22"/>
        </w:rPr>
        <w:t xml:space="preserve">Business Capability Model - Personas - Value Streams - Module Scope Catalog</w:t>
      </w:r>
    </w:p>
    <w:p>
      <w:pPr>
        <w:spacing w:before="400"/>
      </w:pP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Field</w:t>
            </w:r>
          </w:p>
        </w:tc>
        <w:tc>
          <w:tcPr>
            <w:tcW w:type="dxa" w:w="6350"/>
            <w:shd w:fill="1F3864" w:val="clear"/>
            <w:tcMar>
              <w:top w:type="dxa" w:w="80"/>
              <w:left w:type="dxa" w:w="100"/>
              <w:bottom w:type="dxa" w:w="80"/>
              <w:right w:type="dxa" w:w="100"/>
            </w:tcMar>
            <w:vAlign w:val="center"/>
          </w:tcPr>
          <w:p>
            <w:r>
              <w:rPr>
                <w:b/>
                <w:bCs/>
                <w:color w:val="FFFFFF"/>
                <w:sz w:val="19"/>
                <w:szCs w:val="19"/>
              </w:rPr>
              <w:t xml:space="preserve">Value</w:t>
            </w:r>
          </w:p>
        </w:tc>
      </w:tr>
      <w:tr>
        <w:tc>
          <w:tcPr>
            <w:tcW w:type="dxa" w:w="3000"/>
            <w:shd w:fill="FFFFFF" w:val="clear"/>
            <w:tcMar>
              <w:top w:type="dxa" w:w="70"/>
              <w:left w:type="dxa" w:w="100"/>
              <w:bottom w:type="dxa" w:w="70"/>
              <w:right w:type="dxa" w:w="100"/>
            </w:tcMar>
          </w:tcPr>
          <w:p>
            <w:r>
              <w:rPr>
                <w:sz w:val="19"/>
                <w:szCs w:val="19"/>
              </w:rPr>
              <w:t xml:space="preserve">Document Status</w:t>
            </w:r>
          </w:p>
        </w:tc>
        <w:tc>
          <w:tcPr>
            <w:tcW w:type="dxa" w:w="6350"/>
            <w:shd w:fill="FFFFFF" w:val="clear"/>
            <w:tcMar>
              <w:top w:type="dxa" w:w="70"/>
              <w:left w:type="dxa" w:w="100"/>
              <w:bottom w:type="dxa" w:w="70"/>
              <w:right w:type="dxa" w:w="100"/>
            </w:tcMar>
          </w:tcPr>
          <w:p>
            <w:r>
              <w:rPr>
                <w:sz w:val="19"/>
                <w:szCs w:val="19"/>
              </w:rPr>
              <w:t xml:space="preserve">Draft - v0.1 - Phase 1 of 9</w:t>
            </w:r>
          </w:p>
        </w:tc>
      </w:tr>
      <w:tr>
        <w:tc>
          <w:tcPr>
            <w:tcW w:type="dxa" w:w="3000"/>
            <w:shd w:fill="DCE6F1" w:val="clear"/>
            <w:tcMar>
              <w:top w:type="dxa" w:w="70"/>
              <w:left w:type="dxa" w:w="100"/>
              <w:bottom w:type="dxa" w:w="70"/>
              <w:right w:type="dxa" w:w="100"/>
            </w:tcMar>
          </w:tcPr>
          <w:p>
            <w:r>
              <w:rPr>
                <w:sz w:val="19"/>
                <w:szCs w:val="19"/>
              </w:rPr>
              <w:t xml:space="preserve">Prepared For</w:t>
            </w:r>
          </w:p>
        </w:tc>
        <w:tc>
          <w:tcPr>
            <w:tcW w:type="dxa" w:w="6350"/>
            <w:shd w:fill="DCE6F1" w:val="clear"/>
            <w:tcMar>
              <w:top w:type="dxa" w:w="70"/>
              <w:left w:type="dxa" w:w="100"/>
              <w:bottom w:type="dxa" w:w="70"/>
              <w:right w:type="dxa" w:w="100"/>
            </w:tcMar>
          </w:tcPr>
          <w:p>
            <w:r>
              <w:rPr>
                <w:sz w:val="19"/>
                <w:szCs w:val="19"/>
              </w:rPr>
              <w:t xml:space="preserve">caldim</w:t>
            </w:r>
          </w:p>
        </w:tc>
      </w:tr>
      <w:tr>
        <w:tc>
          <w:tcPr>
            <w:tcW w:type="dxa" w:w="3000"/>
            <w:shd w:fill="FFFFFF" w:val="clear"/>
            <w:tcMar>
              <w:top w:type="dxa" w:w="70"/>
              <w:left w:type="dxa" w:w="100"/>
              <w:bottom w:type="dxa" w:w="70"/>
              <w:right w:type="dxa" w:w="100"/>
            </w:tcMar>
          </w:tcPr>
          <w:p>
            <w:r>
              <w:rPr>
                <w:sz w:val="19"/>
                <w:szCs w:val="19"/>
              </w:rPr>
              <w:t xml:space="preserve">Prepared By</w:t>
            </w:r>
          </w:p>
        </w:tc>
        <w:tc>
          <w:tcPr>
            <w:tcW w:type="dxa" w:w="6350"/>
            <w:shd w:fill="FFFFFF" w:val="clear"/>
            <w:tcMar>
              <w:top w:type="dxa" w:w="70"/>
              <w:left w:type="dxa" w:w="100"/>
              <w:bottom w:type="dxa" w:w="70"/>
              <w:right w:type="dxa" w:w="100"/>
            </w:tcMar>
          </w:tcPr>
          <w:p>
            <w:r>
              <w:rPr>
                <w:sz w:val="19"/>
                <w:szCs w:val="19"/>
              </w:rPr>
              <w:t xml:space="preserve">Claude (Enterprise Architecture Assistant)</w:t>
            </w:r>
          </w:p>
        </w:tc>
      </w:tr>
      <w:tr>
        <w:tc>
          <w:tcPr>
            <w:tcW w:type="dxa" w:w="3000"/>
            <w:shd w:fill="DCE6F1" w:val="clear"/>
            <w:tcMar>
              <w:top w:type="dxa" w:w="70"/>
              <w:left w:type="dxa" w:w="100"/>
              <w:bottom w:type="dxa" w:w="70"/>
              <w:right w:type="dxa" w:w="100"/>
            </w:tcMar>
          </w:tcPr>
          <w:p>
            <w:r>
              <w:rPr>
                <w:sz w:val="19"/>
                <w:szCs w:val="19"/>
              </w:rPr>
              <w:t xml:space="preserve">Date</w:t>
            </w:r>
          </w:p>
        </w:tc>
        <w:tc>
          <w:tcPr>
            <w:tcW w:type="dxa" w:w="6350"/>
            <w:shd w:fill="DCE6F1" w:val="clear"/>
            <w:tcMar>
              <w:top w:type="dxa" w:w="70"/>
              <w:left w:type="dxa" w:w="100"/>
              <w:bottom w:type="dxa" w:w="70"/>
              <w:right w:type="dxa" w:w="100"/>
            </w:tcMar>
          </w:tcPr>
          <w:p>
            <w:r>
              <w:rPr>
                <w:sz w:val="19"/>
                <w:szCs w:val="19"/>
              </w:rPr>
              <w:t xml:space="preserve">13 July 2026</w:t>
            </w:r>
          </w:p>
        </w:tc>
      </w:tr>
      <w:tr>
        <w:tc>
          <w:tcPr>
            <w:tcW w:type="dxa" w:w="3000"/>
            <w:shd w:fill="FFFFFF" w:val="clear"/>
            <w:tcMar>
              <w:top w:type="dxa" w:w="70"/>
              <w:left w:type="dxa" w:w="100"/>
              <w:bottom w:type="dxa" w:w="70"/>
              <w:right w:type="dxa" w:w="100"/>
            </w:tcMar>
          </w:tcPr>
          <w:p>
            <w:r>
              <w:rPr>
                <w:sz w:val="19"/>
                <w:szCs w:val="19"/>
              </w:rPr>
              <w:t xml:space="preserve">Classification</w:t>
            </w:r>
          </w:p>
        </w:tc>
        <w:tc>
          <w:tcPr>
            <w:tcW w:type="dxa" w:w="6350"/>
            <w:shd w:fill="FFFFFF" w:val="clear"/>
            <w:tcMar>
              <w:top w:type="dxa" w:w="70"/>
              <w:left w:type="dxa" w:w="100"/>
              <w:bottom w:type="dxa" w:w="70"/>
              <w:right w:type="dxa" w:w="100"/>
            </w:tcMar>
          </w:tcPr>
          <w:p>
            <w:r>
              <w:rPr>
                <w:sz w:val="19"/>
                <w:szCs w:val="19"/>
              </w:rPr>
              <w:t xml:space="preserve">Internal - Pre-Development Planning</w:t>
            </w:r>
          </w:p>
        </w:tc>
      </w:tr>
      <w:tr>
        <w:tc>
          <w:tcPr>
            <w:tcW w:type="dxa" w:w="3000"/>
            <w:shd w:fill="DCE6F1" w:val="clear"/>
            <w:tcMar>
              <w:top w:type="dxa" w:w="70"/>
              <w:left w:type="dxa" w:w="100"/>
              <w:bottom w:type="dxa" w:w="70"/>
              <w:right w:type="dxa" w:w="100"/>
            </w:tcMar>
          </w:tcPr>
          <w:p>
            <w:r>
              <w:rPr>
                <w:sz w:val="19"/>
                <w:szCs w:val="19"/>
              </w:rPr>
              <w:t xml:space="preserve">Companion Volumes</w:t>
            </w:r>
          </w:p>
        </w:tc>
        <w:tc>
          <w:tcPr>
            <w:tcW w:type="dxa" w:w="6350"/>
            <w:shd w:fill="DCE6F1" w:val="clear"/>
            <w:tcMar>
              <w:top w:type="dxa" w:w="70"/>
              <w:left w:type="dxa" w:w="100"/>
              <w:bottom w:type="dxa" w:w="70"/>
              <w:right w:type="dxa" w:w="100"/>
            </w:tcMar>
          </w:tcPr>
          <w:p>
            <w:r>
              <w:rPr>
                <w:sz w:val="19"/>
                <w:szCs w:val="19"/>
              </w:rPr>
              <w:t xml:space="preserve">Vol. 2 Application Architecture; Vol. 3 Technical Architecture; Vol. 4 Infrastructure; Vol. 5 Security Architecture; Vol. 6 Data Architecture; Vol. 7 Integration Architecture; Vol. 8 Deployment &amp; DevOps; Vol. 9 Testing &amp; QA</w:t>
            </w:r>
          </w:p>
        </w:tc>
      </w:tr>
    </w:tbl>
    <w:p>
      <w:r>
        <w:br w:type="page"/>
      </w:r>
    </w:p>
    <w:p>
      <w:pPr>
        <w:pStyle w:val="Heading1"/>
        <w:spacing w:before="400" w:after="200"/>
      </w:pPr>
      <w:r>
        <w:rPr>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b/>
          <w:bCs/>
          <w:color w:val="1F3864"/>
          <w:sz w:val="32"/>
          <w:szCs w:val="32"/>
        </w:rPr>
        <w:t xml:space="preserve">1. Introduction &amp; Program Overview</w:t>
      </w:r>
    </w:p>
    <w:p>
      <w:pPr>
        <w:pStyle w:val="Heading2"/>
        <w:spacing w:before="300" w:after="150"/>
      </w:pPr>
      <w:r>
        <w:rPr>
          <w:b/>
          <w:bCs/>
          <w:color w:val="2E75B6"/>
          <w:sz w:val="26"/>
          <w:szCs w:val="26"/>
        </w:rPr>
        <w:t xml:space="preserve">1.1 Purpose of This Document</w:t>
      </w:r>
    </w:p>
    <w:p>
      <w:pPr>
        <w:spacing w:after="160" w:line="276"/>
      </w:pPr>
      <w:r>
        <w:rPr>
          <w:b w:val="false"/>
          <w:bCs w:val="false"/>
          <w:i w:val="false"/>
          <w:iCs w:val="false"/>
          <w:color w:val="1A1A1A"/>
          <w:sz w:val="22"/>
          <w:szCs w:val="22"/>
        </w:rPr>
        <w:t xml:space="preserve">This volume is the Business Architecture layer of a nine-volume Enterprise Architecture Blueprint for a cloud accounting and business-management platform positioned as a functional peer to Zoho Books. It establishes the business capability model, stakeholder personas, value streams, and scoped module catalog that every downstream artifact - the BRD, SRS, FRS, Database Design Document, UI/UX Specification, API Design Document, Security Architecture, Testing &amp; QA Specification, and Deployment &amp; DevOps Guide - must trace back to.</w:t>
      </w:r>
    </w:p>
    <w:p>
      <w:pPr>
        <w:spacing w:after="160" w:line="276"/>
      </w:pPr>
      <w:r>
        <w:rPr>
          <w:b w:val="false"/>
          <w:bCs w:val="false"/>
          <w:i w:val="false"/>
          <w:iCs w:val="false"/>
          <w:color w:val="1A1A1A"/>
          <w:sz w:val="22"/>
          <w:szCs w:val="22"/>
        </w:rPr>
        <w:t xml:space="preserve">Enterprise architecture programs at this scale fail most often not from a lack of diagrams but from an absence of a shared, unambiguous definition of "what the business does" before anyone designs "how the system does it." This document exists to remove that ambiguity. Every capability, persona, and value stream defined here becomes a first-class, numbered reference (e.g. BC-04.2, VS-03, PER-06) that later volumes cite directly, so a requirement in the SRS or a table in the DDD can always be traced back to a business reason for existing.</w:t>
      </w:r>
    </w:p>
    <w:p>
      <w:pPr>
        <w:pStyle w:val="Heading2"/>
        <w:spacing w:before="300" w:after="150"/>
      </w:pPr>
      <w:r>
        <w:rPr>
          <w:b/>
          <w:bCs/>
          <w:color w:val="2E75B6"/>
          <w:sz w:val="26"/>
          <w:szCs w:val="26"/>
        </w:rPr>
        <w:t xml:space="preserve">1.2 Relationship to the Full Blueprint</w:t>
      </w:r>
    </w:p>
    <w:p>
      <w:pPr>
        <w:spacing w:after="160" w:line="276"/>
      </w:pPr>
      <w:r>
        <w:rPr>
          <w:b w:val="false"/>
          <w:bCs w:val="false"/>
          <w:i w:val="false"/>
          <w:iCs w:val="false"/>
          <w:color w:val="1A1A1A"/>
          <w:sz w:val="22"/>
          <w:szCs w:val="22"/>
        </w:rPr>
        <w:t xml:space="preserve">The full blueprint is being produced in phases, one architectural domain at a time, with review and sign-off between phases so each subsequent volume builds on agreed, stable foundations rather than assumptions. The nine volumes and their dependency order are: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2200"/>
        <w:gridCol w:w="2050"/>
      </w:tblGrid>
      <w:tr>
        <w:trPr>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w:t>
            </w:r>
          </w:p>
        </w:tc>
        <w:tc>
          <w:tcPr>
            <w:tcW w:type="dxa" w:w="4600"/>
            <w:shd w:fill="1F3864" w:val="clear"/>
            <w:tcMar>
              <w:top w:type="dxa" w:w="80"/>
              <w:left w:type="dxa" w:w="100"/>
              <w:bottom w:type="dxa" w:w="80"/>
              <w:right w:type="dxa" w:w="100"/>
            </w:tcMar>
            <w:vAlign w:val="center"/>
          </w:tcPr>
          <w:p>
            <w:r>
              <w:rPr>
                <w:b/>
                <w:bCs/>
                <w:color w:val="FFFFFF"/>
                <w:sz w:val="19"/>
                <w:szCs w:val="19"/>
              </w:rPr>
              <w:t xml:space="preserve">Volume</w:t>
            </w:r>
          </w:p>
        </w:tc>
        <w:tc>
          <w:tcPr>
            <w:tcW w:type="dxa" w:w="2200"/>
            <w:shd w:fill="1F3864" w:val="clear"/>
            <w:tcMar>
              <w:top w:type="dxa" w:w="80"/>
              <w:left w:type="dxa" w:w="100"/>
              <w:bottom w:type="dxa" w:w="80"/>
              <w:right w:type="dxa" w:w="100"/>
            </w:tcMar>
            <w:vAlign w:val="center"/>
          </w:tcPr>
          <w:p>
            <w:r>
              <w:rPr>
                <w:b/>
                <w:bCs/>
                <w:color w:val="FFFFFF"/>
                <w:sz w:val="19"/>
                <w:szCs w:val="19"/>
              </w:rPr>
              <w:t xml:space="preserve">Depends On</w:t>
            </w:r>
          </w:p>
        </w:tc>
        <w:tc>
          <w:tcPr>
            <w:tcW w:type="dxa" w:w="2050"/>
            <w:shd w:fill="1F3864" w:val="clear"/>
            <w:tcMar>
              <w:top w:type="dxa" w:w="80"/>
              <w:left w:type="dxa" w:w="100"/>
              <w:bottom w:type="dxa" w:w="80"/>
              <w:right w:type="dxa" w:w="100"/>
            </w:tcMar>
            <w:vAlign w:val="center"/>
          </w:tcPr>
          <w:p>
            <w:r>
              <w:rPr>
                <w:b/>
                <w:bCs/>
                <w:color w:val="FFFFFF"/>
                <w:sz w:val="19"/>
                <w:szCs w:val="19"/>
              </w:rPr>
              <w:t xml:space="preserve">Status</w:t>
            </w:r>
          </w:p>
        </w:tc>
      </w:tr>
      <w:tr>
        <w:tc>
          <w:tcPr>
            <w:tcW w:type="dxa" w:w="500"/>
            <w:shd w:fill="FFFFFF" w:val="clear"/>
            <w:tcMar>
              <w:top w:type="dxa" w:w="70"/>
              <w:left w:type="dxa" w:w="100"/>
              <w:bottom w:type="dxa" w:w="70"/>
              <w:right w:type="dxa" w:w="100"/>
            </w:tcMar>
          </w:tcPr>
          <w:p>
            <w:r>
              <w:rPr>
                <w:sz w:val="19"/>
                <w:szCs w:val="19"/>
              </w:rPr>
              <w:t xml:space="preserve">1</w:t>
            </w:r>
          </w:p>
        </w:tc>
        <w:tc>
          <w:tcPr>
            <w:tcW w:type="dxa" w:w="4600"/>
            <w:shd w:fill="FFFFFF" w:val="clear"/>
            <w:tcMar>
              <w:top w:type="dxa" w:w="70"/>
              <w:left w:type="dxa" w:w="100"/>
              <w:bottom w:type="dxa" w:w="70"/>
              <w:right w:type="dxa" w:w="100"/>
            </w:tcMar>
          </w:tcPr>
          <w:p>
            <w:r>
              <w:rPr>
                <w:sz w:val="19"/>
                <w:szCs w:val="19"/>
              </w:rPr>
              <w:t xml:space="preserve">Business Architecture (this document)</w:t>
            </w:r>
          </w:p>
        </w:tc>
        <w:tc>
          <w:tcPr>
            <w:tcW w:type="dxa" w:w="2200"/>
            <w:shd w:fill="FFFFFF" w:val="clear"/>
            <w:tcMar>
              <w:top w:type="dxa" w:w="70"/>
              <w:left w:type="dxa" w:w="100"/>
              <w:bottom w:type="dxa" w:w="70"/>
              <w:right w:type="dxa" w:w="100"/>
            </w:tcMar>
          </w:tcPr>
          <w:p>
            <w:r>
              <w:rPr>
                <w:sz w:val="19"/>
                <w:szCs w:val="19"/>
              </w:rPr>
              <w:t xml:space="preserve">-</w:t>
            </w:r>
          </w:p>
        </w:tc>
        <w:tc>
          <w:tcPr>
            <w:tcW w:type="dxa" w:w="2050"/>
            <w:shd w:fill="FFFFFF" w:val="clear"/>
            <w:tcMar>
              <w:top w:type="dxa" w:w="70"/>
              <w:left w:type="dxa" w:w="100"/>
              <w:bottom w:type="dxa" w:w="70"/>
              <w:right w:type="dxa" w:w="100"/>
            </w:tcMar>
          </w:tcPr>
          <w:p>
            <w:r>
              <w:rPr>
                <w:sz w:val="19"/>
                <w:szCs w:val="19"/>
              </w:rPr>
              <w:t xml:space="preserve">Draft, in review</w:t>
            </w:r>
          </w:p>
        </w:tc>
      </w:tr>
      <w:tr>
        <w:tc>
          <w:tcPr>
            <w:tcW w:type="dxa" w:w="500"/>
            <w:shd w:fill="DCE6F1" w:val="clear"/>
            <w:tcMar>
              <w:top w:type="dxa" w:w="70"/>
              <w:left w:type="dxa" w:w="100"/>
              <w:bottom w:type="dxa" w:w="70"/>
              <w:right w:type="dxa" w:w="100"/>
            </w:tcMar>
          </w:tcPr>
          <w:p>
            <w:r>
              <w:rPr>
                <w:sz w:val="19"/>
                <w:szCs w:val="19"/>
              </w:rPr>
              <w:t xml:space="preserve">2</w:t>
            </w:r>
          </w:p>
        </w:tc>
        <w:tc>
          <w:tcPr>
            <w:tcW w:type="dxa" w:w="4600"/>
            <w:shd w:fill="DCE6F1" w:val="clear"/>
            <w:tcMar>
              <w:top w:type="dxa" w:w="70"/>
              <w:left w:type="dxa" w:w="100"/>
              <w:bottom w:type="dxa" w:w="70"/>
              <w:right w:type="dxa" w:w="100"/>
            </w:tcMar>
          </w:tcPr>
          <w:p>
            <w:r>
              <w:rPr>
                <w:sz w:val="19"/>
                <w:szCs w:val="19"/>
              </w:rPr>
              <w:t xml:space="preserve">Application Architecture (module boundaries, DDD, C4 diagrams)</w:t>
            </w:r>
          </w:p>
        </w:tc>
        <w:tc>
          <w:tcPr>
            <w:tcW w:type="dxa" w:w="2200"/>
            <w:shd w:fill="DCE6F1" w:val="clear"/>
            <w:tcMar>
              <w:top w:type="dxa" w:w="70"/>
              <w:left w:type="dxa" w:w="100"/>
              <w:bottom w:type="dxa" w:w="70"/>
              <w:right w:type="dxa" w:w="100"/>
            </w:tcMar>
          </w:tcPr>
          <w:p>
            <w:r>
              <w:rPr>
                <w:sz w:val="19"/>
                <w:szCs w:val="19"/>
              </w:rPr>
              <w:t xml:space="preserve">Vol. 1</w:t>
            </w:r>
          </w:p>
        </w:tc>
        <w:tc>
          <w:tcPr>
            <w:tcW w:type="dxa" w:w="2050"/>
            <w:shd w:fill="DCE6F1" w:val="clear"/>
            <w:tcMar>
              <w:top w:type="dxa" w:w="70"/>
              <w:left w:type="dxa" w:w="100"/>
              <w:bottom w:type="dxa" w:w="70"/>
              <w:right w:type="dxa" w:w="100"/>
            </w:tcMar>
          </w:tcPr>
          <w:p>
            <w:r>
              <w:rPr>
                <w:sz w:val="19"/>
                <w:szCs w:val="19"/>
              </w:rPr>
              <w:t xml:space="preserve">Not started</w:t>
            </w:r>
          </w:p>
        </w:tc>
      </w:tr>
      <w:tr>
        <w:tc>
          <w:tcPr>
            <w:tcW w:type="dxa" w:w="500"/>
            <w:shd w:fill="FFFFFF" w:val="clear"/>
            <w:tcMar>
              <w:top w:type="dxa" w:w="70"/>
              <w:left w:type="dxa" w:w="100"/>
              <w:bottom w:type="dxa" w:w="70"/>
              <w:right w:type="dxa" w:w="100"/>
            </w:tcMar>
          </w:tcPr>
          <w:p>
            <w:r>
              <w:rPr>
                <w:sz w:val="19"/>
                <w:szCs w:val="19"/>
              </w:rPr>
              <w:t xml:space="preserve">3</w:t>
            </w:r>
          </w:p>
        </w:tc>
        <w:tc>
          <w:tcPr>
            <w:tcW w:type="dxa" w:w="4600"/>
            <w:shd w:fill="FFFFFF" w:val="clear"/>
            <w:tcMar>
              <w:top w:type="dxa" w:w="70"/>
              <w:left w:type="dxa" w:w="100"/>
              <w:bottom w:type="dxa" w:w="70"/>
              <w:right w:type="dxa" w:w="100"/>
            </w:tcMar>
          </w:tcPr>
          <w:p>
            <w:r>
              <w:rPr>
                <w:sz w:val="19"/>
                <w:szCs w:val="19"/>
              </w:rPr>
              <w:t xml:space="preserve">Technical Architecture (stack, coding standards, folder structure)</w:t>
            </w:r>
          </w:p>
        </w:tc>
        <w:tc>
          <w:tcPr>
            <w:tcW w:type="dxa" w:w="2200"/>
            <w:shd w:fill="FFFFFF" w:val="clear"/>
            <w:tcMar>
              <w:top w:type="dxa" w:w="70"/>
              <w:left w:type="dxa" w:w="100"/>
              <w:bottom w:type="dxa" w:w="70"/>
              <w:right w:type="dxa" w:w="100"/>
            </w:tcMar>
          </w:tcPr>
          <w:p>
            <w:r>
              <w:rPr>
                <w:sz w:val="19"/>
                <w:szCs w:val="19"/>
              </w:rPr>
              <w:t xml:space="preserve">Vol. 1, 2</w:t>
            </w:r>
          </w:p>
        </w:tc>
        <w:tc>
          <w:tcPr>
            <w:tcW w:type="dxa" w:w="2050"/>
            <w:shd w:fill="FFFFFF" w:val="clear"/>
            <w:tcMar>
              <w:top w:type="dxa" w:w="70"/>
              <w:left w:type="dxa" w:w="100"/>
              <w:bottom w:type="dxa" w:w="70"/>
              <w:right w:type="dxa" w:w="100"/>
            </w:tcMar>
          </w:tcPr>
          <w:p>
            <w:r>
              <w:rPr>
                <w:sz w:val="19"/>
                <w:szCs w:val="19"/>
              </w:rPr>
              <w:t xml:space="preserve">Not started</w:t>
            </w:r>
          </w:p>
        </w:tc>
      </w:tr>
      <w:tr>
        <w:tc>
          <w:tcPr>
            <w:tcW w:type="dxa" w:w="500"/>
            <w:shd w:fill="DCE6F1" w:val="clear"/>
            <w:tcMar>
              <w:top w:type="dxa" w:w="70"/>
              <w:left w:type="dxa" w:w="100"/>
              <w:bottom w:type="dxa" w:w="70"/>
              <w:right w:type="dxa" w:w="100"/>
            </w:tcMar>
          </w:tcPr>
          <w:p>
            <w:r>
              <w:rPr>
                <w:sz w:val="19"/>
                <w:szCs w:val="19"/>
              </w:rPr>
              <w:t xml:space="preserve">4</w:t>
            </w:r>
          </w:p>
        </w:tc>
        <w:tc>
          <w:tcPr>
            <w:tcW w:type="dxa" w:w="4600"/>
            <w:shd w:fill="DCE6F1" w:val="clear"/>
            <w:tcMar>
              <w:top w:type="dxa" w:w="70"/>
              <w:left w:type="dxa" w:w="100"/>
              <w:bottom w:type="dxa" w:w="70"/>
              <w:right w:type="dxa" w:w="100"/>
            </w:tcMar>
          </w:tcPr>
          <w:p>
            <w:r>
              <w:rPr>
                <w:sz w:val="19"/>
                <w:szCs w:val="19"/>
              </w:rPr>
              <w:t xml:space="preserve">Data Architecture (ERD, schema, multi-tenancy data model)</w:t>
            </w:r>
          </w:p>
        </w:tc>
        <w:tc>
          <w:tcPr>
            <w:tcW w:type="dxa" w:w="2200"/>
            <w:shd w:fill="DCE6F1" w:val="clear"/>
            <w:tcMar>
              <w:top w:type="dxa" w:w="70"/>
              <w:left w:type="dxa" w:w="100"/>
              <w:bottom w:type="dxa" w:w="70"/>
              <w:right w:type="dxa" w:w="100"/>
            </w:tcMar>
          </w:tcPr>
          <w:p>
            <w:r>
              <w:rPr>
                <w:sz w:val="19"/>
                <w:szCs w:val="19"/>
              </w:rPr>
              <w:t xml:space="preserve">Vol. 1, 2</w:t>
            </w:r>
          </w:p>
        </w:tc>
        <w:tc>
          <w:tcPr>
            <w:tcW w:type="dxa" w:w="2050"/>
            <w:shd w:fill="DCE6F1" w:val="clear"/>
            <w:tcMar>
              <w:top w:type="dxa" w:w="70"/>
              <w:left w:type="dxa" w:w="100"/>
              <w:bottom w:type="dxa" w:w="70"/>
              <w:right w:type="dxa" w:w="100"/>
            </w:tcMar>
          </w:tcPr>
          <w:p>
            <w:r>
              <w:rPr>
                <w:sz w:val="19"/>
                <w:szCs w:val="19"/>
              </w:rPr>
              <w:t xml:space="preserve">Not started</w:t>
            </w:r>
          </w:p>
        </w:tc>
      </w:tr>
      <w:tr>
        <w:tc>
          <w:tcPr>
            <w:tcW w:type="dxa" w:w="500"/>
            <w:shd w:fill="FFFFFF" w:val="clear"/>
            <w:tcMar>
              <w:top w:type="dxa" w:w="70"/>
              <w:left w:type="dxa" w:w="100"/>
              <w:bottom w:type="dxa" w:w="70"/>
              <w:right w:type="dxa" w:w="100"/>
            </w:tcMar>
          </w:tcPr>
          <w:p>
            <w:r>
              <w:rPr>
                <w:sz w:val="19"/>
                <w:szCs w:val="19"/>
              </w:rPr>
              <w:t xml:space="preserve">5</w:t>
            </w:r>
          </w:p>
        </w:tc>
        <w:tc>
          <w:tcPr>
            <w:tcW w:type="dxa" w:w="4600"/>
            <w:shd w:fill="FFFFFF" w:val="clear"/>
            <w:tcMar>
              <w:top w:type="dxa" w:w="70"/>
              <w:left w:type="dxa" w:w="100"/>
              <w:bottom w:type="dxa" w:w="70"/>
              <w:right w:type="dxa" w:w="100"/>
            </w:tcMar>
          </w:tcPr>
          <w:p>
            <w:r>
              <w:rPr>
                <w:sz w:val="19"/>
                <w:szCs w:val="19"/>
              </w:rPr>
              <w:t xml:space="preserve">Integration Architecture (banking, payments, tax, e-commerce)</w:t>
            </w:r>
          </w:p>
        </w:tc>
        <w:tc>
          <w:tcPr>
            <w:tcW w:type="dxa" w:w="2200"/>
            <w:shd w:fill="FFFFFF" w:val="clear"/>
            <w:tcMar>
              <w:top w:type="dxa" w:w="70"/>
              <w:left w:type="dxa" w:w="100"/>
              <w:bottom w:type="dxa" w:w="70"/>
              <w:right w:type="dxa" w:w="100"/>
            </w:tcMar>
          </w:tcPr>
          <w:p>
            <w:r>
              <w:rPr>
                <w:sz w:val="19"/>
                <w:szCs w:val="19"/>
              </w:rPr>
              <w:t xml:space="preserve">Vol. 1, 2</w:t>
            </w:r>
          </w:p>
        </w:tc>
        <w:tc>
          <w:tcPr>
            <w:tcW w:type="dxa" w:w="2050"/>
            <w:shd w:fill="FFFFFF" w:val="clear"/>
            <w:tcMar>
              <w:top w:type="dxa" w:w="70"/>
              <w:left w:type="dxa" w:w="100"/>
              <w:bottom w:type="dxa" w:w="70"/>
              <w:right w:type="dxa" w:w="100"/>
            </w:tcMar>
          </w:tcPr>
          <w:p>
            <w:r>
              <w:rPr>
                <w:sz w:val="19"/>
                <w:szCs w:val="19"/>
              </w:rPr>
              <w:t xml:space="preserve">Not started</w:t>
            </w:r>
          </w:p>
        </w:tc>
      </w:tr>
      <w:tr>
        <w:tc>
          <w:tcPr>
            <w:tcW w:type="dxa" w:w="500"/>
            <w:shd w:fill="DCE6F1" w:val="clear"/>
            <w:tcMar>
              <w:top w:type="dxa" w:w="70"/>
              <w:left w:type="dxa" w:w="100"/>
              <w:bottom w:type="dxa" w:w="70"/>
              <w:right w:type="dxa" w:w="100"/>
            </w:tcMar>
          </w:tcPr>
          <w:p>
            <w:r>
              <w:rPr>
                <w:sz w:val="19"/>
                <w:szCs w:val="19"/>
              </w:rPr>
              <w:t xml:space="preserve">6</w:t>
            </w:r>
          </w:p>
        </w:tc>
        <w:tc>
          <w:tcPr>
            <w:tcW w:type="dxa" w:w="4600"/>
            <w:shd w:fill="DCE6F1" w:val="clear"/>
            <w:tcMar>
              <w:top w:type="dxa" w:w="70"/>
              <w:left w:type="dxa" w:w="100"/>
              <w:bottom w:type="dxa" w:w="70"/>
              <w:right w:type="dxa" w:w="100"/>
            </w:tcMar>
          </w:tcPr>
          <w:p>
            <w:r>
              <w:rPr>
                <w:sz w:val="19"/>
                <w:szCs w:val="19"/>
              </w:rPr>
              <w:t xml:space="preserve">Security Architecture (threat model, IAM, compliance controls)</w:t>
            </w:r>
          </w:p>
        </w:tc>
        <w:tc>
          <w:tcPr>
            <w:tcW w:type="dxa" w:w="2200"/>
            <w:shd w:fill="DCE6F1" w:val="clear"/>
            <w:tcMar>
              <w:top w:type="dxa" w:w="70"/>
              <w:left w:type="dxa" w:w="100"/>
              <w:bottom w:type="dxa" w:w="70"/>
              <w:right w:type="dxa" w:w="100"/>
            </w:tcMar>
          </w:tcPr>
          <w:p>
            <w:r>
              <w:rPr>
                <w:sz w:val="19"/>
                <w:szCs w:val="19"/>
              </w:rPr>
              <w:t xml:space="preserve">Vol. 1-5</w:t>
            </w:r>
          </w:p>
        </w:tc>
        <w:tc>
          <w:tcPr>
            <w:tcW w:type="dxa" w:w="2050"/>
            <w:shd w:fill="DCE6F1" w:val="clear"/>
            <w:tcMar>
              <w:top w:type="dxa" w:w="70"/>
              <w:left w:type="dxa" w:w="100"/>
              <w:bottom w:type="dxa" w:w="70"/>
              <w:right w:type="dxa" w:w="100"/>
            </w:tcMar>
          </w:tcPr>
          <w:p>
            <w:r>
              <w:rPr>
                <w:sz w:val="19"/>
                <w:szCs w:val="19"/>
              </w:rPr>
              <w:t xml:space="preserve">Not started</w:t>
            </w:r>
          </w:p>
        </w:tc>
      </w:tr>
      <w:tr>
        <w:tc>
          <w:tcPr>
            <w:tcW w:type="dxa" w:w="500"/>
            <w:shd w:fill="FFFFFF" w:val="clear"/>
            <w:tcMar>
              <w:top w:type="dxa" w:w="70"/>
              <w:left w:type="dxa" w:w="100"/>
              <w:bottom w:type="dxa" w:w="70"/>
              <w:right w:type="dxa" w:w="100"/>
            </w:tcMar>
          </w:tcPr>
          <w:p>
            <w:r>
              <w:rPr>
                <w:sz w:val="19"/>
                <w:szCs w:val="19"/>
              </w:rPr>
              <w:t xml:space="preserve">7</w:t>
            </w:r>
          </w:p>
        </w:tc>
        <w:tc>
          <w:tcPr>
            <w:tcW w:type="dxa" w:w="4600"/>
            <w:shd w:fill="FFFFFF" w:val="clear"/>
            <w:tcMar>
              <w:top w:type="dxa" w:w="70"/>
              <w:left w:type="dxa" w:w="100"/>
              <w:bottom w:type="dxa" w:w="70"/>
              <w:right w:type="dxa" w:w="100"/>
            </w:tcMar>
          </w:tcPr>
          <w:p>
            <w:r>
              <w:rPr>
                <w:sz w:val="19"/>
                <w:szCs w:val="19"/>
              </w:rPr>
              <w:t xml:space="preserve">Infrastructure &amp; Deployment Architecture (CI/CD, DR, observability)</w:t>
            </w:r>
          </w:p>
        </w:tc>
        <w:tc>
          <w:tcPr>
            <w:tcW w:type="dxa" w:w="2200"/>
            <w:shd w:fill="FFFFFF" w:val="clear"/>
            <w:tcMar>
              <w:top w:type="dxa" w:w="70"/>
              <w:left w:type="dxa" w:w="100"/>
              <w:bottom w:type="dxa" w:w="70"/>
              <w:right w:type="dxa" w:w="100"/>
            </w:tcMar>
          </w:tcPr>
          <w:p>
            <w:r>
              <w:rPr>
                <w:sz w:val="19"/>
                <w:szCs w:val="19"/>
              </w:rPr>
              <w:t xml:space="preserve">Vol. 2-6</w:t>
            </w:r>
          </w:p>
        </w:tc>
        <w:tc>
          <w:tcPr>
            <w:tcW w:type="dxa" w:w="2050"/>
            <w:shd w:fill="FFFFFF" w:val="clear"/>
            <w:tcMar>
              <w:top w:type="dxa" w:w="70"/>
              <w:left w:type="dxa" w:w="100"/>
              <w:bottom w:type="dxa" w:w="70"/>
              <w:right w:type="dxa" w:w="100"/>
            </w:tcMar>
          </w:tcPr>
          <w:p>
            <w:r>
              <w:rPr>
                <w:sz w:val="19"/>
                <w:szCs w:val="19"/>
              </w:rPr>
              <w:t xml:space="preserve">Not started</w:t>
            </w:r>
          </w:p>
        </w:tc>
      </w:tr>
      <w:tr>
        <w:tc>
          <w:tcPr>
            <w:tcW w:type="dxa" w:w="500"/>
            <w:shd w:fill="DCE6F1" w:val="clear"/>
            <w:tcMar>
              <w:top w:type="dxa" w:w="70"/>
              <w:left w:type="dxa" w:w="100"/>
              <w:bottom w:type="dxa" w:w="70"/>
              <w:right w:type="dxa" w:w="100"/>
            </w:tcMar>
          </w:tcPr>
          <w:p>
            <w:r>
              <w:rPr>
                <w:sz w:val="19"/>
                <w:szCs w:val="19"/>
              </w:rPr>
              <w:t xml:space="preserve">8</w:t>
            </w:r>
          </w:p>
        </w:tc>
        <w:tc>
          <w:tcPr>
            <w:tcW w:type="dxa" w:w="4600"/>
            <w:shd w:fill="DCE6F1" w:val="clear"/>
            <w:tcMar>
              <w:top w:type="dxa" w:w="70"/>
              <w:left w:type="dxa" w:w="100"/>
              <w:bottom w:type="dxa" w:w="70"/>
              <w:right w:type="dxa" w:w="100"/>
            </w:tcMar>
          </w:tcPr>
          <w:p>
            <w:r>
              <w:rPr>
                <w:sz w:val="19"/>
                <w:szCs w:val="19"/>
              </w:rPr>
              <w:t xml:space="preserve">Testing &amp; QA Specification</w:t>
            </w:r>
          </w:p>
        </w:tc>
        <w:tc>
          <w:tcPr>
            <w:tcW w:type="dxa" w:w="2200"/>
            <w:shd w:fill="DCE6F1" w:val="clear"/>
            <w:tcMar>
              <w:top w:type="dxa" w:w="70"/>
              <w:left w:type="dxa" w:w="100"/>
              <w:bottom w:type="dxa" w:w="70"/>
              <w:right w:type="dxa" w:w="100"/>
            </w:tcMar>
          </w:tcPr>
          <w:p>
            <w:r>
              <w:rPr>
                <w:sz w:val="19"/>
                <w:szCs w:val="19"/>
              </w:rPr>
              <w:t xml:space="preserve">Vol. 1-7</w:t>
            </w:r>
          </w:p>
        </w:tc>
        <w:tc>
          <w:tcPr>
            <w:tcW w:type="dxa" w:w="2050"/>
            <w:shd w:fill="DCE6F1" w:val="clear"/>
            <w:tcMar>
              <w:top w:type="dxa" w:w="70"/>
              <w:left w:type="dxa" w:w="100"/>
              <w:bottom w:type="dxa" w:w="70"/>
              <w:right w:type="dxa" w:w="100"/>
            </w:tcMar>
          </w:tcPr>
          <w:p>
            <w:r>
              <w:rPr>
                <w:sz w:val="19"/>
                <w:szCs w:val="19"/>
              </w:rPr>
              <w:t xml:space="preserve">Not started</w:t>
            </w:r>
          </w:p>
        </w:tc>
      </w:tr>
      <w:tr>
        <w:tc>
          <w:tcPr>
            <w:tcW w:type="dxa" w:w="500"/>
            <w:shd w:fill="FFFFFF" w:val="clear"/>
            <w:tcMar>
              <w:top w:type="dxa" w:w="70"/>
              <w:left w:type="dxa" w:w="100"/>
              <w:bottom w:type="dxa" w:w="70"/>
              <w:right w:type="dxa" w:w="100"/>
            </w:tcMar>
          </w:tcPr>
          <w:p>
            <w:r>
              <w:rPr>
                <w:sz w:val="19"/>
                <w:szCs w:val="19"/>
              </w:rPr>
              <w:t xml:space="preserve">9</w:t>
            </w:r>
          </w:p>
        </w:tc>
        <w:tc>
          <w:tcPr>
            <w:tcW w:type="dxa" w:w="4600"/>
            <w:shd w:fill="FFFFFF" w:val="clear"/>
            <w:tcMar>
              <w:top w:type="dxa" w:w="70"/>
              <w:left w:type="dxa" w:w="100"/>
              <w:bottom w:type="dxa" w:w="70"/>
              <w:right w:type="dxa" w:w="100"/>
            </w:tcMar>
          </w:tcPr>
          <w:p>
            <w:r>
              <w:rPr>
                <w:sz w:val="19"/>
                <w:szCs w:val="19"/>
              </w:rPr>
              <w:t xml:space="preserve">UI/UX Design Specification &amp; API Design Document</w:t>
            </w:r>
          </w:p>
        </w:tc>
        <w:tc>
          <w:tcPr>
            <w:tcW w:type="dxa" w:w="2200"/>
            <w:shd w:fill="FFFFFF" w:val="clear"/>
            <w:tcMar>
              <w:top w:type="dxa" w:w="70"/>
              <w:left w:type="dxa" w:w="100"/>
              <w:bottom w:type="dxa" w:w="70"/>
              <w:right w:type="dxa" w:w="100"/>
            </w:tcMar>
          </w:tcPr>
          <w:p>
            <w:r>
              <w:rPr>
                <w:sz w:val="19"/>
                <w:szCs w:val="19"/>
              </w:rPr>
              <w:t xml:space="preserve">Vol. 1-3</w:t>
            </w:r>
          </w:p>
        </w:tc>
        <w:tc>
          <w:tcPr>
            <w:tcW w:type="dxa" w:w="2050"/>
            <w:shd w:fill="FFFFFF" w:val="clear"/>
            <w:tcMar>
              <w:top w:type="dxa" w:w="70"/>
              <w:left w:type="dxa" w:w="100"/>
              <w:bottom w:type="dxa" w:w="70"/>
              <w:right w:type="dxa" w:w="100"/>
            </w:tcMar>
          </w:tcPr>
          <w:p>
            <w:r>
              <w:rPr>
                <w:sz w:val="19"/>
                <w:szCs w:val="19"/>
              </w:rPr>
              <w:t xml:space="preserve">Can start in parallel with Vol. 3</w:t>
            </w:r>
          </w:p>
        </w:tc>
      </w:tr>
    </w:tbl>
    <w:p>
      <w:pPr>
        <w:spacing w:after="160" w:line="276"/>
      </w:pPr>
      <w:r>
        <w:rPr>
          <w:b w:val="false"/>
          <w:bCs w:val="false"/>
          <w:i w:val="false"/>
          <w:iCs w:val="false"/>
          <w:color w:val="1A1A1A"/>
          <w:sz w:val="22"/>
          <w:szCs w:val="22"/>
        </w:rPr>
        <w:t xml:space="preserve">The BRD, SRS, and FRS are intentionally not listed as separate volumes: in this blueprint their content is absorbed into Volumes 1-2 (business and functional scope) and Volume 9 (interface-level detail), which avoids the duplication that typically causes an SRS and an architecture document to drift out of sync in real enterprise programs. If a standalone SRS/FRS/BRD deliverable is still required for procurement or compliance reasons, Section 12 of this document shows exactly how to extract one from the numbered items here.</w:t>
      </w:r>
    </w:p>
    <w:p>
      <w:pPr>
        <w:pStyle w:val="Heading2"/>
        <w:spacing w:before="300" w:after="150"/>
      </w:pPr>
      <w:r>
        <w:rPr>
          <w:b/>
          <w:bCs/>
          <w:color w:val="2E75B6"/>
          <w:sz w:val="26"/>
          <w:szCs w:val="26"/>
        </w:rPr>
        <w:t xml:space="preserve">1.3 How to Read This Document</w:t>
      </w:r>
    </w:p>
    <w:p>
      <w:pPr>
        <w:pStyle w:val="ListParagraph"/>
        <w:numPr>
          <w:ilvl w:val="0"/>
          <w:numId w:val="1"/>
        </w:numPr>
        <w:spacing w:after="80"/>
      </w:pPr>
      <w:r>
        <w:rPr>
          <w:sz w:val="22"/>
          <w:szCs w:val="22"/>
        </w:rPr>
        <w:t xml:space="preserve">Section 4 (Business Capability Model) is the master index - every other section refers back to a capability ID such as BC-07.</w:t>
      </w:r>
    </w:p>
    <w:p>
      <w:pPr>
        <w:pStyle w:val="ListParagraph"/>
        <w:numPr>
          <w:ilvl w:val="0"/>
          <w:numId w:val="1"/>
        </w:numPr>
        <w:spacing w:after="80"/>
      </w:pPr>
      <w:r>
        <w:rPr>
          <w:sz w:val="22"/>
          <w:szCs w:val="22"/>
        </w:rPr>
        <w:t xml:space="preserve">Section 6 (Module &amp; Feature Scope Catalog) is the working scope document - treat it as the object of change control going forward.</w:t>
      </w:r>
    </w:p>
    <w:p>
      <w:pPr>
        <w:pStyle w:val="ListParagraph"/>
        <w:numPr>
          <w:ilvl w:val="0"/>
          <w:numId w:val="1"/>
        </w:numPr>
        <w:spacing w:after="80"/>
      </w:pPr>
      <w:r>
        <w:rPr>
          <w:sz w:val="22"/>
          <w:szCs w:val="22"/>
        </w:rPr>
        <w:t xml:space="preserve">Section 7-8 (Value Streams &amp; Process Flows) contain Mermaid diagram source blocks. They are intentionally kept as editable text rather than static images so they can be pasted directly into any Mermaid-compatible renderer, version-controlled, or regenerated as the design evolves.</w:t>
      </w:r>
    </w:p>
    <w:p>
      <w:pPr>
        <w:pStyle w:val="ListParagraph"/>
        <w:numPr>
          <w:ilvl w:val="0"/>
          <w:numId w:val="1"/>
        </w:numPr>
        <w:spacing w:after="80"/>
      </w:pPr>
      <w:r>
        <w:rPr>
          <w:sz w:val="22"/>
          <w:szCs w:val="22"/>
        </w:rPr>
        <w:t xml:space="preserve">Section 11 (Traceability Matrix) is what Vol. 2 onward will cite - do not renumber capability IDs after this document is approved without a corresponding renumber pass across all volumes.</w:t>
      </w:r>
    </w:p>
    <w:p>
      <w:r>
        <w:br w:type="page"/>
      </w:r>
    </w:p>
    <w:p>
      <w:pPr>
        <w:pStyle w:val="Heading1"/>
        <w:spacing w:before="400" w:after="200"/>
      </w:pPr>
      <w:r>
        <w:rPr>
          <w:b/>
          <w:bCs/>
          <w:color w:val="1F3864"/>
          <w:sz w:val="32"/>
          <w:szCs w:val="32"/>
        </w:rPr>
        <w:t xml:space="preserve">2. Business Context &amp; Product Vision</w:t>
      </w:r>
    </w:p>
    <w:p>
      <w:pPr>
        <w:pStyle w:val="Heading2"/>
        <w:spacing w:before="300" w:after="150"/>
      </w:pPr>
      <w:r>
        <w:rPr>
          <w:b/>
          <w:bCs/>
          <w:color w:val="2E75B6"/>
          <w:sz w:val="26"/>
          <w:szCs w:val="26"/>
        </w:rPr>
        <w:t xml:space="preserve">2.1 Vision Statement</w:t>
      </w:r>
    </w:p>
    <w:p>
      <w:pPr>
        <w:spacing w:after="160" w:line="276"/>
      </w:pPr>
      <w:r>
        <w:rPr>
          <w:b w:val="false"/>
          <w:bCs w:val="false"/>
          <w:i/>
          <w:iCs/>
          <w:color w:val="1A1A1A"/>
          <w:sz w:val="22"/>
          <w:szCs w:val="22"/>
        </w:rPr>
        <w:t xml:space="preserve">Deliver a cloud-native, multi-tenant accounting and business-operations platform that lets small and mid-sized businesses run receivables, payables, banking, inventory, projects, and compliance from one system of record - matching the functional depth of Zoho Books while being architected, from day one, for API-first extensibility and horizontal scale.</w:t>
      </w:r>
    </w:p>
    <w:p>
      <w:pPr>
        <w:pStyle w:val="Heading2"/>
        <w:spacing w:before="300" w:after="150"/>
      </w:pPr>
      <w:r>
        <w:rPr>
          <w:b/>
          <w:bCs/>
          <w:color w:val="2E75B6"/>
          <w:sz w:val="26"/>
          <w:szCs w:val="26"/>
        </w:rPr>
        <w:t xml:space="preserve">2.2 Competitive Frame</w:t>
      </w:r>
    </w:p>
    <w:p>
      <w:pPr>
        <w:spacing w:after="160" w:line="276"/>
      </w:pPr>
      <w:r>
        <w:rPr>
          <w:b w:val="false"/>
          <w:bCs w:val="false"/>
          <w:i w:val="false"/>
          <w:iCs w:val="false"/>
          <w:color w:val="1A1A1A"/>
          <w:sz w:val="22"/>
          <w:szCs w:val="22"/>
        </w:rPr>
        <w:t xml:space="preserve">The product is scoped against three incumbents whose feature sets define the addressable functional baseline: Zoho Books (primary reference - see Section 5 module catalog, derived from its published feature set as of July 2026), QuickBooks Online, and Xero. The competitive intent is functional parity on core accounting, receivables, payables, banking, and inventory within the first two release phases, with AI-assisted workflows (Section 5, BC-18) and open API/integration architecture (Volume 5) as differentiation vectors rather than table-stakes features.</w:t>
      </w:r>
    </w:p>
    <w:p>
      <w:pPr>
        <w:pStyle w:val="Heading2"/>
        <w:spacing w:before="300" w:after="150"/>
      </w:pPr>
      <w:r>
        <w:rPr>
          <w:b/>
          <w:bCs/>
          <w:color w:val="2E75B6"/>
          <w:sz w:val="26"/>
          <w:szCs w:val="26"/>
        </w:rPr>
        <w:t xml:space="preserve">2.3 Target Market Segments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Segment</w:t>
            </w:r>
          </w:p>
        </w:tc>
        <w:tc>
          <w:tcPr>
            <w:tcW w:type="dxa" w:w="3600"/>
            <w:shd w:fill="1F3864" w:val="clear"/>
            <w:tcMar>
              <w:top w:type="dxa" w:w="80"/>
              <w:left w:type="dxa" w:w="100"/>
              <w:bottom w:type="dxa" w:w="80"/>
              <w:right w:type="dxa" w:w="100"/>
            </w:tcMar>
            <w:vAlign w:val="center"/>
          </w:tcPr>
          <w:p>
            <w:r>
              <w:rPr>
                <w:b/>
                <w:bCs/>
                <w:color w:val="FFFFFF"/>
                <w:sz w:val="19"/>
                <w:szCs w:val="19"/>
              </w:rPr>
              <w:t xml:space="preserve">Primary Need</w:t>
            </w:r>
          </w:p>
        </w:tc>
        <w:tc>
          <w:tcPr>
            <w:tcW w:type="dxa" w:w="3150"/>
            <w:shd w:fill="1F3864" w:val="clear"/>
            <w:tcMar>
              <w:top w:type="dxa" w:w="80"/>
              <w:left w:type="dxa" w:w="100"/>
              <w:bottom w:type="dxa" w:w="80"/>
              <w:right w:type="dxa" w:w="100"/>
            </w:tcMar>
            <w:vAlign w:val="center"/>
          </w:tcPr>
          <w:p>
            <w:r>
              <w:rPr>
                <w:b/>
                <w:bCs/>
                <w:color w:val="FFFFFF"/>
                <w:sz w:val="19"/>
                <w:szCs w:val="19"/>
              </w:rPr>
              <w:t xml:space="preserve">Priority Modules</w:t>
            </w:r>
          </w:p>
        </w:tc>
      </w:tr>
      <w:tr>
        <w:tc>
          <w:tcPr>
            <w:tcW w:type="dxa" w:w="2600"/>
            <w:shd w:fill="FFFFFF" w:val="clear"/>
            <w:tcMar>
              <w:top w:type="dxa" w:w="70"/>
              <w:left w:type="dxa" w:w="100"/>
              <w:bottom w:type="dxa" w:w="70"/>
              <w:right w:type="dxa" w:w="100"/>
            </w:tcMar>
          </w:tcPr>
          <w:p>
            <w:r>
              <w:rPr>
                <w:sz w:val="19"/>
                <w:szCs w:val="19"/>
              </w:rPr>
              <w:t xml:space="preserve">Micro / solo businesses (1-5 employees)</w:t>
            </w:r>
          </w:p>
        </w:tc>
        <w:tc>
          <w:tcPr>
            <w:tcW w:type="dxa" w:w="3600"/>
            <w:shd w:fill="FFFFFF" w:val="clear"/>
            <w:tcMar>
              <w:top w:type="dxa" w:w="70"/>
              <w:left w:type="dxa" w:w="100"/>
              <w:bottom w:type="dxa" w:w="70"/>
              <w:right w:type="dxa" w:w="100"/>
            </w:tcMar>
          </w:tcPr>
          <w:p>
            <w:r>
              <w:rPr>
                <w:sz w:val="19"/>
                <w:szCs w:val="19"/>
              </w:rPr>
              <w:t xml:space="preserve">Fast invoicing, expense capture, tax-ready books</w:t>
            </w:r>
          </w:p>
        </w:tc>
        <w:tc>
          <w:tcPr>
            <w:tcW w:type="dxa" w:w="3150"/>
            <w:shd w:fill="FFFFFF" w:val="clear"/>
            <w:tcMar>
              <w:top w:type="dxa" w:w="70"/>
              <w:left w:type="dxa" w:w="100"/>
              <w:bottom w:type="dxa" w:w="70"/>
              <w:right w:type="dxa" w:w="100"/>
            </w:tcMar>
          </w:tcPr>
          <w:p>
            <w:r>
              <w:rPr>
                <w:sz w:val="19"/>
                <w:szCs w:val="19"/>
              </w:rPr>
              <w:t xml:space="preserve">Receivables, Payables, Banking, Tax</w:t>
            </w:r>
          </w:p>
        </w:tc>
      </w:tr>
      <w:tr>
        <w:tc>
          <w:tcPr>
            <w:tcW w:type="dxa" w:w="2600"/>
            <w:shd w:fill="DCE6F1" w:val="clear"/>
            <w:tcMar>
              <w:top w:type="dxa" w:w="70"/>
              <w:left w:type="dxa" w:w="100"/>
              <w:bottom w:type="dxa" w:w="70"/>
              <w:right w:type="dxa" w:w="100"/>
            </w:tcMar>
          </w:tcPr>
          <w:p>
            <w:r>
              <w:rPr>
                <w:sz w:val="19"/>
                <w:szCs w:val="19"/>
              </w:rPr>
              <w:t xml:space="preserve">Small businesses (6-50 employees)</w:t>
            </w:r>
          </w:p>
        </w:tc>
        <w:tc>
          <w:tcPr>
            <w:tcW w:type="dxa" w:w="3600"/>
            <w:shd w:fill="DCE6F1" w:val="clear"/>
            <w:tcMar>
              <w:top w:type="dxa" w:w="70"/>
              <w:left w:type="dxa" w:w="100"/>
              <w:bottom w:type="dxa" w:w="70"/>
              <w:right w:type="dxa" w:w="100"/>
            </w:tcMar>
          </w:tcPr>
          <w:p>
            <w:r>
              <w:rPr>
                <w:sz w:val="19"/>
                <w:szCs w:val="19"/>
              </w:rPr>
              <w:t xml:space="preserve">Inventory, purchase workflow, multi-user roles</w:t>
            </w:r>
          </w:p>
        </w:tc>
        <w:tc>
          <w:tcPr>
            <w:tcW w:type="dxa" w:w="3150"/>
            <w:shd w:fill="DCE6F1" w:val="clear"/>
            <w:tcMar>
              <w:top w:type="dxa" w:w="70"/>
              <w:left w:type="dxa" w:w="100"/>
              <w:bottom w:type="dxa" w:w="70"/>
              <w:right w:type="dxa" w:w="100"/>
            </w:tcMar>
          </w:tcPr>
          <w:p>
            <w:r>
              <w:rPr>
                <w:sz w:val="19"/>
                <w:szCs w:val="19"/>
              </w:rPr>
              <w:t xml:space="preserve">+ Inventory, Purchases, Roles &amp; Approvals</w:t>
            </w:r>
          </w:p>
        </w:tc>
      </w:tr>
      <w:tr>
        <w:tc>
          <w:tcPr>
            <w:tcW w:type="dxa" w:w="2600"/>
            <w:shd w:fill="FFFFFF" w:val="clear"/>
            <w:tcMar>
              <w:top w:type="dxa" w:w="70"/>
              <w:left w:type="dxa" w:w="100"/>
              <w:bottom w:type="dxa" w:w="70"/>
              <w:right w:type="dxa" w:w="100"/>
            </w:tcMar>
          </w:tcPr>
          <w:p>
            <w:r>
              <w:rPr>
                <w:sz w:val="19"/>
                <w:szCs w:val="19"/>
              </w:rPr>
              <w:t xml:space="preserve">Service / project businesses</w:t>
            </w:r>
          </w:p>
        </w:tc>
        <w:tc>
          <w:tcPr>
            <w:tcW w:type="dxa" w:w="3600"/>
            <w:shd w:fill="FFFFFF" w:val="clear"/>
            <w:tcMar>
              <w:top w:type="dxa" w:w="70"/>
              <w:left w:type="dxa" w:w="100"/>
              <w:bottom w:type="dxa" w:w="70"/>
              <w:right w:type="dxa" w:w="100"/>
            </w:tcMar>
          </w:tcPr>
          <w:p>
            <w:r>
              <w:rPr>
                <w:sz w:val="19"/>
                <w:szCs w:val="19"/>
              </w:rPr>
              <w:t xml:space="preserve">Time tracking, project billing, profitability</w:t>
            </w:r>
          </w:p>
        </w:tc>
        <w:tc>
          <w:tcPr>
            <w:tcW w:type="dxa" w:w="3150"/>
            <w:shd w:fill="FFFFFF" w:val="clear"/>
            <w:tcMar>
              <w:top w:type="dxa" w:w="70"/>
              <w:left w:type="dxa" w:w="100"/>
              <w:bottom w:type="dxa" w:w="70"/>
              <w:right w:type="dxa" w:w="100"/>
            </w:tcMar>
          </w:tcPr>
          <w:p>
            <w:r>
              <w:rPr>
                <w:sz w:val="19"/>
                <w:szCs w:val="19"/>
              </w:rPr>
              <w:t xml:space="preserve">+ Projects &amp; Timesheets</w:t>
            </w:r>
          </w:p>
        </w:tc>
      </w:tr>
      <w:tr>
        <w:tc>
          <w:tcPr>
            <w:tcW w:type="dxa" w:w="2600"/>
            <w:shd w:fill="DCE6F1" w:val="clear"/>
            <w:tcMar>
              <w:top w:type="dxa" w:w="70"/>
              <w:left w:type="dxa" w:w="100"/>
              <w:bottom w:type="dxa" w:w="70"/>
              <w:right w:type="dxa" w:w="100"/>
            </w:tcMar>
          </w:tcPr>
          <w:p>
            <w:r>
              <w:rPr>
                <w:sz w:val="19"/>
                <w:szCs w:val="19"/>
              </w:rPr>
              <w:t xml:space="preserve">Growing / multi-entity businesses</w:t>
            </w:r>
          </w:p>
        </w:tc>
        <w:tc>
          <w:tcPr>
            <w:tcW w:type="dxa" w:w="3600"/>
            <w:shd w:fill="DCE6F1" w:val="clear"/>
            <w:tcMar>
              <w:top w:type="dxa" w:w="70"/>
              <w:left w:type="dxa" w:w="100"/>
              <w:bottom w:type="dxa" w:w="70"/>
              <w:right w:type="dxa" w:w="100"/>
            </w:tcMar>
          </w:tcPr>
          <w:p>
            <w:r>
              <w:rPr>
                <w:sz w:val="19"/>
                <w:szCs w:val="19"/>
              </w:rPr>
              <w:t xml:space="preserve">Multi-currency, divisions, advanced reporting</w:t>
            </w:r>
          </w:p>
        </w:tc>
        <w:tc>
          <w:tcPr>
            <w:tcW w:type="dxa" w:w="3150"/>
            <w:shd w:fill="DCE6F1" w:val="clear"/>
            <w:tcMar>
              <w:top w:type="dxa" w:w="70"/>
              <w:left w:type="dxa" w:w="100"/>
              <w:bottom w:type="dxa" w:w="70"/>
              <w:right w:type="dxa" w:w="100"/>
            </w:tcMar>
          </w:tcPr>
          <w:p>
            <w:r>
              <w:rPr>
                <w:sz w:val="19"/>
                <w:szCs w:val="19"/>
              </w:rPr>
              <w:t xml:space="preserve">+ Multi-currency, Reporting Tags, BI</w:t>
            </w:r>
          </w:p>
        </w:tc>
      </w:tr>
      <w:tr>
        <w:tc>
          <w:tcPr>
            <w:tcW w:type="dxa" w:w="2600"/>
            <w:shd w:fill="FFFFFF" w:val="clear"/>
            <w:tcMar>
              <w:top w:type="dxa" w:w="70"/>
              <w:left w:type="dxa" w:w="100"/>
              <w:bottom w:type="dxa" w:w="70"/>
              <w:right w:type="dxa" w:w="100"/>
            </w:tcMar>
          </w:tcPr>
          <w:p>
            <w:r>
              <w:rPr>
                <w:sz w:val="19"/>
                <w:szCs w:val="19"/>
              </w:rPr>
              <w:t xml:space="preserve">Accounting firms &amp; bookkeepers</w:t>
            </w:r>
          </w:p>
        </w:tc>
        <w:tc>
          <w:tcPr>
            <w:tcW w:type="dxa" w:w="3600"/>
            <w:shd w:fill="FFFFFF" w:val="clear"/>
            <w:tcMar>
              <w:top w:type="dxa" w:w="70"/>
              <w:left w:type="dxa" w:w="100"/>
              <w:bottom w:type="dxa" w:w="70"/>
              <w:right w:type="dxa" w:w="100"/>
            </w:tcMar>
          </w:tcPr>
          <w:p>
            <w:r>
              <w:rPr>
                <w:sz w:val="19"/>
                <w:szCs w:val="19"/>
              </w:rPr>
              <w:t xml:space="preserve">Multi-client management, collaboration</w:t>
            </w:r>
          </w:p>
        </w:tc>
        <w:tc>
          <w:tcPr>
            <w:tcW w:type="dxa" w:w="3150"/>
            <w:shd w:fill="FFFFFF" w:val="clear"/>
            <w:tcMar>
              <w:top w:type="dxa" w:w="70"/>
              <w:left w:type="dxa" w:w="100"/>
              <w:bottom w:type="dxa" w:w="70"/>
              <w:right w:type="dxa" w:w="100"/>
            </w:tcMar>
          </w:tcPr>
          <w:p>
            <w:r>
              <w:rPr>
                <w:sz w:val="19"/>
                <w:szCs w:val="19"/>
              </w:rPr>
              <w:t xml:space="preserve">+ Accountant Module, Client Portal</w:t>
            </w:r>
          </w:p>
        </w:tc>
      </w:tr>
    </w:tbl>
    <w:p>
      <w:pPr>
        <w:pStyle w:val="Heading2"/>
        <w:spacing w:before="300" w:after="150"/>
      </w:pPr>
      <w:r>
        <w:rPr>
          <w:b/>
          <w:bCs/>
          <w:color w:val="2E75B6"/>
          <w:sz w:val="26"/>
          <w:szCs w:val="26"/>
        </w:rPr>
        <w:t xml:space="preserve">2.4 Business Goals &amp; Success Measures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4200"/>
        <w:gridCol w:w="1750"/>
      </w:tblGrid>
      <w:tr>
        <w:trPr>
          <w:tblHeader/>
        </w:trPr>
        <w:tc>
          <w:tcPr>
            <w:tcW w:type="dxa" w:w="3400"/>
            <w:shd w:fill="1F3864" w:val="clear"/>
            <w:tcMar>
              <w:top w:type="dxa" w:w="80"/>
              <w:left w:type="dxa" w:w="100"/>
              <w:bottom w:type="dxa" w:w="80"/>
              <w:right w:type="dxa" w:w="100"/>
            </w:tcMar>
            <w:vAlign w:val="center"/>
          </w:tcPr>
          <w:p>
            <w:r>
              <w:rPr>
                <w:b/>
                <w:bCs/>
                <w:color w:val="FFFFFF"/>
                <w:sz w:val="19"/>
                <w:szCs w:val="19"/>
              </w:rPr>
              <w:t xml:space="preserve">Goal</w:t>
            </w:r>
          </w:p>
        </w:tc>
        <w:tc>
          <w:tcPr>
            <w:tcW w:type="dxa" w:w="4200"/>
            <w:shd w:fill="1F3864" w:val="clear"/>
            <w:tcMar>
              <w:top w:type="dxa" w:w="80"/>
              <w:left w:type="dxa" w:w="100"/>
              <w:bottom w:type="dxa" w:w="80"/>
              <w:right w:type="dxa" w:w="100"/>
            </w:tcMar>
            <w:vAlign w:val="center"/>
          </w:tcPr>
          <w:p>
            <w:r>
              <w:rPr>
                <w:b/>
                <w:bCs/>
                <w:color w:val="FFFFFF"/>
                <w:sz w:val="19"/>
                <w:szCs w:val="19"/>
              </w:rPr>
              <w:t xml:space="preserve">Success Measure</w:t>
            </w:r>
          </w:p>
        </w:tc>
        <w:tc>
          <w:tcPr>
            <w:tcW w:type="dxa" w:w="1750"/>
            <w:shd w:fill="1F3864" w:val="clear"/>
            <w:tcMar>
              <w:top w:type="dxa" w:w="80"/>
              <w:left w:type="dxa" w:w="100"/>
              <w:bottom w:type="dxa" w:w="80"/>
              <w:right w:type="dxa" w:w="100"/>
            </w:tcMar>
            <w:vAlign w:val="center"/>
          </w:tcPr>
          <w:p>
            <w:r>
              <w:rPr>
                <w:b/>
                <w:bCs/>
                <w:color w:val="FFFFFF"/>
                <w:sz w:val="19"/>
                <w:szCs w:val="19"/>
              </w:rPr>
              <w:t xml:space="preserve">Owning Volume</w:t>
            </w:r>
          </w:p>
        </w:tc>
      </w:tr>
      <w:tr>
        <w:tc>
          <w:tcPr>
            <w:tcW w:type="dxa" w:w="3400"/>
            <w:shd w:fill="FFFFFF" w:val="clear"/>
            <w:tcMar>
              <w:top w:type="dxa" w:w="70"/>
              <w:left w:type="dxa" w:w="100"/>
              <w:bottom w:type="dxa" w:w="70"/>
              <w:right w:type="dxa" w:w="100"/>
            </w:tcMar>
          </w:tcPr>
          <w:p>
            <w:r>
              <w:rPr>
                <w:sz w:val="19"/>
                <w:szCs w:val="19"/>
              </w:rPr>
              <w:t xml:space="preserve">Reach functional parity with Zoho Books core modules</w:t>
            </w:r>
          </w:p>
        </w:tc>
        <w:tc>
          <w:tcPr>
            <w:tcW w:type="dxa" w:w="4200"/>
            <w:shd w:fill="FFFFFF" w:val="clear"/>
            <w:tcMar>
              <w:top w:type="dxa" w:w="70"/>
              <w:left w:type="dxa" w:w="100"/>
              <w:bottom w:type="dxa" w:w="70"/>
              <w:right w:type="dxa" w:w="100"/>
            </w:tcMar>
          </w:tcPr>
          <w:p>
            <w:r>
              <w:rPr>
                <w:sz w:val="19"/>
                <w:szCs w:val="19"/>
              </w:rPr>
              <w:t xml:space="preserve">100% of BC-01 through BC-13 (Section 4) shipped and passing UAT</w:t>
            </w:r>
          </w:p>
        </w:tc>
        <w:tc>
          <w:tcPr>
            <w:tcW w:type="dxa" w:w="1750"/>
            <w:shd w:fill="FFFFFF" w:val="clear"/>
            <w:tcMar>
              <w:top w:type="dxa" w:w="70"/>
              <w:left w:type="dxa" w:w="100"/>
              <w:bottom w:type="dxa" w:w="70"/>
              <w:right w:type="dxa" w:w="100"/>
            </w:tcMar>
          </w:tcPr>
          <w:p>
            <w:r>
              <w:rPr>
                <w:sz w:val="19"/>
                <w:szCs w:val="19"/>
              </w:rPr>
              <w:t xml:space="preserve">Vol. 2, 8</w:t>
            </w:r>
          </w:p>
        </w:tc>
      </w:tr>
      <w:tr>
        <w:tc>
          <w:tcPr>
            <w:tcW w:type="dxa" w:w="3400"/>
            <w:shd w:fill="DCE6F1" w:val="clear"/>
            <w:tcMar>
              <w:top w:type="dxa" w:w="70"/>
              <w:left w:type="dxa" w:w="100"/>
              <w:bottom w:type="dxa" w:w="70"/>
              <w:right w:type="dxa" w:w="100"/>
            </w:tcMar>
          </w:tcPr>
          <w:p>
            <w:r>
              <w:rPr>
                <w:sz w:val="19"/>
                <w:szCs w:val="19"/>
              </w:rPr>
              <w:t xml:space="preserve">Multi-tenant SaaS from day one, not retrofitted</w:t>
            </w:r>
          </w:p>
        </w:tc>
        <w:tc>
          <w:tcPr>
            <w:tcW w:type="dxa" w:w="4200"/>
            <w:shd w:fill="DCE6F1" w:val="clear"/>
            <w:tcMar>
              <w:top w:type="dxa" w:w="70"/>
              <w:left w:type="dxa" w:w="100"/>
              <w:bottom w:type="dxa" w:w="70"/>
              <w:right w:type="dxa" w:w="100"/>
            </w:tcMar>
          </w:tcPr>
          <w:p>
            <w:r>
              <w:rPr>
                <w:sz w:val="19"/>
                <w:szCs w:val="19"/>
              </w:rPr>
              <w:t xml:space="preserve">Tenant isolation verified under load; zero cross-tenant data leakage in security audit</w:t>
            </w:r>
          </w:p>
        </w:tc>
        <w:tc>
          <w:tcPr>
            <w:tcW w:type="dxa" w:w="1750"/>
            <w:shd w:fill="DCE6F1" w:val="clear"/>
            <w:tcMar>
              <w:top w:type="dxa" w:w="70"/>
              <w:left w:type="dxa" w:w="100"/>
              <w:bottom w:type="dxa" w:w="70"/>
              <w:right w:type="dxa" w:w="100"/>
            </w:tcMar>
          </w:tcPr>
          <w:p>
            <w:r>
              <w:rPr>
                <w:sz w:val="19"/>
                <w:szCs w:val="19"/>
              </w:rPr>
              <w:t xml:space="preserve">Vol. 3, 4, 6</w:t>
            </w:r>
          </w:p>
        </w:tc>
      </w:tr>
      <w:tr>
        <w:tc>
          <w:tcPr>
            <w:tcW w:type="dxa" w:w="3400"/>
            <w:shd w:fill="FFFFFF" w:val="clear"/>
            <w:tcMar>
              <w:top w:type="dxa" w:w="70"/>
              <w:left w:type="dxa" w:w="100"/>
              <w:bottom w:type="dxa" w:w="70"/>
              <w:right w:type="dxa" w:w="100"/>
            </w:tcMar>
          </w:tcPr>
          <w:p>
            <w:r>
              <w:rPr>
                <w:sz w:val="19"/>
                <w:szCs w:val="19"/>
              </w:rPr>
              <w:t xml:space="preserve">API-first so every UI action has an equivalent API call</w:t>
            </w:r>
          </w:p>
        </w:tc>
        <w:tc>
          <w:tcPr>
            <w:tcW w:type="dxa" w:w="4200"/>
            <w:shd w:fill="FFFFFF" w:val="clear"/>
            <w:tcMar>
              <w:top w:type="dxa" w:w="70"/>
              <w:left w:type="dxa" w:w="100"/>
              <w:bottom w:type="dxa" w:w="70"/>
              <w:right w:type="dxa" w:w="100"/>
            </w:tcMar>
          </w:tcPr>
          <w:p>
            <w:r>
              <w:rPr>
                <w:sz w:val="19"/>
                <w:szCs w:val="19"/>
              </w:rPr>
              <w:t xml:space="preserve">100% of write operations exposed via documented REST/API endpoints</w:t>
            </w:r>
          </w:p>
        </w:tc>
        <w:tc>
          <w:tcPr>
            <w:tcW w:type="dxa" w:w="1750"/>
            <w:shd w:fill="FFFFFF" w:val="clear"/>
            <w:tcMar>
              <w:top w:type="dxa" w:w="70"/>
              <w:left w:type="dxa" w:w="100"/>
              <w:bottom w:type="dxa" w:w="70"/>
              <w:right w:type="dxa" w:w="100"/>
            </w:tcMar>
          </w:tcPr>
          <w:p>
            <w:r>
              <w:rPr>
                <w:sz w:val="19"/>
                <w:szCs w:val="19"/>
              </w:rPr>
              <w:t xml:space="preserve">Vol. 9</w:t>
            </w:r>
          </w:p>
        </w:tc>
      </w:tr>
      <w:tr>
        <w:tc>
          <w:tcPr>
            <w:tcW w:type="dxa" w:w="3400"/>
            <w:shd w:fill="DCE6F1" w:val="clear"/>
            <w:tcMar>
              <w:top w:type="dxa" w:w="70"/>
              <w:left w:type="dxa" w:w="100"/>
              <w:bottom w:type="dxa" w:w="70"/>
              <w:right w:type="dxa" w:w="100"/>
            </w:tcMar>
          </w:tcPr>
          <w:p>
            <w:r>
              <w:rPr>
                <w:sz w:val="19"/>
                <w:szCs w:val="19"/>
              </w:rPr>
              <w:t xml:space="preserve">Compliance-ready for US, EU, and India tax regimes at launch</w:t>
            </w:r>
          </w:p>
        </w:tc>
        <w:tc>
          <w:tcPr>
            <w:tcW w:type="dxa" w:w="4200"/>
            <w:shd w:fill="DCE6F1" w:val="clear"/>
            <w:tcMar>
              <w:top w:type="dxa" w:w="70"/>
              <w:left w:type="dxa" w:w="100"/>
              <w:bottom w:type="dxa" w:w="70"/>
              <w:right w:type="dxa" w:w="100"/>
            </w:tcMar>
          </w:tcPr>
          <w:p>
            <w:r>
              <w:rPr>
                <w:sz w:val="19"/>
                <w:szCs w:val="19"/>
              </w:rPr>
              <w:t xml:space="preserve">Sales tax (US), GST (India), VAT (EU) engines pass regulator-aligned test suites</w:t>
            </w:r>
          </w:p>
        </w:tc>
        <w:tc>
          <w:tcPr>
            <w:tcW w:type="dxa" w:w="1750"/>
            <w:shd w:fill="DCE6F1" w:val="clear"/>
            <w:tcMar>
              <w:top w:type="dxa" w:w="70"/>
              <w:left w:type="dxa" w:w="100"/>
              <w:bottom w:type="dxa" w:w="70"/>
              <w:right w:type="dxa" w:w="100"/>
            </w:tcMar>
          </w:tcPr>
          <w:p>
            <w:r>
              <w:rPr>
                <w:sz w:val="19"/>
                <w:szCs w:val="19"/>
              </w:rPr>
              <w:t xml:space="preserve">Vol. 5</w:t>
            </w:r>
          </w:p>
        </w:tc>
      </w:tr>
      <w:tr>
        <w:tc>
          <w:tcPr>
            <w:tcW w:type="dxa" w:w="3400"/>
            <w:shd w:fill="FFFFFF" w:val="clear"/>
            <w:tcMar>
              <w:top w:type="dxa" w:w="70"/>
              <w:left w:type="dxa" w:w="100"/>
              <w:bottom w:type="dxa" w:w="70"/>
              <w:right w:type="dxa" w:w="100"/>
            </w:tcMar>
          </w:tcPr>
          <w:p>
            <w:r>
              <w:rPr>
                <w:sz w:val="19"/>
                <w:szCs w:val="19"/>
              </w:rPr>
              <w:t xml:space="preserve">Sub-second core transaction response at 10,000 concurrent tenants</w:t>
            </w:r>
          </w:p>
        </w:tc>
        <w:tc>
          <w:tcPr>
            <w:tcW w:type="dxa" w:w="4200"/>
            <w:shd w:fill="FFFFFF" w:val="clear"/>
            <w:tcMar>
              <w:top w:type="dxa" w:w="70"/>
              <w:left w:type="dxa" w:w="100"/>
              <w:bottom w:type="dxa" w:w="70"/>
              <w:right w:type="dxa" w:w="100"/>
            </w:tcMar>
          </w:tcPr>
          <w:p>
            <w:r>
              <w:rPr>
                <w:sz w:val="19"/>
                <w:szCs w:val="19"/>
              </w:rPr>
              <w:t xml:space="preserve">P95 latency benchmarks defined in Vol. 3/7 met under load test</w:t>
            </w:r>
          </w:p>
        </w:tc>
        <w:tc>
          <w:tcPr>
            <w:tcW w:type="dxa" w:w="1750"/>
            <w:shd w:fill="FFFFFF" w:val="clear"/>
            <w:tcMar>
              <w:top w:type="dxa" w:w="70"/>
              <w:left w:type="dxa" w:w="100"/>
              <w:bottom w:type="dxa" w:w="70"/>
              <w:right w:type="dxa" w:w="100"/>
            </w:tcMar>
          </w:tcPr>
          <w:p>
            <w:r>
              <w:rPr>
                <w:sz w:val="19"/>
                <w:szCs w:val="19"/>
              </w:rPr>
              <w:t xml:space="preserve">Vol. 3, 7</w:t>
            </w:r>
          </w:p>
        </w:tc>
      </w:tr>
    </w:tbl>
    <w:p>
      <w:r>
        <w:br w:type="page"/>
      </w:r>
    </w:p>
    <w:p>
      <w:pPr>
        <w:pStyle w:val="Heading1"/>
        <w:spacing w:before="400" w:after="200"/>
      </w:pPr>
      <w:r>
        <w:rPr>
          <w:b/>
          <w:bCs/>
          <w:color w:val="1F3864"/>
          <w:sz w:val="32"/>
          <w:szCs w:val="32"/>
        </w:rPr>
        <w:t xml:space="preserve">3. Business Architecture Principles</w:t>
      </w:r>
    </w:p>
    <w:p>
      <w:pPr>
        <w:spacing w:after="160" w:line="276"/>
      </w:pPr>
      <w:r>
        <w:rPr>
          <w:b w:val="false"/>
          <w:bCs w:val="false"/>
          <w:i w:val="false"/>
          <w:iCs w:val="false"/>
          <w:color w:val="1A1A1A"/>
          <w:sz w:val="22"/>
          <w:szCs w:val="22"/>
        </w:rPr>
        <w:t xml:space="preserve">These principles are binding constraints on every downstream volume. Where a later architectural decision conflicts with one of these, the conflict must be raised and resolved explicitly (an ADR in Volume 2 or 3), not silently overridden.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3550"/>
        <w:gridCol w:w="5300"/>
      </w:tblGrid>
      <w:tr>
        <w:trPr>
          <w:tblHeader/>
        </w:trPr>
        <w:tc>
          <w:tcPr>
            <w:tcW w:type="dxa" w:w="500"/>
            <w:shd w:fill="1F3864" w:val="clear"/>
            <w:tcMar>
              <w:top w:type="dxa" w:w="80"/>
              <w:left w:type="dxa" w:w="100"/>
              <w:bottom w:type="dxa" w:w="80"/>
              <w:right w:type="dxa" w:w="100"/>
            </w:tcMar>
            <w:vAlign w:val="center"/>
          </w:tcPr>
          <w:p>
            <w:r>
              <w:rPr>
                <w:b/>
                <w:bCs/>
                <w:color w:val="FFFFFF"/>
                <w:sz w:val="19"/>
                <w:szCs w:val="19"/>
              </w:rPr>
              <w:t xml:space="preserve">#</w:t>
            </w:r>
          </w:p>
        </w:tc>
        <w:tc>
          <w:tcPr>
            <w:tcW w:type="dxa" w:w="3550"/>
            <w:shd w:fill="1F3864" w:val="clear"/>
            <w:tcMar>
              <w:top w:type="dxa" w:w="80"/>
              <w:left w:type="dxa" w:w="100"/>
              <w:bottom w:type="dxa" w:w="80"/>
              <w:right w:type="dxa" w:w="100"/>
            </w:tcMar>
            <w:vAlign w:val="center"/>
          </w:tcPr>
          <w:p>
            <w:r>
              <w:rPr>
                <w:b/>
                <w:bCs/>
                <w:color w:val="FFFFFF"/>
                <w:sz w:val="19"/>
                <w:szCs w:val="19"/>
              </w:rPr>
              <w:t xml:space="preserve">Principle</w:t>
            </w:r>
          </w:p>
        </w:tc>
        <w:tc>
          <w:tcPr>
            <w:tcW w:type="dxa" w:w="5300"/>
            <w:shd w:fill="1F3864" w:val="clear"/>
            <w:tcMar>
              <w:top w:type="dxa" w:w="80"/>
              <w:left w:type="dxa" w:w="100"/>
              <w:bottom w:type="dxa" w:w="80"/>
              <w:right w:type="dxa" w:w="100"/>
            </w:tcMar>
            <w:vAlign w:val="center"/>
          </w:tcPr>
          <w:p>
            <w:r>
              <w:rPr>
                <w:b/>
                <w:bCs/>
                <w:color w:val="FFFFFF"/>
                <w:sz w:val="19"/>
                <w:szCs w:val="19"/>
              </w:rPr>
              <w:t xml:space="preserve">Implication for Later Volumes</w:t>
            </w:r>
          </w:p>
        </w:tc>
      </w:tr>
      <w:tr>
        <w:tc>
          <w:tcPr>
            <w:tcW w:type="dxa" w:w="500"/>
            <w:shd w:fill="FFFFFF" w:val="clear"/>
            <w:tcMar>
              <w:top w:type="dxa" w:w="70"/>
              <w:left w:type="dxa" w:w="100"/>
              <w:bottom w:type="dxa" w:w="70"/>
              <w:right w:type="dxa" w:w="100"/>
            </w:tcMar>
          </w:tcPr>
          <w:p>
            <w:r>
              <w:rPr>
                <w:sz w:val="19"/>
                <w:szCs w:val="19"/>
              </w:rPr>
              <w:t xml:space="preserve">P1</w:t>
            </w:r>
          </w:p>
        </w:tc>
        <w:tc>
          <w:tcPr>
            <w:tcW w:type="dxa" w:w="3550"/>
            <w:shd w:fill="FFFFFF" w:val="clear"/>
            <w:tcMar>
              <w:top w:type="dxa" w:w="70"/>
              <w:left w:type="dxa" w:w="100"/>
              <w:bottom w:type="dxa" w:w="70"/>
              <w:right w:type="dxa" w:w="100"/>
            </w:tcMar>
          </w:tcPr>
          <w:p>
            <w:r>
              <w:rPr>
                <w:sz w:val="19"/>
                <w:szCs w:val="19"/>
              </w:rPr>
              <w:t xml:space="preserve">Multi-tenancy is a first-class concern, not an afterthought</w:t>
            </w:r>
          </w:p>
        </w:tc>
        <w:tc>
          <w:tcPr>
            <w:tcW w:type="dxa" w:w="5300"/>
            <w:shd w:fill="FFFFFF" w:val="clear"/>
            <w:tcMar>
              <w:top w:type="dxa" w:w="70"/>
              <w:left w:type="dxa" w:w="100"/>
              <w:bottom w:type="dxa" w:w="70"/>
              <w:right w:type="dxa" w:w="100"/>
            </w:tcMar>
          </w:tcPr>
          <w:p>
            <w:r>
              <w:rPr>
                <w:sz w:val="19"/>
                <w:szCs w:val="19"/>
              </w:rPr>
              <w:t xml:space="preserve">Every table, cache key, queue message, and log line must carry a tenant identifier from the first schema draft (Vol. 4).</w:t>
            </w:r>
          </w:p>
        </w:tc>
      </w:tr>
      <w:tr>
        <w:tc>
          <w:tcPr>
            <w:tcW w:type="dxa" w:w="500"/>
            <w:shd w:fill="DCE6F1" w:val="clear"/>
            <w:tcMar>
              <w:top w:type="dxa" w:w="70"/>
              <w:left w:type="dxa" w:w="100"/>
              <w:bottom w:type="dxa" w:w="70"/>
              <w:right w:type="dxa" w:w="100"/>
            </w:tcMar>
          </w:tcPr>
          <w:p>
            <w:r>
              <w:rPr>
                <w:sz w:val="19"/>
                <w:szCs w:val="19"/>
              </w:rPr>
              <w:t xml:space="preserve">P2</w:t>
            </w:r>
          </w:p>
        </w:tc>
        <w:tc>
          <w:tcPr>
            <w:tcW w:type="dxa" w:w="3550"/>
            <w:shd w:fill="DCE6F1" w:val="clear"/>
            <w:tcMar>
              <w:top w:type="dxa" w:w="70"/>
              <w:left w:type="dxa" w:w="100"/>
              <w:bottom w:type="dxa" w:w="70"/>
              <w:right w:type="dxa" w:w="100"/>
            </w:tcMar>
          </w:tcPr>
          <w:p>
            <w:r>
              <w:rPr>
                <w:sz w:val="19"/>
                <w:szCs w:val="19"/>
              </w:rPr>
              <w:t xml:space="preserve">Every business capability must be independently testable and independently deployable in the medium term</w:t>
            </w:r>
          </w:p>
        </w:tc>
        <w:tc>
          <w:tcPr>
            <w:tcW w:type="dxa" w:w="5300"/>
            <w:shd w:fill="DCE6F1" w:val="clear"/>
            <w:tcMar>
              <w:top w:type="dxa" w:w="70"/>
              <w:left w:type="dxa" w:w="100"/>
              <w:bottom w:type="dxa" w:w="70"/>
              <w:right w:type="dxa" w:w="100"/>
            </w:tcMar>
          </w:tcPr>
          <w:p>
            <w:r>
              <w:rPr>
                <w:sz w:val="19"/>
                <w:szCs w:val="19"/>
              </w:rPr>
              <w:t xml:space="preserve">Application Architecture (Vol. 2) must define bounded contexts with explicit contracts, not a single monolithic module.</w:t>
            </w:r>
          </w:p>
        </w:tc>
      </w:tr>
      <w:tr>
        <w:tc>
          <w:tcPr>
            <w:tcW w:type="dxa" w:w="500"/>
            <w:shd w:fill="FFFFFF" w:val="clear"/>
            <w:tcMar>
              <w:top w:type="dxa" w:w="70"/>
              <w:left w:type="dxa" w:w="100"/>
              <w:bottom w:type="dxa" w:w="70"/>
              <w:right w:type="dxa" w:w="100"/>
            </w:tcMar>
          </w:tcPr>
          <w:p>
            <w:r>
              <w:rPr>
                <w:sz w:val="19"/>
                <w:szCs w:val="19"/>
              </w:rPr>
              <w:t xml:space="preserve">P3</w:t>
            </w:r>
          </w:p>
        </w:tc>
        <w:tc>
          <w:tcPr>
            <w:tcW w:type="dxa" w:w="3550"/>
            <w:shd w:fill="FFFFFF" w:val="clear"/>
            <w:tcMar>
              <w:top w:type="dxa" w:w="70"/>
              <w:left w:type="dxa" w:w="100"/>
              <w:bottom w:type="dxa" w:w="70"/>
              <w:right w:type="dxa" w:w="100"/>
            </w:tcMar>
          </w:tcPr>
          <w:p>
            <w:r>
              <w:rPr>
                <w:sz w:val="19"/>
                <w:szCs w:val="19"/>
              </w:rPr>
              <w:t xml:space="preserve">The general ledger is the single source of financial truth</w:t>
            </w:r>
          </w:p>
        </w:tc>
        <w:tc>
          <w:tcPr>
            <w:tcW w:type="dxa" w:w="5300"/>
            <w:shd w:fill="FFFFFF" w:val="clear"/>
            <w:tcMar>
              <w:top w:type="dxa" w:w="70"/>
              <w:left w:type="dxa" w:w="100"/>
              <w:bottom w:type="dxa" w:w="70"/>
              <w:right w:type="dxa" w:w="100"/>
            </w:tcMar>
          </w:tcPr>
          <w:p>
            <w:r>
              <w:rPr>
                <w:sz w:val="19"/>
                <w:szCs w:val="19"/>
              </w:rPr>
              <w:t xml:space="preserve">All modules (invoicing, bills, payroll, inventory valuation) post to a canonical journal entry model - no module maintains a shadow ledger.</w:t>
            </w:r>
          </w:p>
        </w:tc>
      </w:tr>
      <w:tr>
        <w:tc>
          <w:tcPr>
            <w:tcW w:type="dxa" w:w="500"/>
            <w:shd w:fill="DCE6F1" w:val="clear"/>
            <w:tcMar>
              <w:top w:type="dxa" w:w="70"/>
              <w:left w:type="dxa" w:w="100"/>
              <w:bottom w:type="dxa" w:w="70"/>
              <w:right w:type="dxa" w:w="100"/>
            </w:tcMar>
          </w:tcPr>
          <w:p>
            <w:r>
              <w:rPr>
                <w:sz w:val="19"/>
                <w:szCs w:val="19"/>
              </w:rPr>
              <w:t xml:space="preserve">P4</w:t>
            </w:r>
          </w:p>
        </w:tc>
        <w:tc>
          <w:tcPr>
            <w:tcW w:type="dxa" w:w="3550"/>
            <w:shd w:fill="DCE6F1" w:val="clear"/>
            <w:tcMar>
              <w:top w:type="dxa" w:w="70"/>
              <w:left w:type="dxa" w:w="100"/>
              <w:bottom w:type="dxa" w:w="70"/>
              <w:right w:type="dxa" w:w="100"/>
            </w:tcMar>
          </w:tcPr>
          <w:p>
            <w:r>
              <w:rPr>
                <w:sz w:val="19"/>
                <w:szCs w:val="19"/>
              </w:rPr>
              <w:t xml:space="preserve">Auditability is non-negotiable</w:t>
            </w:r>
          </w:p>
        </w:tc>
        <w:tc>
          <w:tcPr>
            <w:tcW w:type="dxa" w:w="5300"/>
            <w:shd w:fill="DCE6F1" w:val="clear"/>
            <w:tcMar>
              <w:top w:type="dxa" w:w="70"/>
              <w:left w:type="dxa" w:w="100"/>
              <w:bottom w:type="dxa" w:w="70"/>
              <w:right w:type="dxa" w:w="100"/>
            </w:tcMar>
          </w:tcPr>
          <w:p>
            <w:r>
              <w:rPr>
                <w:sz w:val="19"/>
                <w:szCs w:val="19"/>
              </w:rPr>
              <w:t xml:space="preserve">Every financial mutation is append-only at the ledger level; corrections are reversing entries, never in-place edits (Vol. 4, Vol. 6).</w:t>
            </w:r>
          </w:p>
        </w:tc>
      </w:tr>
      <w:tr>
        <w:tc>
          <w:tcPr>
            <w:tcW w:type="dxa" w:w="500"/>
            <w:shd w:fill="FFFFFF" w:val="clear"/>
            <w:tcMar>
              <w:top w:type="dxa" w:w="70"/>
              <w:left w:type="dxa" w:w="100"/>
              <w:bottom w:type="dxa" w:w="70"/>
              <w:right w:type="dxa" w:w="100"/>
            </w:tcMar>
          </w:tcPr>
          <w:p>
            <w:r>
              <w:rPr>
                <w:sz w:val="19"/>
                <w:szCs w:val="19"/>
              </w:rPr>
              <w:t xml:space="preserve">P5</w:t>
            </w:r>
          </w:p>
        </w:tc>
        <w:tc>
          <w:tcPr>
            <w:tcW w:type="dxa" w:w="3550"/>
            <w:shd w:fill="FFFFFF" w:val="clear"/>
            <w:tcMar>
              <w:top w:type="dxa" w:w="70"/>
              <w:left w:type="dxa" w:w="100"/>
              <w:bottom w:type="dxa" w:w="70"/>
              <w:right w:type="dxa" w:w="100"/>
            </w:tcMar>
          </w:tcPr>
          <w:p>
            <w:r>
              <w:rPr>
                <w:sz w:val="19"/>
                <w:szCs w:val="19"/>
              </w:rPr>
              <w:t xml:space="preserve">API and UI are equal citizens</w:t>
            </w:r>
          </w:p>
        </w:tc>
        <w:tc>
          <w:tcPr>
            <w:tcW w:type="dxa" w:w="5300"/>
            <w:shd w:fill="FFFFFF" w:val="clear"/>
            <w:tcMar>
              <w:top w:type="dxa" w:w="70"/>
              <w:left w:type="dxa" w:w="100"/>
              <w:bottom w:type="dxa" w:w="70"/>
              <w:right w:type="dxa" w:w="100"/>
            </w:tcMar>
          </w:tcPr>
          <w:p>
            <w:r>
              <w:rPr>
                <w:sz w:val="19"/>
                <w:szCs w:val="19"/>
              </w:rPr>
              <w:t xml:space="preserve">No business operation may be UI-only; the UI is a client of the same API surface third parties use (Vol. 9).</w:t>
            </w:r>
          </w:p>
        </w:tc>
      </w:tr>
      <w:tr>
        <w:tc>
          <w:tcPr>
            <w:tcW w:type="dxa" w:w="500"/>
            <w:shd w:fill="DCE6F1" w:val="clear"/>
            <w:tcMar>
              <w:top w:type="dxa" w:w="70"/>
              <w:left w:type="dxa" w:w="100"/>
              <w:bottom w:type="dxa" w:w="70"/>
              <w:right w:type="dxa" w:w="100"/>
            </w:tcMar>
          </w:tcPr>
          <w:p>
            <w:r>
              <w:rPr>
                <w:sz w:val="19"/>
                <w:szCs w:val="19"/>
              </w:rPr>
              <w:t xml:space="preserve">P6</w:t>
            </w:r>
          </w:p>
        </w:tc>
        <w:tc>
          <w:tcPr>
            <w:tcW w:type="dxa" w:w="3550"/>
            <w:shd w:fill="DCE6F1" w:val="clear"/>
            <w:tcMar>
              <w:top w:type="dxa" w:w="70"/>
              <w:left w:type="dxa" w:w="100"/>
              <w:bottom w:type="dxa" w:w="70"/>
              <w:right w:type="dxa" w:w="100"/>
            </w:tcMar>
          </w:tcPr>
          <w:p>
            <w:r>
              <w:rPr>
                <w:sz w:val="19"/>
                <w:szCs w:val="19"/>
              </w:rPr>
              <w:t xml:space="preserve">Compliance and locale rules are configuration, not code branches</w:t>
            </w:r>
          </w:p>
        </w:tc>
        <w:tc>
          <w:tcPr>
            <w:tcW w:type="dxa" w:w="5300"/>
            <w:shd w:fill="DCE6F1" w:val="clear"/>
            <w:tcMar>
              <w:top w:type="dxa" w:w="70"/>
              <w:left w:type="dxa" w:w="100"/>
              <w:bottom w:type="dxa" w:w="70"/>
              <w:right w:type="dxa" w:w="100"/>
            </w:tcMar>
          </w:tcPr>
          <w:p>
            <w:r>
              <w:rPr>
                <w:sz w:val="19"/>
                <w:szCs w:val="19"/>
              </w:rPr>
              <w:t xml:space="preserve">Tax engines, number formats, and statutory reports are driven by tenant/country configuration (Vol. 5).</w:t>
            </w:r>
          </w:p>
        </w:tc>
      </w:tr>
      <w:tr>
        <w:tc>
          <w:tcPr>
            <w:tcW w:type="dxa" w:w="500"/>
            <w:shd w:fill="FFFFFF" w:val="clear"/>
            <w:tcMar>
              <w:top w:type="dxa" w:w="70"/>
              <w:left w:type="dxa" w:w="100"/>
              <w:bottom w:type="dxa" w:w="70"/>
              <w:right w:type="dxa" w:w="100"/>
            </w:tcMar>
          </w:tcPr>
          <w:p>
            <w:r>
              <w:rPr>
                <w:sz w:val="19"/>
                <w:szCs w:val="19"/>
              </w:rPr>
              <w:t xml:space="preserve">P7</w:t>
            </w:r>
          </w:p>
        </w:tc>
        <w:tc>
          <w:tcPr>
            <w:tcW w:type="dxa" w:w="3550"/>
            <w:shd w:fill="FFFFFF" w:val="clear"/>
            <w:tcMar>
              <w:top w:type="dxa" w:w="70"/>
              <w:left w:type="dxa" w:w="100"/>
              <w:bottom w:type="dxa" w:w="70"/>
              <w:right w:type="dxa" w:w="100"/>
            </w:tcMar>
          </w:tcPr>
          <w:p>
            <w:r>
              <w:rPr>
                <w:sz w:val="19"/>
                <w:szCs w:val="19"/>
              </w:rPr>
              <w:t xml:space="preserve">Extensibility over customization sprawl</w:t>
            </w:r>
          </w:p>
        </w:tc>
        <w:tc>
          <w:tcPr>
            <w:tcW w:type="dxa" w:w="5300"/>
            <w:shd w:fill="FFFFFF" w:val="clear"/>
            <w:tcMar>
              <w:top w:type="dxa" w:w="70"/>
              <w:left w:type="dxa" w:w="100"/>
              <w:bottom w:type="dxa" w:w="70"/>
              <w:right w:type="dxa" w:w="100"/>
            </w:tcMar>
          </w:tcPr>
          <w:p>
            <w:r>
              <w:rPr>
                <w:sz w:val="19"/>
                <w:szCs w:val="19"/>
              </w:rPr>
              <w:t xml:space="preserve">Prefer custom fields, workflow rules, and webhooks (BC-16, BC-19) over per-tenant code forks.</w:t>
            </w:r>
          </w:p>
        </w:tc>
      </w:tr>
    </w:tbl>
    <w:p>
      <w:r>
        <w:br w:type="page"/>
      </w:r>
    </w:p>
    <w:p>
      <w:pPr>
        <w:pStyle w:val="Heading1"/>
        <w:spacing w:before="400" w:after="200"/>
      </w:pPr>
      <w:r>
        <w:rPr>
          <w:b/>
          <w:bCs/>
          <w:color w:val="1F3864"/>
          <w:sz w:val="32"/>
          <w:szCs w:val="32"/>
        </w:rPr>
        <w:t xml:space="preserve">4. Stakeholder &amp; Persona Map</w:t>
      </w:r>
    </w:p>
    <w:p>
      <w:pPr>
        <w:spacing w:after="160" w:line="276"/>
      </w:pPr>
      <w:r>
        <w:rPr>
          <w:b w:val="false"/>
          <w:bCs w:val="false"/>
          <w:i w:val="false"/>
          <w:iCs w:val="false"/>
          <w:color w:val="1A1A1A"/>
          <w:sz w:val="22"/>
          <w:szCs w:val="22"/>
        </w:rPr>
        <w:t xml:space="preserve">Personas drive both the module priority (Section 2.3) and the permission model that Volume 6 (Security Architecture) will formalize into roles. Each persona is tagged with the value streams (Section 7) it participates 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650"/>
        <w:gridCol w:w="3400"/>
        <w:gridCol w:w="2600"/>
      </w:tblGrid>
      <w:tr>
        <w:trPr>
          <w:tblHeader/>
        </w:trPr>
        <w:tc>
          <w:tcPr>
            <w:tcW w:type="dxa" w:w="700"/>
            <w:shd w:fill="1F3864" w:val="clear"/>
            <w:tcMar>
              <w:top w:type="dxa" w:w="80"/>
              <w:left w:type="dxa" w:w="100"/>
              <w:bottom w:type="dxa" w:w="80"/>
              <w:right w:type="dxa" w:w="100"/>
            </w:tcMar>
            <w:vAlign w:val="center"/>
          </w:tcPr>
          <w:p>
            <w:r>
              <w:rPr>
                <w:b/>
                <w:bCs/>
                <w:color w:val="FFFFFF"/>
                <w:sz w:val="19"/>
                <w:szCs w:val="19"/>
              </w:rPr>
              <w:t xml:space="preserve">ID</w:t>
            </w:r>
          </w:p>
        </w:tc>
        <w:tc>
          <w:tcPr>
            <w:tcW w:type="dxa" w:w="2650"/>
            <w:shd w:fill="1F3864" w:val="clear"/>
            <w:tcMar>
              <w:top w:type="dxa" w:w="80"/>
              <w:left w:type="dxa" w:w="100"/>
              <w:bottom w:type="dxa" w:w="80"/>
              <w:right w:type="dxa" w:w="100"/>
            </w:tcMar>
            <w:vAlign w:val="center"/>
          </w:tcPr>
          <w:p>
            <w:r>
              <w:rPr>
                <w:b/>
                <w:bCs/>
                <w:color w:val="FFFFFF"/>
                <w:sz w:val="19"/>
                <w:szCs w:val="19"/>
              </w:rPr>
              <w:t xml:space="preserve">Persona</w:t>
            </w:r>
          </w:p>
        </w:tc>
        <w:tc>
          <w:tcPr>
            <w:tcW w:type="dxa" w:w="3400"/>
            <w:shd w:fill="1F3864" w:val="clear"/>
            <w:tcMar>
              <w:top w:type="dxa" w:w="80"/>
              <w:left w:type="dxa" w:w="100"/>
              <w:bottom w:type="dxa" w:w="80"/>
              <w:right w:type="dxa" w:w="100"/>
            </w:tcMar>
            <w:vAlign w:val="center"/>
          </w:tcPr>
          <w:p>
            <w:r>
              <w:rPr>
                <w:b/>
                <w:bCs/>
                <w:color w:val="FFFFFF"/>
                <w:sz w:val="19"/>
                <w:szCs w:val="19"/>
              </w:rPr>
              <w:t xml:space="preserve">Goals</w:t>
            </w:r>
          </w:p>
        </w:tc>
        <w:tc>
          <w:tcPr>
            <w:tcW w:type="dxa" w:w="2600"/>
            <w:shd w:fill="1F3864" w:val="clear"/>
            <w:tcMar>
              <w:top w:type="dxa" w:w="80"/>
              <w:left w:type="dxa" w:w="100"/>
              <w:bottom w:type="dxa" w:w="80"/>
              <w:right w:type="dxa" w:w="100"/>
            </w:tcMar>
            <w:vAlign w:val="center"/>
          </w:tcPr>
          <w:p>
            <w:r>
              <w:rPr>
                <w:b/>
                <w:bCs/>
                <w:color w:val="FFFFFF"/>
                <w:sz w:val="19"/>
                <w:szCs w:val="19"/>
              </w:rPr>
              <w:t xml:space="preserve">Primary Value Streams</w:t>
            </w:r>
          </w:p>
        </w:tc>
      </w:tr>
      <w:tr>
        <w:tc>
          <w:tcPr>
            <w:tcW w:type="dxa" w:w="700"/>
            <w:shd w:fill="FFFFFF" w:val="clear"/>
            <w:tcMar>
              <w:top w:type="dxa" w:w="70"/>
              <w:left w:type="dxa" w:w="100"/>
              <w:bottom w:type="dxa" w:w="70"/>
              <w:right w:type="dxa" w:w="100"/>
            </w:tcMar>
          </w:tcPr>
          <w:p>
            <w:r>
              <w:rPr>
                <w:sz w:val="19"/>
                <w:szCs w:val="19"/>
              </w:rPr>
              <w:t xml:space="preserve">PER-01</w:t>
            </w:r>
          </w:p>
        </w:tc>
        <w:tc>
          <w:tcPr>
            <w:tcW w:type="dxa" w:w="2650"/>
            <w:shd w:fill="FFFFFF" w:val="clear"/>
            <w:tcMar>
              <w:top w:type="dxa" w:w="70"/>
              <w:left w:type="dxa" w:w="100"/>
              <w:bottom w:type="dxa" w:w="70"/>
              <w:right w:type="dxa" w:w="100"/>
            </w:tcMar>
          </w:tcPr>
          <w:p>
            <w:r>
              <w:rPr>
                <w:sz w:val="19"/>
                <w:szCs w:val="19"/>
              </w:rPr>
              <w:t xml:space="preserve">Business Owner / Admin</w:t>
            </w:r>
          </w:p>
        </w:tc>
        <w:tc>
          <w:tcPr>
            <w:tcW w:type="dxa" w:w="3400"/>
            <w:shd w:fill="FFFFFF" w:val="clear"/>
            <w:tcMar>
              <w:top w:type="dxa" w:w="70"/>
              <w:left w:type="dxa" w:w="100"/>
              <w:bottom w:type="dxa" w:w="70"/>
              <w:right w:type="dxa" w:w="100"/>
            </w:tcMar>
          </w:tcPr>
          <w:p>
            <w:r>
              <w:rPr>
                <w:sz w:val="19"/>
                <w:szCs w:val="19"/>
              </w:rPr>
              <w:t xml:space="preserve">Overall visibility, approvals, org &amp; user setup, editions/billing</w:t>
            </w:r>
          </w:p>
        </w:tc>
        <w:tc>
          <w:tcPr>
            <w:tcW w:type="dxa" w:w="2600"/>
            <w:shd w:fill="FFFFFF" w:val="clear"/>
            <w:tcMar>
              <w:top w:type="dxa" w:w="70"/>
              <w:left w:type="dxa" w:w="100"/>
              <w:bottom w:type="dxa" w:w="70"/>
              <w:right w:type="dxa" w:w="100"/>
            </w:tcMar>
          </w:tcPr>
          <w:p>
            <w:r>
              <w:rPr>
                <w:sz w:val="19"/>
                <w:szCs w:val="19"/>
              </w:rPr>
              <w:t xml:space="preserve">VS-01, VS-02, VS-03, VS-05</w:t>
            </w:r>
          </w:p>
        </w:tc>
      </w:tr>
      <w:tr>
        <w:tc>
          <w:tcPr>
            <w:tcW w:type="dxa" w:w="700"/>
            <w:shd w:fill="DCE6F1" w:val="clear"/>
            <w:tcMar>
              <w:top w:type="dxa" w:w="70"/>
              <w:left w:type="dxa" w:w="100"/>
              <w:bottom w:type="dxa" w:w="70"/>
              <w:right w:type="dxa" w:w="100"/>
            </w:tcMar>
          </w:tcPr>
          <w:p>
            <w:r>
              <w:rPr>
                <w:sz w:val="19"/>
                <w:szCs w:val="19"/>
              </w:rPr>
              <w:t xml:space="preserve">PER-02</w:t>
            </w:r>
          </w:p>
        </w:tc>
        <w:tc>
          <w:tcPr>
            <w:tcW w:type="dxa" w:w="2650"/>
            <w:shd w:fill="DCE6F1" w:val="clear"/>
            <w:tcMar>
              <w:top w:type="dxa" w:w="70"/>
              <w:left w:type="dxa" w:w="100"/>
              <w:bottom w:type="dxa" w:w="70"/>
              <w:right w:type="dxa" w:w="100"/>
            </w:tcMar>
          </w:tcPr>
          <w:p>
            <w:r>
              <w:rPr>
                <w:sz w:val="19"/>
                <w:szCs w:val="19"/>
              </w:rPr>
              <w:t xml:space="preserve">Accountant / Bookkeeper (internal)</w:t>
            </w:r>
          </w:p>
        </w:tc>
        <w:tc>
          <w:tcPr>
            <w:tcW w:type="dxa" w:w="3400"/>
            <w:shd w:fill="DCE6F1" w:val="clear"/>
            <w:tcMar>
              <w:top w:type="dxa" w:w="70"/>
              <w:left w:type="dxa" w:w="100"/>
              <w:bottom w:type="dxa" w:w="70"/>
              <w:right w:type="dxa" w:w="100"/>
            </w:tcMar>
          </w:tcPr>
          <w:p>
            <w:r>
              <w:rPr>
                <w:sz w:val="19"/>
                <w:szCs w:val="19"/>
              </w:rPr>
              <w:t xml:space="preserve">Journal entries, reconciliation, close-the-books, reports</w:t>
            </w:r>
          </w:p>
        </w:tc>
        <w:tc>
          <w:tcPr>
            <w:tcW w:type="dxa" w:w="2600"/>
            <w:shd w:fill="DCE6F1" w:val="clear"/>
            <w:tcMar>
              <w:top w:type="dxa" w:w="70"/>
              <w:left w:type="dxa" w:w="100"/>
              <w:bottom w:type="dxa" w:w="70"/>
              <w:right w:type="dxa" w:w="100"/>
            </w:tcMar>
          </w:tcPr>
          <w:p>
            <w:r>
              <w:rPr>
                <w:sz w:val="19"/>
                <w:szCs w:val="19"/>
              </w:rPr>
              <w:t xml:space="preserve">VS-03, VS-06</w:t>
            </w:r>
          </w:p>
        </w:tc>
      </w:tr>
      <w:tr>
        <w:tc>
          <w:tcPr>
            <w:tcW w:type="dxa" w:w="700"/>
            <w:shd w:fill="FFFFFF" w:val="clear"/>
            <w:tcMar>
              <w:top w:type="dxa" w:w="70"/>
              <w:left w:type="dxa" w:w="100"/>
              <w:bottom w:type="dxa" w:w="70"/>
              <w:right w:type="dxa" w:w="100"/>
            </w:tcMar>
          </w:tcPr>
          <w:p>
            <w:r>
              <w:rPr>
                <w:sz w:val="19"/>
                <w:szCs w:val="19"/>
              </w:rPr>
              <w:t xml:space="preserve">PER-03</w:t>
            </w:r>
          </w:p>
        </w:tc>
        <w:tc>
          <w:tcPr>
            <w:tcW w:type="dxa" w:w="2650"/>
            <w:shd w:fill="FFFFFF" w:val="clear"/>
            <w:tcMar>
              <w:top w:type="dxa" w:w="70"/>
              <w:left w:type="dxa" w:w="100"/>
              <w:bottom w:type="dxa" w:w="70"/>
              <w:right w:type="dxa" w:w="100"/>
            </w:tcMar>
          </w:tcPr>
          <w:p>
            <w:r>
              <w:rPr>
                <w:sz w:val="19"/>
                <w:szCs w:val="19"/>
              </w:rPr>
              <w:t xml:space="preserve">External Accountant / Auditor</w:t>
            </w:r>
          </w:p>
        </w:tc>
        <w:tc>
          <w:tcPr>
            <w:tcW w:type="dxa" w:w="3400"/>
            <w:shd w:fill="FFFFFF" w:val="clear"/>
            <w:tcMar>
              <w:top w:type="dxa" w:w="70"/>
              <w:left w:type="dxa" w:w="100"/>
              <w:bottom w:type="dxa" w:w="70"/>
              <w:right w:type="dxa" w:w="100"/>
            </w:tcMar>
          </w:tcPr>
          <w:p>
            <w:r>
              <w:rPr>
                <w:sz w:val="19"/>
                <w:szCs w:val="19"/>
              </w:rPr>
              <w:t xml:space="preserve">Read/adjust access to a client's books via Accountant Module</w:t>
            </w:r>
          </w:p>
        </w:tc>
        <w:tc>
          <w:tcPr>
            <w:tcW w:type="dxa" w:w="2600"/>
            <w:shd w:fill="FFFFFF" w:val="clear"/>
            <w:tcMar>
              <w:top w:type="dxa" w:w="70"/>
              <w:left w:type="dxa" w:w="100"/>
              <w:bottom w:type="dxa" w:w="70"/>
              <w:right w:type="dxa" w:w="100"/>
            </w:tcMar>
          </w:tcPr>
          <w:p>
            <w:r>
              <w:rPr>
                <w:sz w:val="19"/>
                <w:szCs w:val="19"/>
              </w:rPr>
              <w:t xml:space="preserve">VS-03, VS-06</w:t>
            </w:r>
          </w:p>
        </w:tc>
      </w:tr>
      <w:tr>
        <w:tc>
          <w:tcPr>
            <w:tcW w:type="dxa" w:w="700"/>
            <w:shd w:fill="DCE6F1" w:val="clear"/>
            <w:tcMar>
              <w:top w:type="dxa" w:w="70"/>
              <w:left w:type="dxa" w:w="100"/>
              <w:bottom w:type="dxa" w:w="70"/>
              <w:right w:type="dxa" w:w="100"/>
            </w:tcMar>
          </w:tcPr>
          <w:p>
            <w:r>
              <w:rPr>
                <w:sz w:val="19"/>
                <w:szCs w:val="19"/>
              </w:rPr>
              <w:t xml:space="preserve">PER-04</w:t>
            </w:r>
          </w:p>
        </w:tc>
        <w:tc>
          <w:tcPr>
            <w:tcW w:type="dxa" w:w="2650"/>
            <w:shd w:fill="DCE6F1" w:val="clear"/>
            <w:tcMar>
              <w:top w:type="dxa" w:w="70"/>
              <w:left w:type="dxa" w:w="100"/>
              <w:bottom w:type="dxa" w:w="70"/>
              <w:right w:type="dxa" w:w="100"/>
            </w:tcMar>
          </w:tcPr>
          <w:p>
            <w:r>
              <w:rPr>
                <w:sz w:val="19"/>
                <w:szCs w:val="19"/>
              </w:rPr>
              <w:t xml:space="preserve">Sales / AR Clerk</w:t>
            </w:r>
          </w:p>
        </w:tc>
        <w:tc>
          <w:tcPr>
            <w:tcW w:type="dxa" w:w="3400"/>
            <w:shd w:fill="DCE6F1" w:val="clear"/>
            <w:tcMar>
              <w:top w:type="dxa" w:w="70"/>
              <w:left w:type="dxa" w:w="100"/>
              <w:bottom w:type="dxa" w:w="70"/>
              <w:right w:type="dxa" w:w="100"/>
            </w:tcMar>
          </w:tcPr>
          <w:p>
            <w:r>
              <w:rPr>
                <w:sz w:val="19"/>
                <w:szCs w:val="19"/>
              </w:rPr>
              <w:t xml:space="preserve">Quotes, invoices, payment collection, customer communication</w:t>
            </w:r>
          </w:p>
        </w:tc>
        <w:tc>
          <w:tcPr>
            <w:tcW w:type="dxa" w:w="2600"/>
            <w:shd w:fill="DCE6F1" w:val="clear"/>
            <w:tcMar>
              <w:top w:type="dxa" w:w="70"/>
              <w:left w:type="dxa" w:w="100"/>
              <w:bottom w:type="dxa" w:w="70"/>
              <w:right w:type="dxa" w:w="100"/>
            </w:tcMar>
          </w:tcPr>
          <w:p>
            <w:r>
              <w:rPr>
                <w:sz w:val="19"/>
                <w:szCs w:val="19"/>
              </w:rPr>
              <w:t xml:space="preserve">VS-01</w:t>
            </w:r>
          </w:p>
        </w:tc>
      </w:tr>
      <w:tr>
        <w:tc>
          <w:tcPr>
            <w:tcW w:type="dxa" w:w="700"/>
            <w:shd w:fill="FFFFFF" w:val="clear"/>
            <w:tcMar>
              <w:top w:type="dxa" w:w="70"/>
              <w:left w:type="dxa" w:w="100"/>
              <w:bottom w:type="dxa" w:w="70"/>
              <w:right w:type="dxa" w:w="100"/>
            </w:tcMar>
          </w:tcPr>
          <w:p>
            <w:r>
              <w:rPr>
                <w:sz w:val="19"/>
                <w:szCs w:val="19"/>
              </w:rPr>
              <w:t xml:space="preserve">PER-05</w:t>
            </w:r>
          </w:p>
        </w:tc>
        <w:tc>
          <w:tcPr>
            <w:tcW w:type="dxa" w:w="2650"/>
            <w:shd w:fill="FFFFFF" w:val="clear"/>
            <w:tcMar>
              <w:top w:type="dxa" w:w="70"/>
              <w:left w:type="dxa" w:w="100"/>
              <w:bottom w:type="dxa" w:w="70"/>
              <w:right w:type="dxa" w:w="100"/>
            </w:tcMar>
          </w:tcPr>
          <w:p>
            <w:r>
              <w:rPr>
                <w:sz w:val="19"/>
                <w:szCs w:val="19"/>
              </w:rPr>
              <w:t xml:space="preserve">Purchasing / AP Clerk</w:t>
            </w:r>
          </w:p>
        </w:tc>
        <w:tc>
          <w:tcPr>
            <w:tcW w:type="dxa" w:w="3400"/>
            <w:shd w:fill="FFFFFF" w:val="clear"/>
            <w:tcMar>
              <w:top w:type="dxa" w:w="70"/>
              <w:left w:type="dxa" w:w="100"/>
              <w:bottom w:type="dxa" w:w="70"/>
              <w:right w:type="dxa" w:w="100"/>
            </w:tcMar>
          </w:tcPr>
          <w:p>
            <w:r>
              <w:rPr>
                <w:sz w:val="19"/>
                <w:szCs w:val="19"/>
              </w:rPr>
              <w:t xml:space="preserve">Purchase orders, bill entry, vendor payments</w:t>
            </w:r>
          </w:p>
        </w:tc>
        <w:tc>
          <w:tcPr>
            <w:tcW w:type="dxa" w:w="2600"/>
            <w:shd w:fill="FFFFFF" w:val="clear"/>
            <w:tcMar>
              <w:top w:type="dxa" w:w="70"/>
              <w:left w:type="dxa" w:w="100"/>
              <w:bottom w:type="dxa" w:w="70"/>
              <w:right w:type="dxa" w:w="100"/>
            </w:tcMar>
          </w:tcPr>
          <w:p>
            <w:r>
              <w:rPr>
                <w:sz w:val="19"/>
                <w:szCs w:val="19"/>
              </w:rPr>
              <w:t xml:space="preserve">VS-02</w:t>
            </w:r>
          </w:p>
        </w:tc>
      </w:tr>
      <w:tr>
        <w:tc>
          <w:tcPr>
            <w:tcW w:type="dxa" w:w="700"/>
            <w:shd w:fill="DCE6F1" w:val="clear"/>
            <w:tcMar>
              <w:top w:type="dxa" w:w="70"/>
              <w:left w:type="dxa" w:w="100"/>
              <w:bottom w:type="dxa" w:w="70"/>
              <w:right w:type="dxa" w:w="100"/>
            </w:tcMar>
          </w:tcPr>
          <w:p>
            <w:r>
              <w:rPr>
                <w:sz w:val="19"/>
                <w:szCs w:val="19"/>
              </w:rPr>
              <w:t xml:space="preserve">PER-06</w:t>
            </w:r>
          </w:p>
        </w:tc>
        <w:tc>
          <w:tcPr>
            <w:tcW w:type="dxa" w:w="2650"/>
            <w:shd w:fill="DCE6F1" w:val="clear"/>
            <w:tcMar>
              <w:top w:type="dxa" w:w="70"/>
              <w:left w:type="dxa" w:w="100"/>
              <w:bottom w:type="dxa" w:w="70"/>
              <w:right w:type="dxa" w:w="100"/>
            </w:tcMar>
          </w:tcPr>
          <w:p>
            <w:r>
              <w:rPr>
                <w:sz w:val="19"/>
                <w:szCs w:val="19"/>
              </w:rPr>
              <w:t xml:space="preserve">Warehouse / Inventory Manager</w:t>
            </w:r>
          </w:p>
        </w:tc>
        <w:tc>
          <w:tcPr>
            <w:tcW w:type="dxa" w:w="3400"/>
            <w:shd w:fill="DCE6F1" w:val="clear"/>
            <w:tcMar>
              <w:top w:type="dxa" w:w="70"/>
              <w:left w:type="dxa" w:w="100"/>
              <w:bottom w:type="dxa" w:w="70"/>
              <w:right w:type="dxa" w:w="100"/>
            </w:tcMar>
          </w:tcPr>
          <w:p>
            <w:r>
              <w:rPr>
                <w:sz w:val="19"/>
                <w:szCs w:val="19"/>
              </w:rPr>
              <w:t xml:space="preserve">Stock levels, adjustments, reorder points, batches</w:t>
            </w:r>
          </w:p>
        </w:tc>
        <w:tc>
          <w:tcPr>
            <w:tcW w:type="dxa" w:w="2600"/>
            <w:shd w:fill="DCE6F1" w:val="clear"/>
            <w:tcMar>
              <w:top w:type="dxa" w:w="70"/>
              <w:left w:type="dxa" w:w="100"/>
              <w:bottom w:type="dxa" w:w="70"/>
              <w:right w:type="dxa" w:w="100"/>
            </w:tcMar>
          </w:tcPr>
          <w:p>
            <w:r>
              <w:rPr>
                <w:sz w:val="19"/>
                <w:szCs w:val="19"/>
              </w:rPr>
              <w:t xml:space="preserve">VS-01, VS-02</w:t>
            </w:r>
          </w:p>
        </w:tc>
      </w:tr>
      <w:tr>
        <w:tc>
          <w:tcPr>
            <w:tcW w:type="dxa" w:w="700"/>
            <w:shd w:fill="FFFFFF" w:val="clear"/>
            <w:tcMar>
              <w:top w:type="dxa" w:w="70"/>
              <w:left w:type="dxa" w:w="100"/>
              <w:bottom w:type="dxa" w:w="70"/>
              <w:right w:type="dxa" w:w="100"/>
            </w:tcMar>
          </w:tcPr>
          <w:p>
            <w:r>
              <w:rPr>
                <w:sz w:val="19"/>
                <w:szCs w:val="19"/>
              </w:rPr>
              <w:t xml:space="preserve">PER-07</w:t>
            </w:r>
          </w:p>
        </w:tc>
        <w:tc>
          <w:tcPr>
            <w:tcW w:type="dxa" w:w="2650"/>
            <w:shd w:fill="FFFFFF" w:val="clear"/>
            <w:tcMar>
              <w:top w:type="dxa" w:w="70"/>
              <w:left w:type="dxa" w:w="100"/>
              <w:bottom w:type="dxa" w:w="70"/>
              <w:right w:type="dxa" w:w="100"/>
            </w:tcMar>
          </w:tcPr>
          <w:p>
            <w:r>
              <w:rPr>
                <w:sz w:val="19"/>
                <w:szCs w:val="19"/>
              </w:rPr>
              <w:t xml:space="preserve">Project Manager / Consultant</w:t>
            </w:r>
          </w:p>
        </w:tc>
        <w:tc>
          <w:tcPr>
            <w:tcW w:type="dxa" w:w="3400"/>
            <w:shd w:fill="FFFFFF" w:val="clear"/>
            <w:tcMar>
              <w:top w:type="dxa" w:w="70"/>
              <w:left w:type="dxa" w:w="100"/>
              <w:bottom w:type="dxa" w:w="70"/>
              <w:right w:type="dxa" w:w="100"/>
            </w:tcMar>
          </w:tcPr>
          <w:p>
            <w:r>
              <w:rPr>
                <w:sz w:val="19"/>
                <w:szCs w:val="19"/>
              </w:rPr>
              <w:t xml:space="preserve">Timesheets, project budgets, client billing</w:t>
            </w:r>
          </w:p>
        </w:tc>
        <w:tc>
          <w:tcPr>
            <w:tcW w:type="dxa" w:w="2600"/>
            <w:shd w:fill="FFFFFF" w:val="clear"/>
            <w:tcMar>
              <w:top w:type="dxa" w:w="70"/>
              <w:left w:type="dxa" w:w="100"/>
              <w:bottom w:type="dxa" w:w="70"/>
              <w:right w:type="dxa" w:w="100"/>
            </w:tcMar>
          </w:tcPr>
          <w:p>
            <w:r>
              <w:rPr>
                <w:sz w:val="19"/>
                <w:szCs w:val="19"/>
              </w:rPr>
              <w:t xml:space="preserve">VS-04</w:t>
            </w:r>
          </w:p>
        </w:tc>
      </w:tr>
      <w:tr>
        <w:tc>
          <w:tcPr>
            <w:tcW w:type="dxa" w:w="700"/>
            <w:shd w:fill="DCE6F1" w:val="clear"/>
            <w:tcMar>
              <w:top w:type="dxa" w:w="70"/>
              <w:left w:type="dxa" w:w="100"/>
              <w:bottom w:type="dxa" w:w="70"/>
              <w:right w:type="dxa" w:w="100"/>
            </w:tcMar>
          </w:tcPr>
          <w:p>
            <w:r>
              <w:rPr>
                <w:sz w:val="19"/>
                <w:szCs w:val="19"/>
              </w:rPr>
              <w:t xml:space="preserve">PER-08</w:t>
            </w:r>
          </w:p>
        </w:tc>
        <w:tc>
          <w:tcPr>
            <w:tcW w:type="dxa" w:w="2650"/>
            <w:shd w:fill="DCE6F1" w:val="clear"/>
            <w:tcMar>
              <w:top w:type="dxa" w:w="70"/>
              <w:left w:type="dxa" w:w="100"/>
              <w:bottom w:type="dxa" w:w="70"/>
              <w:right w:type="dxa" w:w="100"/>
            </w:tcMar>
          </w:tcPr>
          <w:p>
            <w:r>
              <w:rPr>
                <w:sz w:val="19"/>
                <w:szCs w:val="19"/>
              </w:rPr>
              <w:t xml:space="preserve">Payroll Administrator</w:t>
            </w:r>
          </w:p>
        </w:tc>
        <w:tc>
          <w:tcPr>
            <w:tcW w:type="dxa" w:w="3400"/>
            <w:shd w:fill="DCE6F1" w:val="clear"/>
            <w:tcMar>
              <w:top w:type="dxa" w:w="70"/>
              <w:left w:type="dxa" w:w="100"/>
              <w:bottom w:type="dxa" w:w="70"/>
              <w:right w:type="dxa" w:w="100"/>
            </w:tcMar>
          </w:tcPr>
          <w:p>
            <w:r>
              <w:rPr>
                <w:sz w:val="19"/>
                <w:szCs w:val="19"/>
              </w:rPr>
              <w:t xml:space="preserve">Pay runs, statutory filings, payslips</w:t>
            </w:r>
          </w:p>
        </w:tc>
        <w:tc>
          <w:tcPr>
            <w:tcW w:type="dxa" w:w="2600"/>
            <w:shd w:fill="DCE6F1" w:val="clear"/>
            <w:tcMar>
              <w:top w:type="dxa" w:w="70"/>
              <w:left w:type="dxa" w:w="100"/>
              <w:bottom w:type="dxa" w:w="70"/>
              <w:right w:type="dxa" w:w="100"/>
            </w:tcMar>
          </w:tcPr>
          <w:p>
            <w:r>
              <w:rPr>
                <w:sz w:val="19"/>
                <w:szCs w:val="19"/>
              </w:rPr>
              <w:t xml:space="preserve">VS-05</w:t>
            </w:r>
          </w:p>
        </w:tc>
      </w:tr>
      <w:tr>
        <w:tc>
          <w:tcPr>
            <w:tcW w:type="dxa" w:w="700"/>
            <w:shd w:fill="FFFFFF" w:val="clear"/>
            <w:tcMar>
              <w:top w:type="dxa" w:w="70"/>
              <w:left w:type="dxa" w:w="100"/>
              <w:bottom w:type="dxa" w:w="70"/>
              <w:right w:type="dxa" w:w="100"/>
            </w:tcMar>
          </w:tcPr>
          <w:p>
            <w:r>
              <w:rPr>
                <w:sz w:val="19"/>
                <w:szCs w:val="19"/>
              </w:rPr>
              <w:t xml:space="preserve">PER-09</w:t>
            </w:r>
          </w:p>
        </w:tc>
        <w:tc>
          <w:tcPr>
            <w:tcW w:type="dxa" w:w="2650"/>
            <w:shd w:fill="FFFFFF" w:val="clear"/>
            <w:tcMar>
              <w:top w:type="dxa" w:w="70"/>
              <w:left w:type="dxa" w:w="100"/>
              <w:bottom w:type="dxa" w:w="70"/>
              <w:right w:type="dxa" w:w="100"/>
            </w:tcMar>
          </w:tcPr>
          <w:p>
            <w:r>
              <w:rPr>
                <w:sz w:val="19"/>
                <w:szCs w:val="19"/>
              </w:rPr>
              <w:t xml:space="preserve">Customer (self-service)</w:t>
            </w:r>
          </w:p>
        </w:tc>
        <w:tc>
          <w:tcPr>
            <w:tcW w:type="dxa" w:w="3400"/>
            <w:shd w:fill="FFFFFF" w:val="clear"/>
            <w:tcMar>
              <w:top w:type="dxa" w:w="70"/>
              <w:left w:type="dxa" w:w="100"/>
              <w:bottom w:type="dxa" w:w="70"/>
              <w:right w:type="dxa" w:w="100"/>
            </w:tcMar>
          </w:tcPr>
          <w:p>
            <w:r>
              <w:rPr>
                <w:sz w:val="19"/>
                <w:szCs w:val="19"/>
              </w:rPr>
              <w:t xml:space="preserve">View/pay invoices, accept quotes, message vendor via portal</w:t>
            </w:r>
          </w:p>
        </w:tc>
        <w:tc>
          <w:tcPr>
            <w:tcW w:type="dxa" w:w="2600"/>
            <w:shd w:fill="FFFFFF" w:val="clear"/>
            <w:tcMar>
              <w:top w:type="dxa" w:w="70"/>
              <w:left w:type="dxa" w:w="100"/>
              <w:bottom w:type="dxa" w:w="70"/>
              <w:right w:type="dxa" w:w="100"/>
            </w:tcMar>
          </w:tcPr>
          <w:p>
            <w:r>
              <w:rPr>
                <w:sz w:val="19"/>
                <w:szCs w:val="19"/>
              </w:rPr>
              <w:t xml:space="preserve">VS-01</w:t>
            </w:r>
          </w:p>
        </w:tc>
      </w:tr>
      <w:tr>
        <w:tc>
          <w:tcPr>
            <w:tcW w:type="dxa" w:w="700"/>
            <w:shd w:fill="DCE6F1" w:val="clear"/>
            <w:tcMar>
              <w:top w:type="dxa" w:w="70"/>
              <w:left w:type="dxa" w:w="100"/>
              <w:bottom w:type="dxa" w:w="70"/>
              <w:right w:type="dxa" w:w="100"/>
            </w:tcMar>
          </w:tcPr>
          <w:p>
            <w:r>
              <w:rPr>
                <w:sz w:val="19"/>
                <w:szCs w:val="19"/>
              </w:rPr>
              <w:t xml:space="preserve">PER-10</w:t>
            </w:r>
          </w:p>
        </w:tc>
        <w:tc>
          <w:tcPr>
            <w:tcW w:type="dxa" w:w="2650"/>
            <w:shd w:fill="DCE6F1" w:val="clear"/>
            <w:tcMar>
              <w:top w:type="dxa" w:w="70"/>
              <w:left w:type="dxa" w:w="100"/>
              <w:bottom w:type="dxa" w:w="70"/>
              <w:right w:type="dxa" w:w="100"/>
            </w:tcMar>
          </w:tcPr>
          <w:p>
            <w:r>
              <w:rPr>
                <w:sz w:val="19"/>
                <w:szCs w:val="19"/>
              </w:rPr>
              <w:t xml:space="preserve">Vendor (self-service)</w:t>
            </w:r>
          </w:p>
        </w:tc>
        <w:tc>
          <w:tcPr>
            <w:tcW w:type="dxa" w:w="3400"/>
            <w:shd w:fill="DCE6F1" w:val="clear"/>
            <w:tcMar>
              <w:top w:type="dxa" w:w="70"/>
              <w:left w:type="dxa" w:w="100"/>
              <w:bottom w:type="dxa" w:w="70"/>
              <w:right w:type="dxa" w:w="100"/>
            </w:tcMar>
          </w:tcPr>
          <w:p>
            <w:r>
              <w:rPr>
                <w:sz w:val="19"/>
                <w:szCs w:val="19"/>
              </w:rPr>
              <w:t xml:space="preserve">Submit invoices, view PO/payment status via portal</w:t>
            </w:r>
          </w:p>
        </w:tc>
        <w:tc>
          <w:tcPr>
            <w:tcW w:type="dxa" w:w="2600"/>
            <w:shd w:fill="DCE6F1" w:val="clear"/>
            <w:tcMar>
              <w:top w:type="dxa" w:w="70"/>
              <w:left w:type="dxa" w:w="100"/>
              <w:bottom w:type="dxa" w:w="70"/>
              <w:right w:type="dxa" w:w="100"/>
            </w:tcMar>
          </w:tcPr>
          <w:p>
            <w:r>
              <w:rPr>
                <w:sz w:val="19"/>
                <w:szCs w:val="19"/>
              </w:rPr>
              <w:t xml:space="preserve">VS-02</w:t>
            </w:r>
          </w:p>
        </w:tc>
      </w:tr>
      <w:tr>
        <w:tc>
          <w:tcPr>
            <w:tcW w:type="dxa" w:w="700"/>
            <w:shd w:fill="FFFFFF" w:val="clear"/>
            <w:tcMar>
              <w:top w:type="dxa" w:w="70"/>
              <w:left w:type="dxa" w:w="100"/>
              <w:bottom w:type="dxa" w:w="70"/>
              <w:right w:type="dxa" w:w="100"/>
            </w:tcMar>
          </w:tcPr>
          <w:p>
            <w:r>
              <w:rPr>
                <w:sz w:val="19"/>
                <w:szCs w:val="19"/>
              </w:rPr>
              <w:t xml:space="preserve">PER-11</w:t>
            </w:r>
          </w:p>
        </w:tc>
        <w:tc>
          <w:tcPr>
            <w:tcW w:type="dxa" w:w="2650"/>
            <w:shd w:fill="FFFFFF" w:val="clear"/>
            <w:tcMar>
              <w:top w:type="dxa" w:w="70"/>
              <w:left w:type="dxa" w:w="100"/>
              <w:bottom w:type="dxa" w:w="70"/>
              <w:right w:type="dxa" w:w="100"/>
            </w:tcMar>
          </w:tcPr>
          <w:p>
            <w:r>
              <w:rPr>
                <w:sz w:val="19"/>
                <w:szCs w:val="19"/>
              </w:rPr>
              <w:t xml:space="preserve">System Administrator</w:t>
            </w:r>
          </w:p>
        </w:tc>
        <w:tc>
          <w:tcPr>
            <w:tcW w:type="dxa" w:w="3400"/>
            <w:shd w:fill="FFFFFF" w:val="clear"/>
            <w:tcMar>
              <w:top w:type="dxa" w:w="70"/>
              <w:left w:type="dxa" w:w="100"/>
              <w:bottom w:type="dxa" w:w="70"/>
              <w:right w:type="dxa" w:w="100"/>
            </w:tcMar>
          </w:tcPr>
          <w:p>
            <w:r>
              <w:rPr>
                <w:sz w:val="19"/>
                <w:szCs w:val="19"/>
              </w:rPr>
              <w:t xml:space="preserve">Roles, security, integrations, audit trail review</w:t>
            </w:r>
          </w:p>
        </w:tc>
        <w:tc>
          <w:tcPr>
            <w:tcW w:type="dxa" w:w="2600"/>
            <w:shd w:fill="FFFFFF" w:val="clear"/>
            <w:tcMar>
              <w:top w:type="dxa" w:w="70"/>
              <w:left w:type="dxa" w:w="100"/>
              <w:bottom w:type="dxa" w:w="70"/>
              <w:right w:type="dxa" w:w="100"/>
            </w:tcMar>
          </w:tcPr>
          <w:p>
            <w:r>
              <w:rPr>
                <w:sz w:val="19"/>
                <w:szCs w:val="19"/>
              </w:rPr>
              <w:t xml:space="preserve">Cross-cutting</w:t>
            </w:r>
          </w:p>
        </w:tc>
      </w:tr>
      <w:tr>
        <w:tc>
          <w:tcPr>
            <w:tcW w:type="dxa" w:w="700"/>
            <w:shd w:fill="DCE6F1" w:val="clear"/>
            <w:tcMar>
              <w:top w:type="dxa" w:w="70"/>
              <w:left w:type="dxa" w:w="100"/>
              <w:bottom w:type="dxa" w:w="70"/>
              <w:right w:type="dxa" w:w="100"/>
            </w:tcMar>
          </w:tcPr>
          <w:p>
            <w:r>
              <w:rPr>
                <w:sz w:val="19"/>
                <w:szCs w:val="19"/>
              </w:rPr>
              <w:t xml:space="preserve">PER-12</w:t>
            </w:r>
          </w:p>
        </w:tc>
        <w:tc>
          <w:tcPr>
            <w:tcW w:type="dxa" w:w="2650"/>
            <w:shd w:fill="DCE6F1" w:val="clear"/>
            <w:tcMar>
              <w:top w:type="dxa" w:w="70"/>
              <w:left w:type="dxa" w:w="100"/>
              <w:bottom w:type="dxa" w:w="70"/>
              <w:right w:type="dxa" w:w="100"/>
            </w:tcMar>
          </w:tcPr>
          <w:p>
            <w:r>
              <w:rPr>
                <w:sz w:val="19"/>
                <w:szCs w:val="19"/>
              </w:rPr>
              <w:t xml:space="preserve">Platform Operator (internal to the vendor)</w:t>
            </w:r>
          </w:p>
        </w:tc>
        <w:tc>
          <w:tcPr>
            <w:tcW w:type="dxa" w:w="3400"/>
            <w:shd w:fill="DCE6F1" w:val="clear"/>
            <w:tcMar>
              <w:top w:type="dxa" w:w="70"/>
              <w:left w:type="dxa" w:w="100"/>
              <w:bottom w:type="dxa" w:w="70"/>
              <w:right w:type="dxa" w:w="100"/>
            </w:tcMar>
          </w:tcPr>
          <w:p>
            <w:r>
              <w:rPr>
                <w:sz w:val="19"/>
                <w:szCs w:val="19"/>
              </w:rPr>
              <w:t xml:space="preserve">Tenant provisioning, observability, incident response</w:t>
            </w:r>
          </w:p>
        </w:tc>
        <w:tc>
          <w:tcPr>
            <w:tcW w:type="dxa" w:w="2600"/>
            <w:shd w:fill="DCE6F1" w:val="clear"/>
            <w:tcMar>
              <w:top w:type="dxa" w:w="70"/>
              <w:left w:type="dxa" w:w="100"/>
              <w:bottom w:type="dxa" w:w="70"/>
              <w:right w:type="dxa" w:w="100"/>
            </w:tcMar>
          </w:tcPr>
          <w:p>
            <w:r>
              <w:rPr>
                <w:sz w:val="19"/>
                <w:szCs w:val="19"/>
              </w:rPr>
              <w:t xml:space="preserve">Cross-cutting - Vol. 7</w:t>
            </w:r>
          </w:p>
        </w:tc>
      </w:tr>
    </w:tbl>
    <w:p>
      <w:r>
        <w:br w:type="page"/>
      </w:r>
    </w:p>
    <w:p>
      <w:pPr>
        <w:pStyle w:val="Heading1"/>
        <w:spacing w:before="400" w:after="200"/>
      </w:pPr>
      <w:r>
        <w:rPr>
          <w:b/>
          <w:bCs/>
          <w:color w:val="1F3864"/>
          <w:sz w:val="32"/>
          <w:szCs w:val="32"/>
        </w:rPr>
        <w:t xml:space="preserve">5. Business Capability Model</w:t>
      </w:r>
    </w:p>
    <w:p>
      <w:pPr>
        <w:spacing w:after="160" w:line="276"/>
      </w:pPr>
      <w:r>
        <w:rPr>
          <w:b w:val="false"/>
          <w:bCs w:val="false"/>
          <w:i w:val="false"/>
          <w:iCs w:val="false"/>
          <w:color w:val="1A1A1A"/>
          <w:sz w:val="22"/>
          <w:szCs w:val="22"/>
        </w:rPr>
        <w:t xml:space="preserve">The capability model is organized in two levels: Level-1 capability domains (BC-01 through BC-21) and Level-2 sub-capabilities. This is the canonical numbering that Volume 2 (Application Architecture) will map 1:1 onto bounded contexts / services, and that Volume 4 (Data Architecture) will map onto schema boundaries.</w:t>
      </w:r>
    </w:p>
    <w:p>
      <w:pPr>
        <w:pStyle w:val="Heading2"/>
        <w:spacing w:before="300" w:after="150"/>
      </w:pPr>
      <w:r>
        <w:rPr>
          <w:b/>
          <w:bCs/>
          <w:color w:val="2E75B6"/>
          <w:sz w:val="26"/>
          <w:szCs w:val="26"/>
        </w:rPr>
        <w:t xml:space="preserve">5.1 Capability Domain Map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3050"/>
        <w:gridCol w:w="5600"/>
      </w:tblGrid>
      <w:tr>
        <w:trPr>
          <w:tblHeader/>
        </w:trPr>
        <w:tc>
          <w:tcPr>
            <w:tcW w:type="dxa" w:w="700"/>
            <w:shd w:fill="1F3864" w:val="clear"/>
            <w:tcMar>
              <w:top w:type="dxa" w:w="80"/>
              <w:left w:type="dxa" w:w="100"/>
              <w:bottom w:type="dxa" w:w="80"/>
              <w:right w:type="dxa" w:w="100"/>
            </w:tcMar>
            <w:vAlign w:val="center"/>
          </w:tcPr>
          <w:p>
            <w:r>
              <w:rPr>
                <w:b/>
                <w:bCs/>
                <w:color w:val="FFFFFF"/>
                <w:sz w:val="19"/>
                <w:szCs w:val="19"/>
              </w:rPr>
              <w:t xml:space="preserve">ID</w:t>
            </w:r>
          </w:p>
        </w:tc>
        <w:tc>
          <w:tcPr>
            <w:tcW w:type="dxa" w:w="3050"/>
            <w:shd w:fill="1F3864" w:val="clear"/>
            <w:tcMar>
              <w:top w:type="dxa" w:w="80"/>
              <w:left w:type="dxa" w:w="100"/>
              <w:bottom w:type="dxa" w:w="80"/>
              <w:right w:type="dxa" w:w="100"/>
            </w:tcMar>
            <w:vAlign w:val="center"/>
          </w:tcPr>
          <w:p>
            <w:r>
              <w:rPr>
                <w:b/>
                <w:bCs/>
                <w:color w:val="FFFFFF"/>
                <w:sz w:val="19"/>
                <w:szCs w:val="19"/>
              </w:rPr>
              <w:t xml:space="preserve">Capability Domain</w:t>
            </w:r>
          </w:p>
        </w:tc>
        <w:tc>
          <w:tcPr>
            <w:tcW w:type="dxa" w:w="5600"/>
            <w:shd w:fill="1F3864" w:val="clear"/>
            <w:tcMar>
              <w:top w:type="dxa" w:w="80"/>
              <w:left w:type="dxa" w:w="100"/>
              <w:bottom w:type="dxa" w:w="80"/>
              <w:right w:type="dxa" w:w="100"/>
            </w:tcMar>
            <w:vAlign w:val="center"/>
          </w:tcPr>
          <w:p>
            <w:r>
              <w:rPr>
                <w:b/>
                <w:bCs/>
                <w:color w:val="FFFFFF"/>
                <w:sz w:val="19"/>
                <w:szCs w:val="19"/>
              </w:rPr>
              <w:t xml:space="preserve">Sub-Capabilities (L2)</w:t>
            </w:r>
          </w:p>
        </w:tc>
      </w:tr>
      <w:tr>
        <w:tc>
          <w:tcPr>
            <w:tcW w:type="dxa" w:w="700"/>
            <w:shd w:fill="FFFFFF" w:val="clear"/>
            <w:tcMar>
              <w:top w:type="dxa" w:w="70"/>
              <w:left w:type="dxa" w:w="100"/>
              <w:bottom w:type="dxa" w:w="70"/>
              <w:right w:type="dxa" w:w="100"/>
            </w:tcMar>
          </w:tcPr>
          <w:p>
            <w:r>
              <w:rPr>
                <w:sz w:val="19"/>
                <w:szCs w:val="19"/>
              </w:rPr>
              <w:t xml:space="preserve">BC-01</w:t>
            </w:r>
          </w:p>
        </w:tc>
        <w:tc>
          <w:tcPr>
            <w:tcW w:type="dxa" w:w="3050"/>
            <w:shd w:fill="FFFFFF" w:val="clear"/>
            <w:tcMar>
              <w:top w:type="dxa" w:w="70"/>
              <w:left w:type="dxa" w:w="100"/>
              <w:bottom w:type="dxa" w:w="70"/>
              <w:right w:type="dxa" w:w="100"/>
            </w:tcMar>
          </w:tcPr>
          <w:p>
            <w:r>
              <w:rPr>
                <w:sz w:val="19"/>
                <w:szCs w:val="19"/>
              </w:rPr>
              <w:t xml:space="preserve">Core Accounting &amp; General Ledger</w:t>
            </w:r>
          </w:p>
        </w:tc>
        <w:tc>
          <w:tcPr>
            <w:tcW w:type="dxa" w:w="5600"/>
            <w:shd w:fill="FFFFFF" w:val="clear"/>
            <w:tcMar>
              <w:top w:type="dxa" w:w="70"/>
              <w:left w:type="dxa" w:w="100"/>
              <w:bottom w:type="dxa" w:w="70"/>
              <w:right w:type="dxa" w:w="100"/>
            </w:tcMar>
          </w:tcPr>
          <w:p>
            <w:r>
              <w:rPr>
                <w:sz w:val="19"/>
                <w:szCs w:val="19"/>
              </w:rPr>
              <w:t xml:space="preserve">Chart of accounts; journal entries; multi-currency posting; base-currency revaluation; transaction locking; budgets</w:t>
            </w:r>
          </w:p>
        </w:tc>
      </w:tr>
      <w:tr>
        <w:tc>
          <w:tcPr>
            <w:tcW w:type="dxa" w:w="700"/>
            <w:shd w:fill="DCE6F1" w:val="clear"/>
            <w:tcMar>
              <w:top w:type="dxa" w:w="70"/>
              <w:left w:type="dxa" w:w="100"/>
              <w:bottom w:type="dxa" w:w="70"/>
              <w:right w:type="dxa" w:w="100"/>
            </w:tcMar>
          </w:tcPr>
          <w:p>
            <w:r>
              <w:rPr>
                <w:sz w:val="19"/>
                <w:szCs w:val="19"/>
              </w:rPr>
              <w:t xml:space="preserve">BC-02</w:t>
            </w:r>
          </w:p>
        </w:tc>
        <w:tc>
          <w:tcPr>
            <w:tcW w:type="dxa" w:w="3050"/>
            <w:shd w:fill="DCE6F1" w:val="clear"/>
            <w:tcMar>
              <w:top w:type="dxa" w:w="70"/>
              <w:left w:type="dxa" w:w="100"/>
              <w:bottom w:type="dxa" w:w="70"/>
              <w:right w:type="dxa" w:w="100"/>
            </w:tcMar>
          </w:tcPr>
          <w:p>
            <w:r>
              <w:rPr>
                <w:sz w:val="19"/>
                <w:szCs w:val="19"/>
              </w:rPr>
              <w:t xml:space="preserve">Receivables (Order-to-Cash)</w:t>
            </w:r>
          </w:p>
        </w:tc>
        <w:tc>
          <w:tcPr>
            <w:tcW w:type="dxa" w:w="5600"/>
            <w:shd w:fill="DCE6F1" w:val="clear"/>
            <w:tcMar>
              <w:top w:type="dxa" w:w="70"/>
              <w:left w:type="dxa" w:w="100"/>
              <w:bottom w:type="dxa" w:w="70"/>
              <w:right w:type="dxa" w:w="100"/>
            </w:tcMar>
          </w:tcPr>
          <w:p>
            <w:r>
              <w:rPr>
                <w:sz w:val="19"/>
                <w:szCs w:val="19"/>
              </w:rPr>
              <w:t xml:space="preserve">Quotes; sales orders; invoices (incl. recurring, progress, retention); credit notes; revenue recognition; sales approvals</w:t>
            </w:r>
          </w:p>
        </w:tc>
      </w:tr>
      <w:tr>
        <w:tc>
          <w:tcPr>
            <w:tcW w:type="dxa" w:w="700"/>
            <w:shd w:fill="FFFFFF" w:val="clear"/>
            <w:tcMar>
              <w:top w:type="dxa" w:w="70"/>
              <w:left w:type="dxa" w:w="100"/>
              <w:bottom w:type="dxa" w:w="70"/>
              <w:right w:type="dxa" w:w="100"/>
            </w:tcMar>
          </w:tcPr>
          <w:p>
            <w:r>
              <w:rPr>
                <w:sz w:val="19"/>
                <w:szCs w:val="19"/>
              </w:rPr>
              <w:t xml:space="preserve">BC-03</w:t>
            </w:r>
          </w:p>
        </w:tc>
        <w:tc>
          <w:tcPr>
            <w:tcW w:type="dxa" w:w="3050"/>
            <w:shd w:fill="FFFFFF" w:val="clear"/>
            <w:tcMar>
              <w:top w:type="dxa" w:w="70"/>
              <w:left w:type="dxa" w:w="100"/>
              <w:bottom w:type="dxa" w:w="70"/>
              <w:right w:type="dxa" w:w="100"/>
            </w:tcMar>
          </w:tcPr>
          <w:p>
            <w:r>
              <w:rPr>
                <w:sz w:val="19"/>
                <w:szCs w:val="19"/>
              </w:rPr>
              <w:t xml:space="preserve">Payables (Procure-to-Pay)</w:t>
            </w:r>
          </w:p>
        </w:tc>
        <w:tc>
          <w:tcPr>
            <w:tcW w:type="dxa" w:w="5600"/>
            <w:shd w:fill="FFFFFF" w:val="clear"/>
            <w:tcMar>
              <w:top w:type="dxa" w:w="70"/>
              <w:left w:type="dxa" w:w="100"/>
              <w:bottom w:type="dxa" w:w="70"/>
              <w:right w:type="dxa" w:w="100"/>
            </w:tcMar>
          </w:tcPr>
          <w:p>
            <w:r>
              <w:rPr>
                <w:sz w:val="19"/>
                <w:szCs w:val="19"/>
              </w:rPr>
              <w:t xml:space="preserve">Purchase orders; vendor bills; vendor credits; 3-way match (BillPay); purchase approvals</w:t>
            </w:r>
          </w:p>
        </w:tc>
      </w:tr>
      <w:tr>
        <w:tc>
          <w:tcPr>
            <w:tcW w:type="dxa" w:w="700"/>
            <w:shd w:fill="DCE6F1" w:val="clear"/>
            <w:tcMar>
              <w:top w:type="dxa" w:w="70"/>
              <w:left w:type="dxa" w:w="100"/>
              <w:bottom w:type="dxa" w:w="70"/>
              <w:right w:type="dxa" w:w="100"/>
            </w:tcMar>
          </w:tcPr>
          <w:p>
            <w:r>
              <w:rPr>
                <w:sz w:val="19"/>
                <w:szCs w:val="19"/>
              </w:rPr>
              <w:t xml:space="preserve">BC-04</w:t>
            </w:r>
          </w:p>
        </w:tc>
        <w:tc>
          <w:tcPr>
            <w:tcW w:type="dxa" w:w="3050"/>
            <w:shd w:fill="DCE6F1" w:val="clear"/>
            <w:tcMar>
              <w:top w:type="dxa" w:w="70"/>
              <w:left w:type="dxa" w:w="100"/>
              <w:bottom w:type="dxa" w:w="70"/>
              <w:right w:type="dxa" w:w="100"/>
            </w:tcMar>
          </w:tcPr>
          <w:p>
            <w:r>
              <w:rPr>
                <w:sz w:val="19"/>
                <w:szCs w:val="19"/>
              </w:rPr>
              <w:t xml:space="preserve">Expense Management</w:t>
            </w:r>
          </w:p>
        </w:tc>
        <w:tc>
          <w:tcPr>
            <w:tcW w:type="dxa" w:w="5600"/>
            <w:shd w:fill="DCE6F1" w:val="clear"/>
            <w:tcMar>
              <w:top w:type="dxa" w:w="70"/>
              <w:left w:type="dxa" w:w="100"/>
              <w:bottom w:type="dxa" w:w="70"/>
              <w:right w:type="dxa" w:w="100"/>
            </w:tcMar>
          </w:tcPr>
          <w:p>
            <w:r>
              <w:rPr>
                <w:sz w:val="19"/>
                <w:szCs w:val="19"/>
              </w:rPr>
              <w:t xml:space="preserve">Expense capture; receipt OCR/auto-scan; recurring expenses; categorization; mileage</w:t>
            </w:r>
          </w:p>
        </w:tc>
      </w:tr>
      <w:tr>
        <w:tc>
          <w:tcPr>
            <w:tcW w:type="dxa" w:w="700"/>
            <w:shd w:fill="FFFFFF" w:val="clear"/>
            <w:tcMar>
              <w:top w:type="dxa" w:w="70"/>
              <w:left w:type="dxa" w:w="100"/>
              <w:bottom w:type="dxa" w:w="70"/>
              <w:right w:type="dxa" w:w="100"/>
            </w:tcMar>
          </w:tcPr>
          <w:p>
            <w:r>
              <w:rPr>
                <w:sz w:val="19"/>
                <w:szCs w:val="19"/>
              </w:rPr>
              <w:t xml:space="preserve">BC-05</w:t>
            </w:r>
          </w:p>
        </w:tc>
        <w:tc>
          <w:tcPr>
            <w:tcW w:type="dxa" w:w="3050"/>
            <w:shd w:fill="FFFFFF" w:val="clear"/>
            <w:tcMar>
              <w:top w:type="dxa" w:w="70"/>
              <w:left w:type="dxa" w:w="100"/>
              <w:bottom w:type="dxa" w:w="70"/>
              <w:right w:type="dxa" w:w="100"/>
            </w:tcMar>
          </w:tcPr>
          <w:p>
            <w:r>
              <w:rPr>
                <w:sz w:val="19"/>
                <w:szCs w:val="19"/>
              </w:rPr>
              <w:t xml:space="preserve">Banking &amp; Reconciliation</w:t>
            </w:r>
          </w:p>
        </w:tc>
        <w:tc>
          <w:tcPr>
            <w:tcW w:type="dxa" w:w="5600"/>
            <w:shd w:fill="FFFFFF" w:val="clear"/>
            <w:tcMar>
              <w:top w:type="dxa" w:w="70"/>
              <w:left w:type="dxa" w:w="100"/>
              <w:bottom w:type="dxa" w:w="70"/>
              <w:right w:type="dxa" w:w="100"/>
            </w:tcMar>
          </w:tcPr>
          <w:p>
            <w:r>
              <w:rPr>
                <w:sz w:val="19"/>
                <w:szCs w:val="19"/>
              </w:rPr>
              <w:t xml:space="preserve">Bank feed connections; auto-categorization / bank rules; statement import; reconciliation</w:t>
            </w:r>
          </w:p>
        </w:tc>
      </w:tr>
      <w:tr>
        <w:tc>
          <w:tcPr>
            <w:tcW w:type="dxa" w:w="700"/>
            <w:shd w:fill="DCE6F1" w:val="clear"/>
            <w:tcMar>
              <w:top w:type="dxa" w:w="70"/>
              <w:left w:type="dxa" w:w="100"/>
              <w:bottom w:type="dxa" w:w="70"/>
              <w:right w:type="dxa" w:w="100"/>
            </w:tcMar>
          </w:tcPr>
          <w:p>
            <w:r>
              <w:rPr>
                <w:sz w:val="19"/>
                <w:szCs w:val="19"/>
              </w:rPr>
              <w:t xml:space="preserve">BC-06</w:t>
            </w:r>
          </w:p>
        </w:tc>
        <w:tc>
          <w:tcPr>
            <w:tcW w:type="dxa" w:w="3050"/>
            <w:shd w:fill="DCE6F1" w:val="clear"/>
            <w:tcMar>
              <w:top w:type="dxa" w:w="70"/>
              <w:left w:type="dxa" w:w="100"/>
              <w:bottom w:type="dxa" w:w="70"/>
              <w:right w:type="dxa" w:w="100"/>
            </w:tcMar>
          </w:tcPr>
          <w:p>
            <w:r>
              <w:rPr>
                <w:sz w:val="19"/>
                <w:szCs w:val="19"/>
              </w:rPr>
              <w:t xml:space="preserve">Online Payments</w:t>
            </w:r>
          </w:p>
        </w:tc>
        <w:tc>
          <w:tcPr>
            <w:tcW w:type="dxa" w:w="5600"/>
            <w:shd w:fill="DCE6F1" w:val="clear"/>
            <w:tcMar>
              <w:top w:type="dxa" w:w="70"/>
              <w:left w:type="dxa" w:w="100"/>
              <w:bottom w:type="dxa" w:w="70"/>
              <w:right w:type="dxa" w:w="100"/>
            </w:tcMar>
          </w:tcPr>
          <w:p>
            <w:r>
              <w:rPr>
                <w:sz w:val="19"/>
                <w:szCs w:val="19"/>
              </w:rPr>
              <w:t xml:space="preserve">Payment links; card/ACH processing; auto-charge on recurring invoices; payment gateway integrations</w:t>
            </w:r>
          </w:p>
        </w:tc>
      </w:tr>
      <w:tr>
        <w:tc>
          <w:tcPr>
            <w:tcW w:type="dxa" w:w="700"/>
            <w:shd w:fill="FFFFFF" w:val="clear"/>
            <w:tcMar>
              <w:top w:type="dxa" w:w="70"/>
              <w:left w:type="dxa" w:w="100"/>
              <w:bottom w:type="dxa" w:w="70"/>
              <w:right w:type="dxa" w:w="100"/>
            </w:tcMar>
          </w:tcPr>
          <w:p>
            <w:r>
              <w:rPr>
                <w:sz w:val="19"/>
                <w:szCs w:val="19"/>
              </w:rPr>
              <w:t xml:space="preserve">BC-07</w:t>
            </w:r>
          </w:p>
        </w:tc>
        <w:tc>
          <w:tcPr>
            <w:tcW w:type="dxa" w:w="3050"/>
            <w:shd w:fill="FFFFFF" w:val="clear"/>
            <w:tcMar>
              <w:top w:type="dxa" w:w="70"/>
              <w:left w:type="dxa" w:w="100"/>
              <w:bottom w:type="dxa" w:w="70"/>
              <w:right w:type="dxa" w:w="100"/>
            </w:tcMar>
          </w:tcPr>
          <w:p>
            <w:r>
              <w:rPr>
                <w:sz w:val="19"/>
                <w:szCs w:val="19"/>
              </w:rPr>
              <w:t xml:space="preserve">Inventory Management</w:t>
            </w:r>
          </w:p>
        </w:tc>
        <w:tc>
          <w:tcPr>
            <w:tcW w:type="dxa" w:w="5600"/>
            <w:shd w:fill="FFFFFF" w:val="clear"/>
            <w:tcMar>
              <w:top w:type="dxa" w:w="70"/>
              <w:left w:type="dxa" w:w="100"/>
              <w:bottom w:type="dxa" w:w="70"/>
              <w:right w:type="dxa" w:w="100"/>
            </w:tcMar>
          </w:tcPr>
          <w:p>
            <w:r>
              <w:rPr>
                <w:sz w:val="19"/>
                <w:szCs w:val="19"/>
              </w:rPr>
              <w:t xml:space="preserve">Item master; price lists; reorder points; adjustments; composite items &amp; item groups; packages/shipments; batch tracking (FIFO/FEFO/LIFO); unit groups</w:t>
            </w:r>
          </w:p>
        </w:tc>
      </w:tr>
      <w:tr>
        <w:tc>
          <w:tcPr>
            <w:tcW w:type="dxa" w:w="700"/>
            <w:shd w:fill="DCE6F1" w:val="clear"/>
            <w:tcMar>
              <w:top w:type="dxa" w:w="70"/>
              <w:left w:type="dxa" w:w="100"/>
              <w:bottom w:type="dxa" w:w="70"/>
              <w:right w:type="dxa" w:w="100"/>
            </w:tcMar>
          </w:tcPr>
          <w:p>
            <w:r>
              <w:rPr>
                <w:sz w:val="19"/>
                <w:szCs w:val="19"/>
              </w:rPr>
              <w:t xml:space="preserve">BC-08</w:t>
            </w:r>
          </w:p>
        </w:tc>
        <w:tc>
          <w:tcPr>
            <w:tcW w:type="dxa" w:w="3050"/>
            <w:shd w:fill="DCE6F1" w:val="clear"/>
            <w:tcMar>
              <w:top w:type="dxa" w:w="70"/>
              <w:left w:type="dxa" w:w="100"/>
              <w:bottom w:type="dxa" w:w="70"/>
              <w:right w:type="dxa" w:w="100"/>
            </w:tcMar>
          </w:tcPr>
          <w:p>
            <w:r>
              <w:rPr>
                <w:sz w:val="19"/>
                <w:szCs w:val="19"/>
              </w:rPr>
              <w:t xml:space="preserve">Fixed Assets</w:t>
            </w:r>
          </w:p>
        </w:tc>
        <w:tc>
          <w:tcPr>
            <w:tcW w:type="dxa" w:w="5600"/>
            <w:shd w:fill="DCE6F1" w:val="clear"/>
            <w:tcMar>
              <w:top w:type="dxa" w:w="70"/>
              <w:left w:type="dxa" w:w="100"/>
              <w:bottom w:type="dxa" w:w="70"/>
              <w:right w:type="dxa" w:w="100"/>
            </w:tcMar>
          </w:tcPr>
          <w:p>
            <w:r>
              <w:rPr>
                <w:sz w:val="19"/>
                <w:szCs w:val="19"/>
              </w:rPr>
              <w:t xml:space="preserve">Asset register; depreciation schedules; disposals; asset lifecycle reporting</w:t>
            </w:r>
          </w:p>
        </w:tc>
      </w:tr>
      <w:tr>
        <w:tc>
          <w:tcPr>
            <w:tcW w:type="dxa" w:w="700"/>
            <w:shd w:fill="FFFFFF" w:val="clear"/>
            <w:tcMar>
              <w:top w:type="dxa" w:w="70"/>
              <w:left w:type="dxa" w:w="100"/>
              <w:bottom w:type="dxa" w:w="70"/>
              <w:right w:type="dxa" w:w="100"/>
            </w:tcMar>
          </w:tcPr>
          <w:p>
            <w:r>
              <w:rPr>
                <w:sz w:val="19"/>
                <w:szCs w:val="19"/>
              </w:rPr>
              <w:t xml:space="preserve">BC-09</w:t>
            </w:r>
          </w:p>
        </w:tc>
        <w:tc>
          <w:tcPr>
            <w:tcW w:type="dxa" w:w="3050"/>
            <w:shd w:fill="FFFFFF" w:val="clear"/>
            <w:tcMar>
              <w:top w:type="dxa" w:w="70"/>
              <w:left w:type="dxa" w:w="100"/>
              <w:bottom w:type="dxa" w:w="70"/>
              <w:right w:type="dxa" w:w="100"/>
            </w:tcMar>
          </w:tcPr>
          <w:p>
            <w:r>
              <w:rPr>
                <w:sz w:val="19"/>
                <w:szCs w:val="19"/>
              </w:rPr>
              <w:t xml:space="preserve">Projects &amp; Timesheets</w:t>
            </w:r>
          </w:p>
        </w:tc>
        <w:tc>
          <w:tcPr>
            <w:tcW w:type="dxa" w:w="5600"/>
            <w:shd w:fill="FFFFFF" w:val="clear"/>
            <w:tcMar>
              <w:top w:type="dxa" w:w="70"/>
              <w:left w:type="dxa" w:w="100"/>
              <w:bottom w:type="dxa" w:w="70"/>
              <w:right w:type="dxa" w:w="100"/>
            </w:tcMar>
          </w:tcPr>
          <w:p>
            <w:r>
              <w:rPr>
                <w:sz w:val="19"/>
                <w:szCs w:val="19"/>
              </w:rPr>
              <w:t xml:space="preserve">Project budgets; timers; timesheet approvals; project billing; profitability reporting</w:t>
            </w:r>
          </w:p>
        </w:tc>
      </w:tr>
      <w:tr>
        <w:tc>
          <w:tcPr>
            <w:tcW w:type="dxa" w:w="700"/>
            <w:shd w:fill="DCE6F1" w:val="clear"/>
            <w:tcMar>
              <w:top w:type="dxa" w:w="70"/>
              <w:left w:type="dxa" w:w="100"/>
              <w:bottom w:type="dxa" w:w="70"/>
              <w:right w:type="dxa" w:w="100"/>
            </w:tcMar>
          </w:tcPr>
          <w:p>
            <w:r>
              <w:rPr>
                <w:sz w:val="19"/>
                <w:szCs w:val="19"/>
              </w:rPr>
              <w:t xml:space="preserve">BC-10</w:t>
            </w:r>
          </w:p>
        </w:tc>
        <w:tc>
          <w:tcPr>
            <w:tcW w:type="dxa" w:w="3050"/>
            <w:shd w:fill="DCE6F1" w:val="clear"/>
            <w:tcMar>
              <w:top w:type="dxa" w:w="70"/>
              <w:left w:type="dxa" w:w="100"/>
              <w:bottom w:type="dxa" w:w="70"/>
              <w:right w:type="dxa" w:w="100"/>
            </w:tcMar>
          </w:tcPr>
          <w:p>
            <w:r>
              <w:rPr>
                <w:sz w:val="19"/>
                <w:szCs w:val="19"/>
              </w:rPr>
              <w:t xml:space="preserve">Payroll</w:t>
            </w:r>
          </w:p>
        </w:tc>
        <w:tc>
          <w:tcPr>
            <w:tcW w:type="dxa" w:w="5600"/>
            <w:shd w:fill="DCE6F1" w:val="clear"/>
            <w:tcMar>
              <w:top w:type="dxa" w:w="70"/>
              <w:left w:type="dxa" w:w="100"/>
              <w:bottom w:type="dxa" w:w="70"/>
              <w:right w:type="dxa" w:w="100"/>
            </w:tcMar>
          </w:tcPr>
          <w:p>
            <w:r>
              <w:rPr>
                <w:sz w:val="19"/>
                <w:szCs w:val="19"/>
              </w:rPr>
              <w:t xml:space="preserve">Pay runs; statutory deductions; payslips; payroll-to-ledger posting</w:t>
            </w:r>
          </w:p>
        </w:tc>
      </w:tr>
      <w:tr>
        <w:tc>
          <w:tcPr>
            <w:tcW w:type="dxa" w:w="700"/>
            <w:shd w:fill="FFFFFF" w:val="clear"/>
            <w:tcMar>
              <w:top w:type="dxa" w:w="70"/>
              <w:left w:type="dxa" w:w="100"/>
              <w:bottom w:type="dxa" w:w="70"/>
              <w:right w:type="dxa" w:w="100"/>
            </w:tcMar>
          </w:tcPr>
          <w:p>
            <w:r>
              <w:rPr>
                <w:sz w:val="19"/>
                <w:szCs w:val="19"/>
              </w:rPr>
              <w:t xml:space="preserve">BC-11</w:t>
            </w:r>
          </w:p>
        </w:tc>
        <w:tc>
          <w:tcPr>
            <w:tcW w:type="dxa" w:w="3050"/>
            <w:shd w:fill="FFFFFF" w:val="clear"/>
            <w:tcMar>
              <w:top w:type="dxa" w:w="70"/>
              <w:left w:type="dxa" w:w="100"/>
              <w:bottom w:type="dxa" w:w="70"/>
              <w:right w:type="dxa" w:w="100"/>
            </w:tcMar>
          </w:tcPr>
          <w:p>
            <w:r>
              <w:rPr>
                <w:sz w:val="19"/>
                <w:szCs w:val="19"/>
              </w:rPr>
              <w:t xml:space="preserve">Tax Compliance</w:t>
            </w:r>
          </w:p>
        </w:tc>
        <w:tc>
          <w:tcPr>
            <w:tcW w:type="dxa" w:w="5600"/>
            <w:shd w:fill="FFFFFF" w:val="clear"/>
            <w:tcMar>
              <w:top w:type="dxa" w:w="70"/>
              <w:left w:type="dxa" w:w="100"/>
              <w:bottom w:type="dxa" w:w="70"/>
              <w:right w:type="dxa" w:w="100"/>
            </w:tcMar>
          </w:tcPr>
          <w:p>
            <w:r>
              <w:rPr>
                <w:sz w:val="19"/>
                <w:szCs w:val="19"/>
              </w:rPr>
              <w:t xml:space="preserve">Sales tax / VAT / GST engines; tax exemptions; 1099/W-9 management; e-filing integrations</w:t>
            </w:r>
          </w:p>
        </w:tc>
      </w:tr>
      <w:tr>
        <w:tc>
          <w:tcPr>
            <w:tcW w:type="dxa" w:w="700"/>
            <w:shd w:fill="DCE6F1" w:val="clear"/>
            <w:tcMar>
              <w:top w:type="dxa" w:w="70"/>
              <w:left w:type="dxa" w:w="100"/>
              <w:bottom w:type="dxa" w:w="70"/>
              <w:right w:type="dxa" w:w="100"/>
            </w:tcMar>
          </w:tcPr>
          <w:p>
            <w:r>
              <w:rPr>
                <w:sz w:val="19"/>
                <w:szCs w:val="19"/>
              </w:rPr>
              <w:t xml:space="preserve">BC-12</w:t>
            </w:r>
          </w:p>
        </w:tc>
        <w:tc>
          <w:tcPr>
            <w:tcW w:type="dxa" w:w="3050"/>
            <w:shd w:fill="DCE6F1" w:val="clear"/>
            <w:tcMar>
              <w:top w:type="dxa" w:w="70"/>
              <w:left w:type="dxa" w:w="100"/>
              <w:bottom w:type="dxa" w:w="70"/>
              <w:right w:type="dxa" w:w="100"/>
            </w:tcMar>
          </w:tcPr>
          <w:p>
            <w:r>
              <w:rPr>
                <w:sz w:val="19"/>
                <w:szCs w:val="19"/>
              </w:rPr>
              <w:t xml:space="preserve">Multi-Currency &amp; Globalization</w:t>
            </w:r>
          </w:p>
        </w:tc>
        <w:tc>
          <w:tcPr>
            <w:tcW w:type="dxa" w:w="5600"/>
            <w:shd w:fill="DCE6F1" w:val="clear"/>
            <w:tcMar>
              <w:top w:type="dxa" w:w="70"/>
              <w:left w:type="dxa" w:w="100"/>
              <w:bottom w:type="dxa" w:w="70"/>
              <w:right w:type="dxa" w:w="100"/>
            </w:tcMar>
          </w:tcPr>
          <w:p>
            <w:r>
              <w:rPr>
                <w:sz w:val="19"/>
                <w:szCs w:val="19"/>
              </w:rPr>
              <w:t xml:space="preserve">Currency exchange handling; 25+ language localization; locale-aware number/date formats</w:t>
            </w:r>
          </w:p>
        </w:tc>
      </w:tr>
      <w:tr>
        <w:tc>
          <w:tcPr>
            <w:tcW w:type="dxa" w:w="700"/>
            <w:shd w:fill="FFFFFF" w:val="clear"/>
            <w:tcMar>
              <w:top w:type="dxa" w:w="70"/>
              <w:left w:type="dxa" w:w="100"/>
              <w:bottom w:type="dxa" w:w="70"/>
              <w:right w:type="dxa" w:w="100"/>
            </w:tcMar>
          </w:tcPr>
          <w:p>
            <w:r>
              <w:rPr>
                <w:sz w:val="19"/>
                <w:szCs w:val="19"/>
              </w:rPr>
              <w:t xml:space="preserve">BC-13</w:t>
            </w:r>
          </w:p>
        </w:tc>
        <w:tc>
          <w:tcPr>
            <w:tcW w:type="dxa" w:w="3050"/>
            <w:shd w:fill="FFFFFF" w:val="clear"/>
            <w:tcMar>
              <w:top w:type="dxa" w:w="70"/>
              <w:left w:type="dxa" w:w="100"/>
              <w:bottom w:type="dxa" w:w="70"/>
              <w:right w:type="dxa" w:w="100"/>
            </w:tcMar>
          </w:tcPr>
          <w:p>
            <w:r>
              <w:rPr>
                <w:sz w:val="19"/>
                <w:szCs w:val="19"/>
              </w:rPr>
              <w:t xml:space="preserve">Reporting &amp; Analytics</w:t>
            </w:r>
          </w:p>
        </w:tc>
        <w:tc>
          <w:tcPr>
            <w:tcW w:type="dxa" w:w="5600"/>
            <w:shd w:fill="FFFFFF" w:val="clear"/>
            <w:tcMar>
              <w:top w:type="dxa" w:w="70"/>
              <w:left w:type="dxa" w:w="100"/>
              <w:bottom w:type="dxa" w:w="70"/>
              <w:right w:type="dxa" w:w="100"/>
            </w:tcMar>
          </w:tcPr>
          <w:p>
            <w:r>
              <w:rPr>
                <w:sz w:val="19"/>
                <w:szCs w:val="19"/>
              </w:rPr>
              <w:t xml:space="preserve">70+ standard reports; custom report builder; reporting tags/divisions; scheduled report delivery; BI integration</w:t>
            </w:r>
          </w:p>
        </w:tc>
      </w:tr>
      <w:tr>
        <w:tc>
          <w:tcPr>
            <w:tcW w:type="dxa" w:w="700"/>
            <w:shd w:fill="DCE6F1" w:val="clear"/>
            <w:tcMar>
              <w:top w:type="dxa" w:w="70"/>
              <w:left w:type="dxa" w:w="100"/>
              <w:bottom w:type="dxa" w:w="70"/>
              <w:right w:type="dxa" w:w="100"/>
            </w:tcMar>
          </w:tcPr>
          <w:p>
            <w:r>
              <w:rPr>
                <w:sz w:val="19"/>
                <w:szCs w:val="19"/>
              </w:rPr>
              <w:t xml:space="preserve">BC-14</w:t>
            </w:r>
          </w:p>
        </w:tc>
        <w:tc>
          <w:tcPr>
            <w:tcW w:type="dxa" w:w="3050"/>
            <w:shd w:fill="DCE6F1" w:val="clear"/>
            <w:tcMar>
              <w:top w:type="dxa" w:w="70"/>
              <w:left w:type="dxa" w:w="100"/>
              <w:bottom w:type="dxa" w:w="70"/>
              <w:right w:type="dxa" w:w="100"/>
            </w:tcMar>
          </w:tcPr>
          <w:p>
            <w:r>
              <w:rPr>
                <w:sz w:val="19"/>
                <w:szCs w:val="19"/>
              </w:rPr>
              <w:t xml:space="preserve">Document Management</w:t>
            </w:r>
          </w:p>
        </w:tc>
        <w:tc>
          <w:tcPr>
            <w:tcW w:type="dxa" w:w="5600"/>
            <w:shd w:fill="DCE6F1" w:val="clear"/>
            <w:tcMar>
              <w:top w:type="dxa" w:w="70"/>
              <w:left w:type="dxa" w:w="100"/>
              <w:bottom w:type="dxa" w:w="70"/>
              <w:right w:type="dxa" w:w="100"/>
            </w:tcMar>
          </w:tcPr>
          <w:p>
            <w:r>
              <w:rPr>
                <w:sz w:val="19"/>
                <w:szCs w:val="19"/>
              </w:rPr>
              <w:t xml:space="preserve">Central document store; attachments to transactions; folder organization</w:t>
            </w:r>
          </w:p>
        </w:tc>
      </w:tr>
      <w:tr>
        <w:tc>
          <w:tcPr>
            <w:tcW w:type="dxa" w:w="700"/>
            <w:shd w:fill="FFFFFF" w:val="clear"/>
            <w:tcMar>
              <w:top w:type="dxa" w:w="70"/>
              <w:left w:type="dxa" w:w="100"/>
              <w:bottom w:type="dxa" w:w="70"/>
              <w:right w:type="dxa" w:w="100"/>
            </w:tcMar>
          </w:tcPr>
          <w:p>
            <w:r>
              <w:rPr>
                <w:sz w:val="19"/>
                <w:szCs w:val="19"/>
              </w:rPr>
              <w:t xml:space="preserve">BC-15</w:t>
            </w:r>
          </w:p>
        </w:tc>
        <w:tc>
          <w:tcPr>
            <w:tcW w:type="dxa" w:w="3050"/>
            <w:shd w:fill="FFFFFF" w:val="clear"/>
            <w:tcMar>
              <w:top w:type="dxa" w:w="70"/>
              <w:left w:type="dxa" w:w="100"/>
              <w:bottom w:type="dxa" w:w="70"/>
              <w:right w:type="dxa" w:w="100"/>
            </w:tcMar>
          </w:tcPr>
          <w:p>
            <w:r>
              <w:rPr>
                <w:sz w:val="19"/>
                <w:szCs w:val="19"/>
              </w:rPr>
              <w:t xml:space="preserve">Collaboration &amp; Portals</w:t>
            </w:r>
          </w:p>
        </w:tc>
        <w:tc>
          <w:tcPr>
            <w:tcW w:type="dxa" w:w="5600"/>
            <w:shd w:fill="FFFFFF" w:val="clear"/>
            <w:tcMar>
              <w:top w:type="dxa" w:w="70"/>
              <w:left w:type="dxa" w:w="100"/>
              <w:bottom w:type="dxa" w:w="70"/>
              <w:right w:type="dxa" w:w="100"/>
            </w:tcMar>
          </w:tcPr>
          <w:p>
            <w:r>
              <w:rPr>
                <w:sz w:val="19"/>
                <w:szCs w:val="19"/>
              </w:rPr>
              <w:t xml:space="preserve">Customer portal; vendor portal; accountant module; internal comments/tasks; voice/video/screen-share</w:t>
            </w:r>
          </w:p>
        </w:tc>
      </w:tr>
      <w:tr>
        <w:tc>
          <w:tcPr>
            <w:tcW w:type="dxa" w:w="700"/>
            <w:shd w:fill="DCE6F1" w:val="clear"/>
            <w:tcMar>
              <w:top w:type="dxa" w:w="70"/>
              <w:left w:type="dxa" w:w="100"/>
              <w:bottom w:type="dxa" w:w="70"/>
              <w:right w:type="dxa" w:w="100"/>
            </w:tcMar>
          </w:tcPr>
          <w:p>
            <w:r>
              <w:rPr>
                <w:sz w:val="19"/>
                <w:szCs w:val="19"/>
              </w:rPr>
              <w:t xml:space="preserve">BC-16</w:t>
            </w:r>
          </w:p>
        </w:tc>
        <w:tc>
          <w:tcPr>
            <w:tcW w:type="dxa" w:w="3050"/>
            <w:shd w:fill="DCE6F1" w:val="clear"/>
            <w:tcMar>
              <w:top w:type="dxa" w:w="70"/>
              <w:left w:type="dxa" w:w="100"/>
              <w:bottom w:type="dxa" w:w="70"/>
              <w:right w:type="dxa" w:w="100"/>
            </w:tcMar>
          </w:tcPr>
          <w:p>
            <w:r>
              <w:rPr>
                <w:sz w:val="19"/>
                <w:szCs w:val="19"/>
              </w:rPr>
              <w:t xml:space="preserve">Workflow Automation</w:t>
            </w:r>
          </w:p>
        </w:tc>
        <w:tc>
          <w:tcPr>
            <w:tcW w:type="dxa" w:w="5600"/>
            <w:shd w:fill="DCE6F1" w:val="clear"/>
            <w:tcMar>
              <w:top w:type="dxa" w:w="70"/>
              <w:left w:type="dxa" w:w="100"/>
              <w:bottom w:type="dxa" w:w="70"/>
              <w:right w:type="dxa" w:w="100"/>
            </w:tcMar>
          </w:tcPr>
          <w:p>
            <w:r>
              <w:rPr>
                <w:sz w:val="19"/>
                <w:szCs w:val="19"/>
              </w:rPr>
              <w:t xml:space="preserve">Recurring transaction automation; approval workflows; trigger/notify/validate rule engine ("Blueprints")</w:t>
            </w:r>
          </w:p>
        </w:tc>
      </w:tr>
      <w:tr>
        <w:tc>
          <w:tcPr>
            <w:tcW w:type="dxa" w:w="700"/>
            <w:shd w:fill="FFFFFF" w:val="clear"/>
            <w:tcMar>
              <w:top w:type="dxa" w:w="70"/>
              <w:left w:type="dxa" w:w="100"/>
              <w:bottom w:type="dxa" w:w="70"/>
              <w:right w:type="dxa" w:w="100"/>
            </w:tcMar>
          </w:tcPr>
          <w:p>
            <w:r>
              <w:rPr>
                <w:sz w:val="19"/>
                <w:szCs w:val="19"/>
              </w:rPr>
              <w:t xml:space="preserve">BC-17</w:t>
            </w:r>
          </w:p>
        </w:tc>
        <w:tc>
          <w:tcPr>
            <w:tcW w:type="dxa" w:w="3050"/>
            <w:shd w:fill="FFFFFF" w:val="clear"/>
            <w:tcMar>
              <w:top w:type="dxa" w:w="70"/>
              <w:left w:type="dxa" w:w="100"/>
              <w:bottom w:type="dxa" w:w="70"/>
              <w:right w:type="dxa" w:w="100"/>
            </w:tcMar>
          </w:tcPr>
          <w:p>
            <w:r>
              <w:rPr>
                <w:sz w:val="19"/>
                <w:szCs w:val="19"/>
              </w:rPr>
              <w:t xml:space="preserve">Customization Framework</w:t>
            </w:r>
          </w:p>
        </w:tc>
        <w:tc>
          <w:tcPr>
            <w:tcW w:type="dxa" w:w="5600"/>
            <w:shd w:fill="FFFFFF" w:val="clear"/>
            <w:tcMar>
              <w:top w:type="dxa" w:w="70"/>
              <w:left w:type="dxa" w:w="100"/>
              <w:bottom w:type="dxa" w:w="70"/>
              <w:right w:type="dxa" w:w="100"/>
            </w:tcMar>
          </w:tcPr>
          <w:p>
            <w:r>
              <w:rPr>
                <w:sz w:val="19"/>
                <w:szCs w:val="19"/>
              </w:rPr>
              <w:t xml:space="preserve">Custom fields; custom modules; custom templates; layout/conditional field rules; custom report permissions</w:t>
            </w:r>
          </w:p>
        </w:tc>
      </w:tr>
      <w:tr>
        <w:tc>
          <w:tcPr>
            <w:tcW w:type="dxa" w:w="700"/>
            <w:shd w:fill="DCE6F1" w:val="clear"/>
            <w:tcMar>
              <w:top w:type="dxa" w:w="70"/>
              <w:left w:type="dxa" w:w="100"/>
              <w:bottom w:type="dxa" w:w="70"/>
              <w:right w:type="dxa" w:w="100"/>
            </w:tcMar>
          </w:tcPr>
          <w:p>
            <w:r>
              <w:rPr>
                <w:sz w:val="19"/>
                <w:szCs w:val="19"/>
              </w:rPr>
              <w:t xml:space="preserve">BC-18</w:t>
            </w:r>
          </w:p>
        </w:tc>
        <w:tc>
          <w:tcPr>
            <w:tcW w:type="dxa" w:w="3050"/>
            <w:shd w:fill="DCE6F1" w:val="clear"/>
            <w:tcMar>
              <w:top w:type="dxa" w:w="70"/>
              <w:left w:type="dxa" w:w="100"/>
              <w:bottom w:type="dxa" w:w="70"/>
              <w:right w:type="dxa" w:w="100"/>
            </w:tcMar>
          </w:tcPr>
          <w:p>
            <w:r>
              <w:rPr>
                <w:sz w:val="19"/>
                <w:szCs w:val="19"/>
              </w:rPr>
              <w:t xml:space="preserve">AI &amp; Intelligent Assistance</w:t>
            </w:r>
          </w:p>
        </w:tc>
        <w:tc>
          <w:tcPr>
            <w:tcW w:type="dxa" w:w="5600"/>
            <w:shd w:fill="DCE6F1" w:val="clear"/>
            <w:tcMar>
              <w:top w:type="dxa" w:w="70"/>
              <w:left w:type="dxa" w:w="100"/>
              <w:bottom w:type="dxa" w:w="70"/>
              <w:right w:type="dxa" w:w="100"/>
            </w:tcMar>
          </w:tcPr>
          <w:p>
            <w:r>
              <w:rPr>
                <w:sz w:val="19"/>
                <w:szCs w:val="19"/>
              </w:rPr>
              <w:t xml:space="preserve">Conversational query assistant; anomaly detection; proactive insights; agent/MCP connectivity</w:t>
            </w:r>
          </w:p>
        </w:tc>
      </w:tr>
      <w:tr>
        <w:tc>
          <w:tcPr>
            <w:tcW w:type="dxa" w:w="700"/>
            <w:shd w:fill="FFFFFF" w:val="clear"/>
            <w:tcMar>
              <w:top w:type="dxa" w:w="70"/>
              <w:left w:type="dxa" w:w="100"/>
              <w:bottom w:type="dxa" w:w="70"/>
              <w:right w:type="dxa" w:w="100"/>
            </w:tcMar>
          </w:tcPr>
          <w:p>
            <w:r>
              <w:rPr>
                <w:sz w:val="19"/>
                <w:szCs w:val="19"/>
              </w:rPr>
              <w:t xml:space="preserve">BC-19</w:t>
            </w:r>
          </w:p>
        </w:tc>
        <w:tc>
          <w:tcPr>
            <w:tcW w:type="dxa" w:w="3050"/>
            <w:shd w:fill="FFFFFF" w:val="clear"/>
            <w:tcMar>
              <w:top w:type="dxa" w:w="70"/>
              <w:left w:type="dxa" w:w="100"/>
              <w:bottom w:type="dxa" w:w="70"/>
              <w:right w:type="dxa" w:w="100"/>
            </w:tcMar>
          </w:tcPr>
          <w:p>
            <w:r>
              <w:rPr>
                <w:sz w:val="19"/>
                <w:szCs w:val="19"/>
              </w:rPr>
              <w:t xml:space="preserve">Integration &amp; Ecosystem</w:t>
            </w:r>
          </w:p>
        </w:tc>
        <w:tc>
          <w:tcPr>
            <w:tcW w:type="dxa" w:w="5600"/>
            <w:shd w:fill="FFFFFF" w:val="clear"/>
            <w:tcMar>
              <w:top w:type="dxa" w:w="70"/>
              <w:left w:type="dxa" w:w="100"/>
              <w:bottom w:type="dxa" w:w="70"/>
              <w:right w:type="dxa" w:w="100"/>
            </w:tcMar>
          </w:tcPr>
          <w:p>
            <w:r>
              <w:rPr>
                <w:sz w:val="19"/>
                <w:szCs w:val="19"/>
              </w:rPr>
              <w:t xml:space="preserve">Payment gateways; e-commerce channel sync (Shopify, Amazon, Walmart, etc.); native app ecosystem; public API &amp; webhooks</w:t>
            </w:r>
          </w:p>
        </w:tc>
      </w:tr>
      <w:tr>
        <w:tc>
          <w:tcPr>
            <w:tcW w:type="dxa" w:w="700"/>
            <w:shd w:fill="DCE6F1" w:val="clear"/>
            <w:tcMar>
              <w:top w:type="dxa" w:w="70"/>
              <w:left w:type="dxa" w:w="100"/>
              <w:bottom w:type="dxa" w:w="70"/>
              <w:right w:type="dxa" w:w="100"/>
            </w:tcMar>
          </w:tcPr>
          <w:p>
            <w:r>
              <w:rPr>
                <w:sz w:val="19"/>
                <w:szCs w:val="19"/>
              </w:rPr>
              <w:t xml:space="preserve">BC-20</w:t>
            </w:r>
          </w:p>
        </w:tc>
        <w:tc>
          <w:tcPr>
            <w:tcW w:type="dxa" w:w="3050"/>
            <w:shd w:fill="DCE6F1" w:val="clear"/>
            <w:tcMar>
              <w:top w:type="dxa" w:w="70"/>
              <w:left w:type="dxa" w:w="100"/>
              <w:bottom w:type="dxa" w:w="70"/>
              <w:right w:type="dxa" w:w="100"/>
            </w:tcMar>
          </w:tcPr>
          <w:p>
            <w:r>
              <w:rPr>
                <w:sz w:val="19"/>
                <w:szCs w:val="19"/>
              </w:rPr>
              <w:t xml:space="preserve">Security, Identity &amp; Compliance</w:t>
            </w:r>
          </w:p>
        </w:tc>
        <w:tc>
          <w:tcPr>
            <w:tcW w:type="dxa" w:w="5600"/>
            <w:shd w:fill="DCE6F1" w:val="clear"/>
            <w:tcMar>
              <w:top w:type="dxa" w:w="70"/>
              <w:left w:type="dxa" w:w="100"/>
              <w:bottom w:type="dxa" w:w="70"/>
              <w:right w:type="dxa" w:w="100"/>
            </w:tcMar>
          </w:tcPr>
          <w:p>
            <w:r>
              <w:rPr>
                <w:sz w:val="19"/>
                <w:szCs w:val="19"/>
              </w:rPr>
              <w:t xml:space="preserve">User roles &amp; custom roles; audit trail; HIPAA/PCI/GDPR controls; SSO</w:t>
            </w:r>
          </w:p>
        </w:tc>
      </w:tr>
      <w:tr>
        <w:tc>
          <w:tcPr>
            <w:tcW w:type="dxa" w:w="700"/>
            <w:shd w:fill="FFFFFF" w:val="clear"/>
            <w:tcMar>
              <w:top w:type="dxa" w:w="70"/>
              <w:left w:type="dxa" w:w="100"/>
              <w:bottom w:type="dxa" w:w="70"/>
              <w:right w:type="dxa" w:w="100"/>
            </w:tcMar>
          </w:tcPr>
          <w:p>
            <w:r>
              <w:rPr>
                <w:sz w:val="19"/>
                <w:szCs w:val="19"/>
              </w:rPr>
              <w:t xml:space="preserve">BC-21</w:t>
            </w:r>
          </w:p>
        </w:tc>
        <w:tc>
          <w:tcPr>
            <w:tcW w:type="dxa" w:w="3050"/>
            <w:shd w:fill="FFFFFF" w:val="clear"/>
            <w:tcMar>
              <w:top w:type="dxa" w:w="70"/>
              <w:left w:type="dxa" w:w="100"/>
              <w:bottom w:type="dxa" w:w="70"/>
              <w:right w:type="dxa" w:w="100"/>
            </w:tcMar>
          </w:tcPr>
          <w:p>
            <w:r>
              <w:rPr>
                <w:sz w:val="19"/>
                <w:szCs w:val="19"/>
              </w:rPr>
              <w:t xml:space="preserve">Organization &amp; Tenant Management</w:t>
            </w:r>
          </w:p>
        </w:tc>
        <w:tc>
          <w:tcPr>
            <w:tcW w:type="dxa" w:w="5600"/>
            <w:shd w:fill="FFFFFF" w:val="clear"/>
            <w:tcMar>
              <w:top w:type="dxa" w:w="70"/>
              <w:left w:type="dxa" w:w="100"/>
              <w:bottom w:type="dxa" w:w="70"/>
              <w:right w:type="dxa" w:w="100"/>
            </w:tcMar>
          </w:tcPr>
          <w:p>
            <w:r>
              <w:rPr>
                <w:sz w:val="19"/>
                <w:szCs w:val="19"/>
              </w:rPr>
              <w:t xml:space="preserve">Multi-org / multi-tenant administration; editions &amp; entitlements; multi-device access (web, mobile, desktop)</w:t>
            </w:r>
          </w:p>
        </w:tc>
      </w:tr>
    </w:tbl>
    <w:p>
      <w:r>
        <w:br w:type="page"/>
      </w:r>
    </w:p>
    <w:p>
      <w:pPr>
        <w:pStyle w:val="Heading1"/>
        <w:spacing w:before="400" w:after="200"/>
      </w:pPr>
      <w:r>
        <w:rPr>
          <w:b/>
          <w:bCs/>
          <w:color w:val="1F3864"/>
          <w:sz w:val="32"/>
          <w:szCs w:val="32"/>
        </w:rPr>
        <w:t xml:space="preserve">6. Module &amp; Feature Scope Catalog</w:t>
      </w:r>
    </w:p>
    <w:p>
      <w:pPr>
        <w:spacing w:after="160" w:line="276"/>
      </w:pPr>
      <w:r>
        <w:rPr>
          <w:b w:val="false"/>
          <w:bCs w:val="false"/>
          <w:i w:val="false"/>
          <w:iCs w:val="false"/>
          <w:color w:val="1A1A1A"/>
          <w:sz w:val="22"/>
          <w:szCs w:val="22"/>
        </w:rPr>
        <w:t xml:space="preserve">This section resolves each capability domain into a release-scoped feature list. "MVP" = required for the first production release to be usable and credible against Zoho Books' Standard edition. "R2" = second release, aligned to Zoho Books' Professional-tier depth. "R3" = third release / Enterprise-tier depth. This table is the primary object of change control - any scope change should be proposed as an edit to this table with a rationale, not decided ad hoc in a later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5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Capability</w:t>
            </w:r>
          </w:p>
        </w:tc>
        <w:tc>
          <w:tcPr>
            <w:tcW w:type="dxa" w:w="2400"/>
            <w:shd w:fill="1F3864" w:val="clear"/>
            <w:tcMar>
              <w:top w:type="dxa" w:w="80"/>
              <w:left w:type="dxa" w:w="100"/>
              <w:bottom w:type="dxa" w:w="80"/>
              <w:right w:type="dxa" w:w="100"/>
            </w:tcMar>
            <w:vAlign w:val="center"/>
          </w:tcPr>
          <w:p>
            <w:r>
              <w:rPr>
                <w:b/>
                <w:bCs/>
                <w:color w:val="FFFFFF"/>
                <w:sz w:val="19"/>
                <w:szCs w:val="19"/>
              </w:rPr>
              <w:t xml:space="preserve">MVP (Release 1)</w:t>
            </w:r>
          </w:p>
        </w:tc>
        <w:tc>
          <w:tcPr>
            <w:tcW w:type="dxa" w:w="2400"/>
            <w:shd w:fill="1F3864" w:val="clear"/>
            <w:tcMar>
              <w:top w:type="dxa" w:w="80"/>
              <w:left w:type="dxa" w:w="100"/>
              <w:bottom w:type="dxa" w:w="80"/>
              <w:right w:type="dxa" w:w="100"/>
            </w:tcMar>
            <w:vAlign w:val="center"/>
          </w:tcPr>
          <w:p>
            <w:r>
              <w:rPr>
                <w:b/>
                <w:bCs/>
                <w:color w:val="FFFFFF"/>
                <w:sz w:val="19"/>
                <w:szCs w:val="19"/>
              </w:rPr>
              <w:t xml:space="preserve">R2 (Release 2)</w:t>
            </w:r>
          </w:p>
        </w:tc>
        <w:tc>
          <w:tcPr>
            <w:tcW w:type="dxa" w:w="2150"/>
            <w:shd w:fill="1F3864" w:val="clear"/>
            <w:tcMar>
              <w:top w:type="dxa" w:w="80"/>
              <w:left w:type="dxa" w:w="100"/>
              <w:bottom w:type="dxa" w:w="80"/>
              <w:right w:type="dxa" w:w="100"/>
            </w:tcMar>
            <w:vAlign w:val="center"/>
          </w:tcPr>
          <w:p>
            <w:r>
              <w:rPr>
                <w:b/>
                <w:bCs/>
                <w:color w:val="FFFFFF"/>
                <w:sz w:val="19"/>
                <w:szCs w:val="19"/>
              </w:rPr>
              <w:t xml:space="preserve">R3 (Release 3)</w:t>
            </w:r>
          </w:p>
        </w:tc>
      </w:tr>
      <w:tr>
        <w:tc>
          <w:tcPr>
            <w:tcW w:type="dxa" w:w="2400"/>
            <w:shd w:fill="FFFFFF" w:val="clear"/>
            <w:tcMar>
              <w:top w:type="dxa" w:w="70"/>
              <w:left w:type="dxa" w:w="100"/>
              <w:bottom w:type="dxa" w:w="70"/>
              <w:right w:type="dxa" w:w="100"/>
            </w:tcMar>
          </w:tcPr>
          <w:p>
            <w:r>
              <w:rPr>
                <w:sz w:val="19"/>
                <w:szCs w:val="19"/>
              </w:rPr>
              <w:t xml:space="preserve">BC-01 Core Accounting</w:t>
            </w:r>
          </w:p>
        </w:tc>
        <w:tc>
          <w:tcPr>
            <w:tcW w:type="dxa" w:w="2400"/>
            <w:shd w:fill="FFFFFF" w:val="clear"/>
            <w:tcMar>
              <w:top w:type="dxa" w:w="70"/>
              <w:left w:type="dxa" w:w="100"/>
              <w:bottom w:type="dxa" w:w="70"/>
              <w:right w:type="dxa" w:w="100"/>
            </w:tcMar>
          </w:tcPr>
          <w:p>
            <w:r>
              <w:rPr>
                <w:sz w:val="19"/>
                <w:szCs w:val="19"/>
              </w:rPr>
              <w:t xml:space="preserve">COA, manual journals, single currency</w:t>
            </w:r>
          </w:p>
        </w:tc>
        <w:tc>
          <w:tcPr>
            <w:tcW w:type="dxa" w:w="2400"/>
            <w:shd w:fill="FFFFFF" w:val="clear"/>
            <w:tcMar>
              <w:top w:type="dxa" w:w="70"/>
              <w:left w:type="dxa" w:w="100"/>
              <w:bottom w:type="dxa" w:w="70"/>
              <w:right w:type="dxa" w:w="100"/>
            </w:tcMar>
          </w:tcPr>
          <w:p>
            <w:r>
              <w:rPr>
                <w:sz w:val="19"/>
                <w:szCs w:val="19"/>
              </w:rPr>
              <w:t xml:space="preserve">Multi-currency, base-currency adjustment, budgets</w:t>
            </w:r>
          </w:p>
        </w:tc>
        <w:tc>
          <w:tcPr>
            <w:tcW w:type="dxa" w:w="2150"/>
            <w:shd w:fill="FFFFFF" w:val="clear"/>
            <w:tcMar>
              <w:top w:type="dxa" w:w="70"/>
              <w:left w:type="dxa" w:w="100"/>
              <w:bottom w:type="dxa" w:w="70"/>
              <w:right w:type="dxa" w:w="100"/>
            </w:tcMar>
          </w:tcPr>
          <w:p>
            <w:r>
              <w:rPr>
                <w:sz w:val="19"/>
                <w:szCs w:val="19"/>
              </w:rPr>
              <w:t xml:space="preserve">Multi-entity consolidation</w:t>
            </w:r>
          </w:p>
        </w:tc>
      </w:tr>
      <w:tr>
        <w:tc>
          <w:tcPr>
            <w:tcW w:type="dxa" w:w="2400"/>
            <w:shd w:fill="DCE6F1" w:val="clear"/>
            <w:tcMar>
              <w:top w:type="dxa" w:w="70"/>
              <w:left w:type="dxa" w:w="100"/>
              <w:bottom w:type="dxa" w:w="70"/>
              <w:right w:type="dxa" w:w="100"/>
            </w:tcMar>
          </w:tcPr>
          <w:p>
            <w:r>
              <w:rPr>
                <w:sz w:val="19"/>
                <w:szCs w:val="19"/>
              </w:rPr>
              <w:t xml:space="preserve">BC-02 Receivables</w:t>
            </w:r>
          </w:p>
        </w:tc>
        <w:tc>
          <w:tcPr>
            <w:tcW w:type="dxa" w:w="2400"/>
            <w:shd w:fill="DCE6F1" w:val="clear"/>
            <w:tcMar>
              <w:top w:type="dxa" w:w="70"/>
              <w:left w:type="dxa" w:w="100"/>
              <w:bottom w:type="dxa" w:w="70"/>
              <w:right w:type="dxa" w:w="100"/>
            </w:tcMar>
          </w:tcPr>
          <w:p>
            <w:r>
              <w:rPr>
                <w:sz w:val="19"/>
                <w:szCs w:val="19"/>
              </w:rPr>
              <w:t xml:space="preserve">Invoices, quotes, payments received</w:t>
            </w:r>
          </w:p>
        </w:tc>
        <w:tc>
          <w:tcPr>
            <w:tcW w:type="dxa" w:w="2400"/>
            <w:shd w:fill="DCE6F1" w:val="clear"/>
            <w:tcMar>
              <w:top w:type="dxa" w:w="70"/>
              <w:left w:type="dxa" w:w="100"/>
              <w:bottom w:type="dxa" w:w="70"/>
              <w:right w:type="dxa" w:w="100"/>
            </w:tcMar>
          </w:tcPr>
          <w:p>
            <w:r>
              <w:rPr>
                <w:sz w:val="19"/>
                <w:szCs w:val="19"/>
              </w:rPr>
              <w:t xml:space="preserve">Recurring &amp; progress invoicing, sales approvals</w:t>
            </w:r>
          </w:p>
        </w:tc>
        <w:tc>
          <w:tcPr>
            <w:tcW w:type="dxa" w:w="2150"/>
            <w:shd w:fill="DCE6F1" w:val="clear"/>
            <w:tcMar>
              <w:top w:type="dxa" w:w="70"/>
              <w:left w:type="dxa" w:w="100"/>
              <w:bottom w:type="dxa" w:w="70"/>
              <w:right w:type="dxa" w:w="100"/>
            </w:tcMar>
          </w:tcPr>
          <w:p>
            <w:r>
              <w:rPr>
                <w:sz w:val="19"/>
                <w:szCs w:val="19"/>
              </w:rPr>
              <w:t xml:space="preserve">Retention billing, revenue recognition</w:t>
            </w:r>
          </w:p>
        </w:tc>
      </w:tr>
      <w:tr>
        <w:tc>
          <w:tcPr>
            <w:tcW w:type="dxa" w:w="2400"/>
            <w:shd w:fill="FFFFFF" w:val="clear"/>
            <w:tcMar>
              <w:top w:type="dxa" w:w="70"/>
              <w:left w:type="dxa" w:w="100"/>
              <w:bottom w:type="dxa" w:w="70"/>
              <w:right w:type="dxa" w:w="100"/>
            </w:tcMar>
          </w:tcPr>
          <w:p>
            <w:r>
              <w:rPr>
                <w:sz w:val="19"/>
                <w:szCs w:val="19"/>
              </w:rPr>
              <w:t xml:space="preserve">BC-03 Payables</w:t>
            </w:r>
          </w:p>
        </w:tc>
        <w:tc>
          <w:tcPr>
            <w:tcW w:type="dxa" w:w="2400"/>
            <w:shd w:fill="FFFFFF" w:val="clear"/>
            <w:tcMar>
              <w:top w:type="dxa" w:w="70"/>
              <w:left w:type="dxa" w:w="100"/>
              <w:bottom w:type="dxa" w:w="70"/>
              <w:right w:type="dxa" w:w="100"/>
            </w:tcMar>
          </w:tcPr>
          <w:p>
            <w:r>
              <w:rPr>
                <w:sz w:val="19"/>
                <w:szCs w:val="19"/>
              </w:rPr>
              <w:t xml:space="preserve">Bills, purchase orders, payments made</w:t>
            </w:r>
          </w:p>
        </w:tc>
        <w:tc>
          <w:tcPr>
            <w:tcW w:type="dxa" w:w="2400"/>
            <w:shd w:fill="FFFFFF" w:val="clear"/>
            <w:tcMar>
              <w:top w:type="dxa" w:w="70"/>
              <w:left w:type="dxa" w:w="100"/>
              <w:bottom w:type="dxa" w:w="70"/>
              <w:right w:type="dxa" w:w="100"/>
            </w:tcMar>
          </w:tcPr>
          <w:p>
            <w:r>
              <w:rPr>
                <w:sz w:val="19"/>
                <w:szCs w:val="19"/>
              </w:rPr>
              <w:t xml:space="preserve">Purchase approvals</w:t>
            </w:r>
          </w:p>
        </w:tc>
        <w:tc>
          <w:tcPr>
            <w:tcW w:type="dxa" w:w="2150"/>
            <w:shd w:fill="FFFFFF" w:val="clear"/>
            <w:tcMar>
              <w:top w:type="dxa" w:w="70"/>
              <w:left w:type="dxa" w:w="100"/>
              <w:bottom w:type="dxa" w:w="70"/>
              <w:right w:type="dxa" w:w="100"/>
            </w:tcMar>
          </w:tcPr>
          <w:p>
            <w:r>
              <w:rPr>
                <w:sz w:val="19"/>
                <w:szCs w:val="19"/>
              </w:rPr>
              <w:t xml:space="preserve">3-way match / BillPay automation</w:t>
            </w:r>
          </w:p>
        </w:tc>
      </w:tr>
      <w:tr>
        <w:tc>
          <w:tcPr>
            <w:tcW w:type="dxa" w:w="2400"/>
            <w:shd w:fill="DCE6F1" w:val="clear"/>
            <w:tcMar>
              <w:top w:type="dxa" w:w="70"/>
              <w:left w:type="dxa" w:w="100"/>
              <w:bottom w:type="dxa" w:w="70"/>
              <w:right w:type="dxa" w:w="100"/>
            </w:tcMar>
          </w:tcPr>
          <w:p>
            <w:r>
              <w:rPr>
                <w:sz w:val="19"/>
                <w:szCs w:val="19"/>
              </w:rPr>
              <w:t xml:space="preserve">BC-04 Expenses</w:t>
            </w:r>
          </w:p>
        </w:tc>
        <w:tc>
          <w:tcPr>
            <w:tcW w:type="dxa" w:w="2400"/>
            <w:shd w:fill="DCE6F1" w:val="clear"/>
            <w:tcMar>
              <w:top w:type="dxa" w:w="70"/>
              <w:left w:type="dxa" w:w="100"/>
              <w:bottom w:type="dxa" w:w="70"/>
              <w:right w:type="dxa" w:w="100"/>
            </w:tcMar>
          </w:tcPr>
          <w:p>
            <w:r>
              <w:rPr>
                <w:sz w:val="19"/>
                <w:szCs w:val="19"/>
              </w:rPr>
              <w:t xml:space="preserve">Manual expense entry, categorization</w:t>
            </w:r>
          </w:p>
        </w:tc>
        <w:tc>
          <w:tcPr>
            <w:tcW w:type="dxa" w:w="2400"/>
            <w:shd w:fill="DCE6F1" w:val="clear"/>
            <w:tcMar>
              <w:top w:type="dxa" w:w="70"/>
              <w:left w:type="dxa" w:w="100"/>
              <w:bottom w:type="dxa" w:w="70"/>
              <w:right w:type="dxa" w:w="100"/>
            </w:tcMar>
          </w:tcPr>
          <w:p>
            <w:r>
              <w:rPr>
                <w:sz w:val="19"/>
                <w:szCs w:val="19"/>
              </w:rPr>
              <w:t xml:space="preserve">Receipt auto-scan, recurring expenses</w:t>
            </w:r>
          </w:p>
        </w:tc>
        <w:tc>
          <w:tcPr>
            <w:tcW w:type="dxa" w:w="2150"/>
            <w:shd w:fill="DCE6F1" w:val="clear"/>
            <w:tcMar>
              <w:top w:type="dxa" w:w="70"/>
              <w:left w:type="dxa" w:w="100"/>
              <w:bottom w:type="dxa" w:w="70"/>
              <w:right w:type="dxa" w:w="100"/>
            </w:tcMar>
          </w:tcPr>
          <w:p>
            <w:r>
              <w:rPr>
                <w:sz w:val="19"/>
                <w:szCs w:val="19"/>
              </w:rPr>
              <w:t xml:space="preserve">Mileage, per-diem policies</w:t>
            </w:r>
          </w:p>
        </w:tc>
      </w:tr>
      <w:tr>
        <w:tc>
          <w:tcPr>
            <w:tcW w:type="dxa" w:w="2400"/>
            <w:shd w:fill="FFFFFF" w:val="clear"/>
            <w:tcMar>
              <w:top w:type="dxa" w:w="70"/>
              <w:left w:type="dxa" w:w="100"/>
              <w:bottom w:type="dxa" w:w="70"/>
              <w:right w:type="dxa" w:w="100"/>
            </w:tcMar>
          </w:tcPr>
          <w:p>
            <w:r>
              <w:rPr>
                <w:sz w:val="19"/>
                <w:szCs w:val="19"/>
              </w:rPr>
              <w:t xml:space="preserve">BC-05 Banking</w:t>
            </w:r>
          </w:p>
        </w:tc>
        <w:tc>
          <w:tcPr>
            <w:tcW w:type="dxa" w:w="2400"/>
            <w:shd w:fill="FFFFFF" w:val="clear"/>
            <w:tcMar>
              <w:top w:type="dxa" w:w="70"/>
              <w:left w:type="dxa" w:w="100"/>
              <w:bottom w:type="dxa" w:w="70"/>
              <w:right w:type="dxa" w:w="100"/>
            </w:tcMar>
          </w:tcPr>
          <w:p>
            <w:r>
              <w:rPr>
                <w:sz w:val="19"/>
                <w:szCs w:val="19"/>
              </w:rPr>
              <w:t xml:space="preserve">Manual statement import, reconciliation</w:t>
            </w:r>
          </w:p>
        </w:tc>
        <w:tc>
          <w:tcPr>
            <w:tcW w:type="dxa" w:w="2400"/>
            <w:shd w:fill="FFFFFF" w:val="clear"/>
            <w:tcMar>
              <w:top w:type="dxa" w:w="70"/>
              <w:left w:type="dxa" w:w="100"/>
              <w:bottom w:type="dxa" w:w="70"/>
              <w:right w:type="dxa" w:w="100"/>
            </w:tcMar>
          </w:tcPr>
          <w:p>
            <w:r>
              <w:rPr>
                <w:sz w:val="19"/>
                <w:szCs w:val="19"/>
              </w:rPr>
              <w:t xml:space="preserve">Live bank feeds, bank rules</w:t>
            </w:r>
          </w:p>
        </w:tc>
        <w:tc>
          <w:tcPr>
            <w:tcW w:type="dxa" w:w="2150"/>
            <w:shd w:fill="FFFFFF" w:val="clear"/>
            <w:tcMar>
              <w:top w:type="dxa" w:w="70"/>
              <w:left w:type="dxa" w:w="100"/>
              <w:bottom w:type="dxa" w:w="70"/>
              <w:right w:type="dxa" w:w="100"/>
            </w:tcMar>
          </w:tcPr>
          <w:p>
            <w:r>
              <w:rPr>
                <w:sz w:val="19"/>
                <w:szCs w:val="19"/>
              </w:rPr>
              <w:t xml:space="preserve">Multi-bank auto-categorization ML</w:t>
            </w:r>
          </w:p>
        </w:tc>
      </w:tr>
      <w:tr>
        <w:tc>
          <w:tcPr>
            <w:tcW w:type="dxa" w:w="2400"/>
            <w:shd w:fill="DCE6F1" w:val="clear"/>
            <w:tcMar>
              <w:top w:type="dxa" w:w="70"/>
              <w:left w:type="dxa" w:w="100"/>
              <w:bottom w:type="dxa" w:w="70"/>
              <w:right w:type="dxa" w:w="100"/>
            </w:tcMar>
          </w:tcPr>
          <w:p>
            <w:r>
              <w:rPr>
                <w:sz w:val="19"/>
                <w:szCs w:val="19"/>
              </w:rPr>
              <w:t xml:space="preserve">BC-06 Online Payments</w:t>
            </w:r>
          </w:p>
        </w:tc>
        <w:tc>
          <w:tcPr>
            <w:tcW w:type="dxa" w:w="2400"/>
            <w:shd w:fill="DCE6F1" w:val="clear"/>
            <w:tcMar>
              <w:top w:type="dxa" w:w="70"/>
              <w:left w:type="dxa" w:w="100"/>
              <w:bottom w:type="dxa" w:w="70"/>
              <w:right w:type="dxa" w:w="100"/>
            </w:tcMar>
          </w:tcPr>
          <w:p>
            <w:r>
              <w:rPr>
                <w:sz w:val="19"/>
                <w:szCs w:val="19"/>
              </w:rPr>
              <w:t xml:space="preserve">Payment link generation</w:t>
            </w:r>
          </w:p>
        </w:tc>
        <w:tc>
          <w:tcPr>
            <w:tcW w:type="dxa" w:w="2400"/>
            <w:shd w:fill="DCE6F1" w:val="clear"/>
            <w:tcMar>
              <w:top w:type="dxa" w:w="70"/>
              <w:left w:type="dxa" w:w="100"/>
              <w:bottom w:type="dxa" w:w="70"/>
              <w:right w:type="dxa" w:w="100"/>
            </w:tcMar>
          </w:tcPr>
          <w:p>
            <w:r>
              <w:rPr>
                <w:sz w:val="19"/>
                <w:szCs w:val="19"/>
              </w:rPr>
              <w:t xml:space="preserve">Card/ACH processing, auto-charge</w:t>
            </w:r>
          </w:p>
        </w:tc>
        <w:tc>
          <w:tcPr>
            <w:tcW w:type="dxa" w:w="2150"/>
            <w:shd w:fill="DCE6F1" w:val="clear"/>
            <w:tcMar>
              <w:top w:type="dxa" w:w="70"/>
              <w:left w:type="dxa" w:w="100"/>
              <w:bottom w:type="dxa" w:w="70"/>
              <w:right w:type="dxa" w:w="100"/>
            </w:tcMar>
          </w:tcPr>
          <w:p>
            <w:r>
              <w:rPr>
                <w:sz w:val="19"/>
                <w:szCs w:val="19"/>
              </w:rPr>
              <w:t xml:space="preserve">Additional gateway marketplace</w:t>
            </w:r>
          </w:p>
        </w:tc>
      </w:tr>
      <w:tr>
        <w:tc>
          <w:tcPr>
            <w:tcW w:type="dxa" w:w="2400"/>
            <w:shd w:fill="FFFFFF" w:val="clear"/>
            <w:tcMar>
              <w:top w:type="dxa" w:w="70"/>
              <w:left w:type="dxa" w:w="100"/>
              <w:bottom w:type="dxa" w:w="70"/>
              <w:right w:type="dxa" w:w="100"/>
            </w:tcMar>
          </w:tcPr>
          <w:p>
            <w:r>
              <w:rPr>
                <w:sz w:val="19"/>
                <w:szCs w:val="19"/>
              </w:rPr>
              <w:t xml:space="preserve">BC-07 Inventory</w:t>
            </w:r>
          </w:p>
        </w:tc>
        <w:tc>
          <w:tcPr>
            <w:tcW w:type="dxa" w:w="2400"/>
            <w:shd w:fill="FFFFFF" w:val="clear"/>
            <w:tcMar>
              <w:top w:type="dxa" w:w="70"/>
              <w:left w:type="dxa" w:w="100"/>
              <w:bottom w:type="dxa" w:w="70"/>
              <w:right w:type="dxa" w:w="100"/>
            </w:tcMar>
          </w:tcPr>
          <w:p>
            <w:r>
              <w:rPr>
                <w:sz w:val="19"/>
                <w:szCs w:val="19"/>
              </w:rPr>
              <w:t xml:space="preserve">Item master, stock levels, reorder points</w:t>
            </w:r>
          </w:p>
        </w:tc>
        <w:tc>
          <w:tcPr>
            <w:tcW w:type="dxa" w:w="2400"/>
            <w:shd w:fill="FFFFFF" w:val="clear"/>
            <w:tcMar>
              <w:top w:type="dxa" w:w="70"/>
              <w:left w:type="dxa" w:w="100"/>
              <w:bottom w:type="dxa" w:w="70"/>
              <w:right w:type="dxa" w:w="100"/>
            </w:tcMar>
          </w:tcPr>
          <w:p>
            <w:r>
              <w:rPr>
                <w:sz w:val="19"/>
                <w:szCs w:val="19"/>
              </w:rPr>
              <w:t xml:space="preserve">Composite items, price lists, adjustments</w:t>
            </w:r>
          </w:p>
        </w:tc>
        <w:tc>
          <w:tcPr>
            <w:tcW w:type="dxa" w:w="2150"/>
            <w:shd w:fill="FFFFFF" w:val="clear"/>
            <w:tcMar>
              <w:top w:type="dxa" w:w="70"/>
              <w:left w:type="dxa" w:w="100"/>
              <w:bottom w:type="dxa" w:w="70"/>
              <w:right w:type="dxa" w:w="100"/>
            </w:tcMar>
          </w:tcPr>
          <w:p>
            <w:r>
              <w:rPr>
                <w:sz w:val="19"/>
                <w:szCs w:val="19"/>
              </w:rPr>
              <w:t xml:space="preserve">Batch/FIFO-FEFO-LIFO, unit groups</w:t>
            </w:r>
          </w:p>
        </w:tc>
      </w:tr>
      <w:tr>
        <w:tc>
          <w:tcPr>
            <w:tcW w:type="dxa" w:w="2400"/>
            <w:shd w:fill="DCE6F1" w:val="clear"/>
            <w:tcMar>
              <w:top w:type="dxa" w:w="70"/>
              <w:left w:type="dxa" w:w="100"/>
              <w:bottom w:type="dxa" w:w="70"/>
              <w:right w:type="dxa" w:w="100"/>
            </w:tcMar>
          </w:tcPr>
          <w:p>
            <w:r>
              <w:rPr>
                <w:sz w:val="19"/>
                <w:szCs w:val="19"/>
              </w:rPr>
              <w:t xml:space="preserve">BC-08 Fixed Assets</w:t>
            </w:r>
          </w:p>
        </w:tc>
        <w:tc>
          <w:tcPr>
            <w:tcW w:type="dxa" w:w="2400"/>
            <w:shd w:fill="DCE6F1" w:val="clear"/>
            <w:tcMar>
              <w:top w:type="dxa" w:w="70"/>
              <w:left w:type="dxa" w:w="100"/>
              <w:bottom w:type="dxa" w:w="70"/>
              <w:right w:type="dxa" w:w="100"/>
            </w:tcMar>
          </w:tcPr>
          <w:p>
            <w:r>
              <w:rPr>
                <w:sz w:val="19"/>
                <w:szCs w:val="19"/>
              </w:rPr>
              <w:t xml:space="preserve">-</w:t>
            </w:r>
          </w:p>
        </w:tc>
        <w:tc>
          <w:tcPr>
            <w:tcW w:type="dxa" w:w="2400"/>
            <w:shd w:fill="DCE6F1" w:val="clear"/>
            <w:tcMar>
              <w:top w:type="dxa" w:w="70"/>
              <w:left w:type="dxa" w:w="100"/>
              <w:bottom w:type="dxa" w:w="70"/>
              <w:right w:type="dxa" w:w="100"/>
            </w:tcMar>
          </w:tcPr>
          <w:p>
            <w:r>
              <w:rPr>
                <w:sz w:val="19"/>
                <w:szCs w:val="19"/>
              </w:rPr>
              <w:t xml:space="preserve">Asset register, straight-line depreciation</w:t>
            </w:r>
          </w:p>
        </w:tc>
        <w:tc>
          <w:tcPr>
            <w:tcW w:type="dxa" w:w="2150"/>
            <w:shd w:fill="DCE6F1" w:val="clear"/>
            <w:tcMar>
              <w:top w:type="dxa" w:w="70"/>
              <w:left w:type="dxa" w:w="100"/>
              <w:bottom w:type="dxa" w:w="70"/>
              <w:right w:type="dxa" w:w="100"/>
            </w:tcMar>
          </w:tcPr>
          <w:p>
            <w:r>
              <w:rPr>
                <w:sz w:val="19"/>
                <w:szCs w:val="19"/>
              </w:rPr>
              <w:t xml:space="preserve">Multiple depreciation methods, disposals</w:t>
            </w:r>
          </w:p>
        </w:tc>
      </w:tr>
      <w:tr>
        <w:tc>
          <w:tcPr>
            <w:tcW w:type="dxa" w:w="2400"/>
            <w:shd w:fill="FFFFFF" w:val="clear"/>
            <w:tcMar>
              <w:top w:type="dxa" w:w="70"/>
              <w:left w:type="dxa" w:w="100"/>
              <w:bottom w:type="dxa" w:w="70"/>
              <w:right w:type="dxa" w:w="100"/>
            </w:tcMar>
          </w:tcPr>
          <w:p>
            <w:r>
              <w:rPr>
                <w:sz w:val="19"/>
                <w:szCs w:val="19"/>
              </w:rPr>
              <w:t xml:space="preserve">BC-09 Projects</w:t>
            </w:r>
          </w:p>
        </w:tc>
        <w:tc>
          <w:tcPr>
            <w:tcW w:type="dxa" w:w="2400"/>
            <w:shd w:fill="FFFFFF" w:val="clear"/>
            <w:tcMar>
              <w:top w:type="dxa" w:w="70"/>
              <w:left w:type="dxa" w:w="100"/>
              <w:bottom w:type="dxa" w:w="70"/>
              <w:right w:type="dxa" w:w="100"/>
            </w:tcMar>
          </w:tcPr>
          <w:p>
            <w:r>
              <w:rPr>
                <w:sz w:val="19"/>
                <w:szCs w:val="19"/>
              </w:rPr>
              <w:t xml:space="preserve">-</w:t>
            </w:r>
          </w:p>
        </w:tc>
        <w:tc>
          <w:tcPr>
            <w:tcW w:type="dxa" w:w="2400"/>
            <w:shd w:fill="FFFFFF" w:val="clear"/>
            <w:tcMar>
              <w:top w:type="dxa" w:w="70"/>
              <w:left w:type="dxa" w:w="100"/>
              <w:bottom w:type="dxa" w:w="70"/>
              <w:right w:type="dxa" w:w="100"/>
            </w:tcMar>
          </w:tcPr>
          <w:p>
            <w:r>
              <w:rPr>
                <w:sz w:val="19"/>
                <w:szCs w:val="19"/>
              </w:rPr>
              <w:t xml:space="preserve">Timesheets, project budgets, billing</w:t>
            </w:r>
          </w:p>
        </w:tc>
        <w:tc>
          <w:tcPr>
            <w:tcW w:type="dxa" w:w="2150"/>
            <w:shd w:fill="FFFFFF" w:val="clear"/>
            <w:tcMar>
              <w:top w:type="dxa" w:w="70"/>
              <w:left w:type="dxa" w:w="100"/>
              <w:bottom w:type="dxa" w:w="70"/>
              <w:right w:type="dxa" w:w="100"/>
            </w:tcMar>
          </w:tcPr>
          <w:p>
            <w:r>
              <w:rPr>
                <w:sz w:val="19"/>
                <w:szCs w:val="19"/>
              </w:rPr>
              <w:t xml:space="preserve">Profitability reporting, resourcing</w:t>
            </w:r>
          </w:p>
        </w:tc>
      </w:tr>
      <w:tr>
        <w:tc>
          <w:tcPr>
            <w:tcW w:type="dxa" w:w="2400"/>
            <w:shd w:fill="DCE6F1" w:val="clear"/>
            <w:tcMar>
              <w:top w:type="dxa" w:w="70"/>
              <w:left w:type="dxa" w:w="100"/>
              <w:bottom w:type="dxa" w:w="70"/>
              <w:right w:type="dxa" w:w="100"/>
            </w:tcMar>
          </w:tcPr>
          <w:p>
            <w:r>
              <w:rPr>
                <w:sz w:val="19"/>
                <w:szCs w:val="19"/>
              </w:rPr>
              <w:t xml:space="preserve">BC-10 Payroll</w:t>
            </w:r>
          </w:p>
        </w:tc>
        <w:tc>
          <w:tcPr>
            <w:tcW w:type="dxa" w:w="2400"/>
            <w:shd w:fill="DCE6F1" w:val="clear"/>
            <w:tcMar>
              <w:top w:type="dxa" w:w="70"/>
              <w:left w:type="dxa" w:w="100"/>
              <w:bottom w:type="dxa" w:w="70"/>
              <w:right w:type="dxa" w:w="100"/>
            </w:tcMar>
          </w:tcPr>
          <w:p>
            <w:r>
              <w:rPr>
                <w:sz w:val="19"/>
                <w:szCs w:val="19"/>
              </w:rPr>
              <w:t xml:space="preserve">-</w:t>
            </w:r>
          </w:p>
        </w:tc>
        <w:tc>
          <w:tcPr>
            <w:tcW w:type="dxa" w:w="2400"/>
            <w:shd w:fill="DCE6F1" w:val="clear"/>
            <w:tcMar>
              <w:top w:type="dxa" w:w="70"/>
              <w:left w:type="dxa" w:w="100"/>
              <w:bottom w:type="dxa" w:w="70"/>
              <w:right w:type="dxa" w:w="100"/>
            </w:tcMar>
          </w:tcPr>
          <w:p>
            <w:r>
              <w:rPr>
                <w:sz w:val="19"/>
                <w:szCs w:val="19"/>
              </w:rPr>
              <w:t xml:space="preserve">-</w:t>
            </w:r>
          </w:p>
        </w:tc>
        <w:tc>
          <w:tcPr>
            <w:tcW w:type="dxa" w:w="2150"/>
            <w:shd w:fill="DCE6F1" w:val="clear"/>
            <w:tcMar>
              <w:top w:type="dxa" w:w="70"/>
              <w:left w:type="dxa" w:w="100"/>
              <w:bottom w:type="dxa" w:w="70"/>
              <w:right w:type="dxa" w:w="100"/>
            </w:tcMar>
          </w:tcPr>
          <w:p>
            <w:r>
              <w:rPr>
                <w:sz w:val="19"/>
                <w:szCs w:val="19"/>
              </w:rPr>
              <w:t xml:space="preserve">Pay runs, statutory filing (phased by country)</w:t>
            </w:r>
          </w:p>
        </w:tc>
      </w:tr>
      <w:tr>
        <w:tc>
          <w:tcPr>
            <w:tcW w:type="dxa" w:w="2400"/>
            <w:shd w:fill="FFFFFF" w:val="clear"/>
            <w:tcMar>
              <w:top w:type="dxa" w:w="70"/>
              <w:left w:type="dxa" w:w="100"/>
              <w:bottom w:type="dxa" w:w="70"/>
              <w:right w:type="dxa" w:w="100"/>
            </w:tcMar>
          </w:tcPr>
          <w:p>
            <w:r>
              <w:rPr>
                <w:sz w:val="19"/>
                <w:szCs w:val="19"/>
              </w:rPr>
              <w:t xml:space="preserve">BC-11 Tax Compliance</w:t>
            </w:r>
          </w:p>
        </w:tc>
        <w:tc>
          <w:tcPr>
            <w:tcW w:type="dxa" w:w="2400"/>
            <w:shd w:fill="FFFFFF" w:val="clear"/>
            <w:tcMar>
              <w:top w:type="dxa" w:w="70"/>
              <w:left w:type="dxa" w:w="100"/>
              <w:bottom w:type="dxa" w:w="70"/>
              <w:right w:type="dxa" w:w="100"/>
            </w:tcMar>
          </w:tcPr>
          <w:p>
            <w:r>
              <w:rPr>
                <w:sz w:val="19"/>
                <w:szCs w:val="19"/>
              </w:rPr>
              <w:t xml:space="preserve">Single-country sales tax</w:t>
            </w:r>
          </w:p>
        </w:tc>
        <w:tc>
          <w:tcPr>
            <w:tcW w:type="dxa" w:w="2400"/>
            <w:shd w:fill="FFFFFF" w:val="clear"/>
            <w:tcMar>
              <w:top w:type="dxa" w:w="70"/>
              <w:left w:type="dxa" w:w="100"/>
              <w:bottom w:type="dxa" w:w="70"/>
              <w:right w:type="dxa" w:w="100"/>
            </w:tcMar>
          </w:tcPr>
          <w:p>
            <w:r>
              <w:rPr>
                <w:sz w:val="19"/>
                <w:szCs w:val="19"/>
              </w:rPr>
              <w:t xml:space="preserve">1099/W-9, multi-state tax</w:t>
            </w:r>
          </w:p>
        </w:tc>
        <w:tc>
          <w:tcPr>
            <w:tcW w:type="dxa" w:w="2150"/>
            <w:shd w:fill="FFFFFF" w:val="clear"/>
            <w:tcMar>
              <w:top w:type="dxa" w:w="70"/>
              <w:left w:type="dxa" w:w="100"/>
              <w:bottom w:type="dxa" w:w="70"/>
              <w:right w:type="dxa" w:w="100"/>
            </w:tcMar>
          </w:tcPr>
          <w:p>
            <w:r>
              <w:rPr>
                <w:sz w:val="19"/>
                <w:szCs w:val="19"/>
              </w:rPr>
              <w:t xml:space="preserve">Multi-country VAT/GST, e-filing integrations</w:t>
            </w:r>
          </w:p>
        </w:tc>
      </w:tr>
      <w:tr>
        <w:tc>
          <w:tcPr>
            <w:tcW w:type="dxa" w:w="2400"/>
            <w:shd w:fill="DCE6F1" w:val="clear"/>
            <w:tcMar>
              <w:top w:type="dxa" w:w="70"/>
              <w:left w:type="dxa" w:w="100"/>
              <w:bottom w:type="dxa" w:w="70"/>
              <w:right w:type="dxa" w:w="100"/>
            </w:tcMar>
          </w:tcPr>
          <w:p>
            <w:r>
              <w:rPr>
                <w:sz w:val="19"/>
                <w:szCs w:val="19"/>
              </w:rPr>
              <w:t xml:space="preserve">BC-12 Multi-Currency/Globalization</w:t>
            </w:r>
          </w:p>
        </w:tc>
        <w:tc>
          <w:tcPr>
            <w:tcW w:type="dxa" w:w="2400"/>
            <w:shd w:fill="DCE6F1" w:val="clear"/>
            <w:tcMar>
              <w:top w:type="dxa" w:w="70"/>
              <w:left w:type="dxa" w:w="100"/>
              <w:bottom w:type="dxa" w:w="70"/>
              <w:right w:type="dxa" w:w="100"/>
            </w:tcMar>
          </w:tcPr>
          <w:p>
            <w:r>
              <w:rPr>
                <w:sz w:val="19"/>
                <w:szCs w:val="19"/>
              </w:rPr>
              <w:t xml:space="preserve">Single locale</w:t>
            </w:r>
          </w:p>
        </w:tc>
        <w:tc>
          <w:tcPr>
            <w:tcW w:type="dxa" w:w="2400"/>
            <w:shd w:fill="DCE6F1" w:val="clear"/>
            <w:tcMar>
              <w:top w:type="dxa" w:w="70"/>
              <w:left w:type="dxa" w:w="100"/>
              <w:bottom w:type="dxa" w:w="70"/>
              <w:right w:type="dxa" w:w="100"/>
            </w:tcMar>
          </w:tcPr>
          <w:p>
            <w:r>
              <w:rPr>
                <w:sz w:val="19"/>
                <w:szCs w:val="19"/>
              </w:rPr>
              <w:t xml:space="preserve">Multi-currency transactions</w:t>
            </w:r>
          </w:p>
        </w:tc>
        <w:tc>
          <w:tcPr>
            <w:tcW w:type="dxa" w:w="2150"/>
            <w:shd w:fill="DCE6F1" w:val="clear"/>
            <w:tcMar>
              <w:top w:type="dxa" w:w="70"/>
              <w:left w:type="dxa" w:w="100"/>
              <w:bottom w:type="dxa" w:w="70"/>
              <w:right w:type="dxa" w:w="100"/>
            </w:tcMar>
          </w:tcPr>
          <w:p>
            <w:r>
              <w:rPr>
                <w:sz w:val="19"/>
                <w:szCs w:val="19"/>
              </w:rPr>
              <w:t xml:space="preserve">25+ language UI localization</w:t>
            </w:r>
          </w:p>
        </w:tc>
      </w:tr>
      <w:tr>
        <w:tc>
          <w:tcPr>
            <w:tcW w:type="dxa" w:w="2400"/>
            <w:shd w:fill="FFFFFF" w:val="clear"/>
            <w:tcMar>
              <w:top w:type="dxa" w:w="70"/>
              <w:left w:type="dxa" w:w="100"/>
              <w:bottom w:type="dxa" w:w="70"/>
              <w:right w:type="dxa" w:w="100"/>
            </w:tcMar>
          </w:tcPr>
          <w:p>
            <w:r>
              <w:rPr>
                <w:sz w:val="19"/>
                <w:szCs w:val="19"/>
              </w:rPr>
              <w:t xml:space="preserve">BC-13 Reporting</w:t>
            </w:r>
          </w:p>
        </w:tc>
        <w:tc>
          <w:tcPr>
            <w:tcW w:type="dxa" w:w="2400"/>
            <w:shd w:fill="FFFFFF" w:val="clear"/>
            <w:tcMar>
              <w:top w:type="dxa" w:w="70"/>
              <w:left w:type="dxa" w:w="100"/>
              <w:bottom w:type="dxa" w:w="70"/>
              <w:right w:type="dxa" w:w="100"/>
            </w:tcMar>
          </w:tcPr>
          <w:p>
            <w:r>
              <w:rPr>
                <w:sz w:val="19"/>
                <w:szCs w:val="19"/>
              </w:rPr>
              <w:t xml:space="preserve">Core financial statements (P&amp;L, balance sheet, cash flow)</w:t>
            </w:r>
          </w:p>
        </w:tc>
        <w:tc>
          <w:tcPr>
            <w:tcW w:type="dxa" w:w="2400"/>
            <w:shd w:fill="FFFFFF" w:val="clear"/>
            <w:tcMar>
              <w:top w:type="dxa" w:w="70"/>
              <w:left w:type="dxa" w:w="100"/>
              <w:bottom w:type="dxa" w:w="70"/>
              <w:right w:type="dxa" w:w="100"/>
            </w:tcMar>
          </w:tcPr>
          <w:p>
            <w:r>
              <w:rPr>
                <w:sz w:val="19"/>
                <w:szCs w:val="19"/>
              </w:rPr>
              <w:t xml:space="preserve">Custom report builder, reporting tags</w:t>
            </w:r>
          </w:p>
        </w:tc>
        <w:tc>
          <w:tcPr>
            <w:tcW w:type="dxa" w:w="2150"/>
            <w:shd w:fill="FFFFFF" w:val="clear"/>
            <w:tcMar>
              <w:top w:type="dxa" w:w="70"/>
              <w:left w:type="dxa" w:w="100"/>
              <w:bottom w:type="dxa" w:w="70"/>
              <w:right w:type="dxa" w:w="100"/>
            </w:tcMar>
          </w:tcPr>
          <w:p>
            <w:r>
              <w:rPr>
                <w:sz w:val="19"/>
                <w:szCs w:val="19"/>
              </w:rPr>
              <w:t xml:space="preserve">BI integration, scheduled delivery</w:t>
            </w:r>
          </w:p>
        </w:tc>
      </w:tr>
      <w:tr>
        <w:tc>
          <w:tcPr>
            <w:tcW w:type="dxa" w:w="2400"/>
            <w:shd w:fill="DCE6F1" w:val="clear"/>
            <w:tcMar>
              <w:top w:type="dxa" w:w="70"/>
              <w:left w:type="dxa" w:w="100"/>
              <w:bottom w:type="dxa" w:w="70"/>
              <w:right w:type="dxa" w:w="100"/>
            </w:tcMar>
          </w:tcPr>
          <w:p>
            <w:r>
              <w:rPr>
                <w:sz w:val="19"/>
                <w:szCs w:val="19"/>
              </w:rPr>
              <w:t xml:space="preserve">BC-14 Documents</w:t>
            </w:r>
          </w:p>
        </w:tc>
        <w:tc>
          <w:tcPr>
            <w:tcW w:type="dxa" w:w="2400"/>
            <w:shd w:fill="DCE6F1" w:val="clear"/>
            <w:tcMar>
              <w:top w:type="dxa" w:w="70"/>
              <w:left w:type="dxa" w:w="100"/>
              <w:bottom w:type="dxa" w:w="70"/>
              <w:right w:type="dxa" w:w="100"/>
            </w:tcMar>
          </w:tcPr>
          <w:p>
            <w:r>
              <w:rPr>
                <w:sz w:val="19"/>
                <w:szCs w:val="19"/>
              </w:rPr>
              <w:t xml:space="preserve">Attachments on transactions</w:t>
            </w:r>
          </w:p>
        </w:tc>
        <w:tc>
          <w:tcPr>
            <w:tcW w:type="dxa" w:w="2400"/>
            <w:shd w:fill="DCE6F1" w:val="clear"/>
            <w:tcMar>
              <w:top w:type="dxa" w:w="70"/>
              <w:left w:type="dxa" w:w="100"/>
              <w:bottom w:type="dxa" w:w="70"/>
              <w:right w:type="dxa" w:w="100"/>
            </w:tcMar>
          </w:tcPr>
          <w:p>
            <w:r>
              <w:rPr>
                <w:sz w:val="19"/>
                <w:szCs w:val="19"/>
              </w:rPr>
              <w:t xml:space="preserve">Central document folders</w:t>
            </w:r>
          </w:p>
        </w:tc>
        <w:tc>
          <w:tcPr>
            <w:tcW w:type="dxa" w:w="2150"/>
            <w:shd w:fill="DCE6F1" w:val="clear"/>
            <w:tcMar>
              <w:top w:type="dxa" w:w="70"/>
              <w:left w:type="dxa" w:w="100"/>
              <w:bottom w:type="dxa" w:w="70"/>
              <w:right w:type="dxa" w:w="100"/>
            </w:tcMar>
          </w:tcPr>
          <w:p>
            <w:r>
              <w:rPr>
                <w:sz w:val="19"/>
                <w:szCs w:val="19"/>
              </w:rPr>
              <w:t xml:space="preserve">-</w:t>
            </w:r>
          </w:p>
        </w:tc>
      </w:tr>
      <w:tr>
        <w:tc>
          <w:tcPr>
            <w:tcW w:type="dxa" w:w="2400"/>
            <w:shd w:fill="FFFFFF" w:val="clear"/>
            <w:tcMar>
              <w:top w:type="dxa" w:w="70"/>
              <w:left w:type="dxa" w:w="100"/>
              <w:bottom w:type="dxa" w:w="70"/>
              <w:right w:type="dxa" w:w="100"/>
            </w:tcMar>
          </w:tcPr>
          <w:p>
            <w:r>
              <w:rPr>
                <w:sz w:val="19"/>
                <w:szCs w:val="19"/>
              </w:rPr>
              <w:t xml:space="preserve">BC-15 Collaboration</w:t>
            </w:r>
          </w:p>
        </w:tc>
        <w:tc>
          <w:tcPr>
            <w:tcW w:type="dxa" w:w="2400"/>
            <w:shd w:fill="FFFFFF" w:val="clear"/>
            <w:tcMar>
              <w:top w:type="dxa" w:w="70"/>
              <w:left w:type="dxa" w:w="100"/>
              <w:bottom w:type="dxa" w:w="70"/>
              <w:right w:type="dxa" w:w="100"/>
            </w:tcMar>
          </w:tcPr>
          <w:p>
            <w:r>
              <w:rPr>
                <w:sz w:val="19"/>
                <w:szCs w:val="19"/>
              </w:rPr>
              <w:t xml:space="preserve">-</w:t>
            </w:r>
          </w:p>
        </w:tc>
        <w:tc>
          <w:tcPr>
            <w:tcW w:type="dxa" w:w="2400"/>
            <w:shd w:fill="FFFFFF" w:val="clear"/>
            <w:tcMar>
              <w:top w:type="dxa" w:w="70"/>
              <w:left w:type="dxa" w:w="100"/>
              <w:bottom w:type="dxa" w:w="70"/>
              <w:right w:type="dxa" w:w="100"/>
            </w:tcMar>
          </w:tcPr>
          <w:p>
            <w:r>
              <w:rPr>
                <w:sz w:val="19"/>
                <w:szCs w:val="19"/>
              </w:rPr>
              <w:t xml:space="preserve">Customer portal</w:t>
            </w:r>
          </w:p>
        </w:tc>
        <w:tc>
          <w:tcPr>
            <w:tcW w:type="dxa" w:w="2150"/>
            <w:shd w:fill="FFFFFF" w:val="clear"/>
            <w:tcMar>
              <w:top w:type="dxa" w:w="70"/>
              <w:left w:type="dxa" w:w="100"/>
              <w:bottom w:type="dxa" w:w="70"/>
              <w:right w:type="dxa" w:w="100"/>
            </w:tcMar>
          </w:tcPr>
          <w:p>
            <w:r>
              <w:rPr>
                <w:sz w:val="19"/>
                <w:szCs w:val="19"/>
              </w:rPr>
              <w:t xml:space="preserve">Vendor portal, accountant module, team collaboration</w:t>
            </w:r>
          </w:p>
        </w:tc>
      </w:tr>
      <w:tr>
        <w:tc>
          <w:tcPr>
            <w:tcW w:type="dxa" w:w="2400"/>
            <w:shd w:fill="DCE6F1" w:val="clear"/>
            <w:tcMar>
              <w:top w:type="dxa" w:w="70"/>
              <w:left w:type="dxa" w:w="100"/>
              <w:bottom w:type="dxa" w:w="70"/>
              <w:right w:type="dxa" w:w="100"/>
            </w:tcMar>
          </w:tcPr>
          <w:p>
            <w:r>
              <w:rPr>
                <w:sz w:val="19"/>
                <w:szCs w:val="19"/>
              </w:rPr>
              <w:t xml:space="preserve">BC-16 Workflow Automation</w:t>
            </w:r>
          </w:p>
        </w:tc>
        <w:tc>
          <w:tcPr>
            <w:tcW w:type="dxa" w:w="2400"/>
            <w:shd w:fill="DCE6F1" w:val="clear"/>
            <w:tcMar>
              <w:top w:type="dxa" w:w="70"/>
              <w:left w:type="dxa" w:w="100"/>
              <w:bottom w:type="dxa" w:w="70"/>
              <w:right w:type="dxa" w:w="100"/>
            </w:tcMar>
          </w:tcPr>
          <w:p>
            <w:r>
              <w:rPr>
                <w:sz w:val="19"/>
                <w:szCs w:val="19"/>
              </w:rPr>
              <w:t xml:space="preserve">Recurring invoices/bills</w:t>
            </w:r>
          </w:p>
        </w:tc>
        <w:tc>
          <w:tcPr>
            <w:tcW w:type="dxa" w:w="2400"/>
            <w:shd w:fill="DCE6F1" w:val="clear"/>
            <w:tcMar>
              <w:top w:type="dxa" w:w="70"/>
              <w:left w:type="dxa" w:w="100"/>
              <w:bottom w:type="dxa" w:w="70"/>
              <w:right w:type="dxa" w:w="100"/>
            </w:tcMar>
          </w:tcPr>
          <w:p>
            <w:r>
              <w:rPr>
                <w:sz w:val="19"/>
                <w:szCs w:val="19"/>
              </w:rPr>
              <w:t xml:space="preserve">Approval workflows</w:t>
            </w:r>
          </w:p>
        </w:tc>
        <w:tc>
          <w:tcPr>
            <w:tcW w:type="dxa" w:w="2150"/>
            <w:shd w:fill="DCE6F1" w:val="clear"/>
            <w:tcMar>
              <w:top w:type="dxa" w:w="70"/>
              <w:left w:type="dxa" w:w="100"/>
              <w:bottom w:type="dxa" w:w="70"/>
              <w:right w:type="dxa" w:w="100"/>
            </w:tcMar>
          </w:tcPr>
          <w:p>
            <w:r>
              <w:rPr>
                <w:sz w:val="19"/>
                <w:szCs w:val="19"/>
              </w:rPr>
              <w:t xml:space="preserve">Full trigger/notify/validate rule engine</w:t>
            </w:r>
          </w:p>
        </w:tc>
      </w:tr>
      <w:tr>
        <w:tc>
          <w:tcPr>
            <w:tcW w:type="dxa" w:w="2400"/>
            <w:shd w:fill="FFFFFF" w:val="clear"/>
            <w:tcMar>
              <w:top w:type="dxa" w:w="70"/>
              <w:left w:type="dxa" w:w="100"/>
              <w:bottom w:type="dxa" w:w="70"/>
              <w:right w:type="dxa" w:w="100"/>
            </w:tcMar>
          </w:tcPr>
          <w:p>
            <w:r>
              <w:rPr>
                <w:sz w:val="19"/>
                <w:szCs w:val="19"/>
              </w:rPr>
              <w:t xml:space="preserve">BC-17 Customization</w:t>
            </w:r>
          </w:p>
        </w:tc>
        <w:tc>
          <w:tcPr>
            <w:tcW w:type="dxa" w:w="2400"/>
            <w:shd w:fill="FFFFFF" w:val="clear"/>
            <w:tcMar>
              <w:top w:type="dxa" w:w="70"/>
              <w:left w:type="dxa" w:w="100"/>
              <w:bottom w:type="dxa" w:w="70"/>
              <w:right w:type="dxa" w:w="100"/>
            </w:tcMar>
          </w:tcPr>
          <w:p>
            <w:r>
              <w:rPr>
                <w:sz w:val="19"/>
                <w:szCs w:val="19"/>
              </w:rPr>
              <w:t xml:space="preserve">Custom fields</w:t>
            </w:r>
          </w:p>
        </w:tc>
        <w:tc>
          <w:tcPr>
            <w:tcW w:type="dxa" w:w="2400"/>
            <w:shd w:fill="FFFFFF" w:val="clear"/>
            <w:tcMar>
              <w:top w:type="dxa" w:w="70"/>
              <w:left w:type="dxa" w:w="100"/>
              <w:bottom w:type="dxa" w:w="70"/>
              <w:right w:type="dxa" w:w="100"/>
            </w:tcMar>
          </w:tcPr>
          <w:p>
            <w:r>
              <w:rPr>
                <w:sz w:val="19"/>
                <w:szCs w:val="19"/>
              </w:rPr>
              <w:t xml:space="preserve">Custom templates</w:t>
            </w:r>
          </w:p>
        </w:tc>
        <w:tc>
          <w:tcPr>
            <w:tcW w:type="dxa" w:w="2150"/>
            <w:shd w:fill="FFFFFF" w:val="clear"/>
            <w:tcMar>
              <w:top w:type="dxa" w:w="70"/>
              <w:left w:type="dxa" w:w="100"/>
              <w:bottom w:type="dxa" w:w="70"/>
              <w:right w:type="dxa" w:w="100"/>
            </w:tcMar>
          </w:tcPr>
          <w:p>
            <w:r>
              <w:rPr>
                <w:sz w:val="19"/>
                <w:szCs w:val="19"/>
              </w:rPr>
              <w:t xml:space="preserve">Custom modules, layout rules</w:t>
            </w:r>
          </w:p>
        </w:tc>
      </w:tr>
      <w:tr>
        <w:tc>
          <w:tcPr>
            <w:tcW w:type="dxa" w:w="2400"/>
            <w:shd w:fill="DCE6F1" w:val="clear"/>
            <w:tcMar>
              <w:top w:type="dxa" w:w="70"/>
              <w:left w:type="dxa" w:w="100"/>
              <w:bottom w:type="dxa" w:w="70"/>
              <w:right w:type="dxa" w:w="100"/>
            </w:tcMar>
          </w:tcPr>
          <w:p>
            <w:r>
              <w:rPr>
                <w:sz w:val="19"/>
                <w:szCs w:val="19"/>
              </w:rPr>
              <w:t xml:space="preserve">BC-18 AI Assistance</w:t>
            </w:r>
          </w:p>
        </w:tc>
        <w:tc>
          <w:tcPr>
            <w:tcW w:type="dxa" w:w="2400"/>
            <w:shd w:fill="DCE6F1" w:val="clear"/>
            <w:tcMar>
              <w:top w:type="dxa" w:w="70"/>
              <w:left w:type="dxa" w:w="100"/>
              <w:bottom w:type="dxa" w:w="70"/>
              <w:right w:type="dxa" w:w="100"/>
            </w:tcMar>
          </w:tcPr>
          <w:p>
            <w:r>
              <w:rPr>
                <w:sz w:val="19"/>
                <w:szCs w:val="19"/>
              </w:rPr>
              <w:t xml:space="preserve">-</w:t>
            </w:r>
          </w:p>
        </w:tc>
        <w:tc>
          <w:tcPr>
            <w:tcW w:type="dxa" w:w="2400"/>
            <w:shd w:fill="DCE6F1" w:val="clear"/>
            <w:tcMar>
              <w:top w:type="dxa" w:w="70"/>
              <w:left w:type="dxa" w:w="100"/>
              <w:bottom w:type="dxa" w:w="70"/>
              <w:right w:type="dxa" w:w="100"/>
            </w:tcMar>
          </w:tcPr>
          <w:p>
            <w:r>
              <w:rPr>
                <w:sz w:val="19"/>
                <w:szCs w:val="19"/>
              </w:rPr>
              <w:t xml:space="preserve">Anomaly detection on reports</w:t>
            </w:r>
          </w:p>
        </w:tc>
        <w:tc>
          <w:tcPr>
            <w:tcW w:type="dxa" w:w="2150"/>
            <w:shd w:fill="DCE6F1" w:val="clear"/>
            <w:tcMar>
              <w:top w:type="dxa" w:w="70"/>
              <w:left w:type="dxa" w:w="100"/>
              <w:bottom w:type="dxa" w:w="70"/>
              <w:right w:type="dxa" w:w="100"/>
            </w:tcMar>
          </w:tcPr>
          <w:p>
            <w:r>
              <w:rPr>
                <w:sz w:val="19"/>
                <w:szCs w:val="19"/>
              </w:rPr>
              <w:t xml:space="preserve">Conversational assistant, MCP/agent connectivity</w:t>
            </w:r>
          </w:p>
        </w:tc>
      </w:tr>
      <w:tr>
        <w:tc>
          <w:tcPr>
            <w:tcW w:type="dxa" w:w="2400"/>
            <w:shd w:fill="FFFFFF" w:val="clear"/>
            <w:tcMar>
              <w:top w:type="dxa" w:w="70"/>
              <w:left w:type="dxa" w:w="100"/>
              <w:bottom w:type="dxa" w:w="70"/>
              <w:right w:type="dxa" w:w="100"/>
            </w:tcMar>
          </w:tcPr>
          <w:p>
            <w:r>
              <w:rPr>
                <w:sz w:val="19"/>
                <w:szCs w:val="19"/>
              </w:rPr>
              <w:t xml:space="preserve">BC-19 Integrations</w:t>
            </w:r>
          </w:p>
        </w:tc>
        <w:tc>
          <w:tcPr>
            <w:tcW w:type="dxa" w:w="2400"/>
            <w:shd w:fill="FFFFFF" w:val="clear"/>
            <w:tcMar>
              <w:top w:type="dxa" w:w="70"/>
              <w:left w:type="dxa" w:w="100"/>
              <w:bottom w:type="dxa" w:w="70"/>
              <w:right w:type="dxa" w:w="100"/>
            </w:tcMar>
          </w:tcPr>
          <w:p>
            <w:r>
              <w:rPr>
                <w:sz w:val="19"/>
                <w:szCs w:val="19"/>
              </w:rPr>
              <w:t xml:space="preserve">Public REST API v1</w:t>
            </w:r>
          </w:p>
        </w:tc>
        <w:tc>
          <w:tcPr>
            <w:tcW w:type="dxa" w:w="2400"/>
            <w:shd w:fill="FFFFFF" w:val="clear"/>
            <w:tcMar>
              <w:top w:type="dxa" w:w="70"/>
              <w:left w:type="dxa" w:w="100"/>
              <w:bottom w:type="dxa" w:w="70"/>
              <w:right w:type="dxa" w:w="100"/>
            </w:tcMar>
          </w:tcPr>
          <w:p>
            <w:r>
              <w:rPr>
                <w:sz w:val="19"/>
                <w:szCs w:val="19"/>
              </w:rPr>
              <w:t xml:space="preserve">Payment gateway marketplace</w:t>
            </w:r>
          </w:p>
        </w:tc>
        <w:tc>
          <w:tcPr>
            <w:tcW w:type="dxa" w:w="2150"/>
            <w:shd w:fill="FFFFFF" w:val="clear"/>
            <w:tcMar>
              <w:top w:type="dxa" w:w="70"/>
              <w:left w:type="dxa" w:w="100"/>
              <w:bottom w:type="dxa" w:w="70"/>
              <w:right w:type="dxa" w:w="100"/>
            </w:tcMar>
          </w:tcPr>
          <w:p>
            <w:r>
              <w:rPr>
                <w:sz w:val="19"/>
                <w:szCs w:val="19"/>
              </w:rPr>
              <w:t xml:space="preserve">E-commerce channel sync, webhook marketplace</w:t>
            </w:r>
          </w:p>
        </w:tc>
      </w:tr>
      <w:tr>
        <w:tc>
          <w:tcPr>
            <w:tcW w:type="dxa" w:w="2400"/>
            <w:shd w:fill="DCE6F1" w:val="clear"/>
            <w:tcMar>
              <w:top w:type="dxa" w:w="70"/>
              <w:left w:type="dxa" w:w="100"/>
              <w:bottom w:type="dxa" w:w="70"/>
              <w:right w:type="dxa" w:w="100"/>
            </w:tcMar>
          </w:tcPr>
          <w:p>
            <w:r>
              <w:rPr>
                <w:sz w:val="19"/>
                <w:szCs w:val="19"/>
              </w:rPr>
              <w:t xml:space="preserve">BC-20 Security/Compliance</w:t>
            </w:r>
          </w:p>
        </w:tc>
        <w:tc>
          <w:tcPr>
            <w:tcW w:type="dxa" w:w="2400"/>
            <w:shd w:fill="DCE6F1" w:val="clear"/>
            <w:tcMar>
              <w:top w:type="dxa" w:w="70"/>
              <w:left w:type="dxa" w:w="100"/>
              <w:bottom w:type="dxa" w:w="70"/>
              <w:right w:type="dxa" w:w="100"/>
            </w:tcMar>
          </w:tcPr>
          <w:p>
            <w:r>
              <w:rPr>
                <w:sz w:val="19"/>
                <w:szCs w:val="19"/>
              </w:rPr>
              <w:t xml:space="preserve">RBAC, audit trail</w:t>
            </w:r>
          </w:p>
        </w:tc>
        <w:tc>
          <w:tcPr>
            <w:tcW w:type="dxa" w:w="2400"/>
            <w:shd w:fill="DCE6F1" w:val="clear"/>
            <w:tcMar>
              <w:top w:type="dxa" w:w="70"/>
              <w:left w:type="dxa" w:w="100"/>
              <w:bottom w:type="dxa" w:w="70"/>
              <w:right w:type="dxa" w:w="100"/>
            </w:tcMar>
          </w:tcPr>
          <w:p>
            <w:r>
              <w:rPr>
                <w:sz w:val="19"/>
                <w:szCs w:val="19"/>
              </w:rPr>
              <w:t xml:space="preserve">SSO, GDPR controls</w:t>
            </w:r>
          </w:p>
        </w:tc>
        <w:tc>
          <w:tcPr>
            <w:tcW w:type="dxa" w:w="2150"/>
            <w:shd w:fill="DCE6F1" w:val="clear"/>
            <w:tcMar>
              <w:top w:type="dxa" w:w="70"/>
              <w:left w:type="dxa" w:w="100"/>
              <w:bottom w:type="dxa" w:w="70"/>
              <w:right w:type="dxa" w:w="100"/>
            </w:tcMar>
          </w:tcPr>
          <w:p>
            <w:r>
              <w:rPr>
                <w:sz w:val="19"/>
                <w:szCs w:val="19"/>
              </w:rPr>
              <w:t xml:space="preserve">HIPAA, PCI self-assessment alignment</w:t>
            </w:r>
          </w:p>
        </w:tc>
      </w:tr>
      <w:tr>
        <w:tc>
          <w:tcPr>
            <w:tcW w:type="dxa" w:w="2400"/>
            <w:shd w:fill="FFFFFF" w:val="clear"/>
            <w:tcMar>
              <w:top w:type="dxa" w:w="70"/>
              <w:left w:type="dxa" w:w="100"/>
              <w:bottom w:type="dxa" w:w="70"/>
              <w:right w:type="dxa" w:w="100"/>
            </w:tcMar>
          </w:tcPr>
          <w:p>
            <w:r>
              <w:rPr>
                <w:sz w:val="19"/>
                <w:szCs w:val="19"/>
              </w:rPr>
              <w:t xml:space="preserve">BC-21 Org/Tenant Mgmt</w:t>
            </w:r>
          </w:p>
        </w:tc>
        <w:tc>
          <w:tcPr>
            <w:tcW w:type="dxa" w:w="2400"/>
            <w:shd w:fill="FFFFFF" w:val="clear"/>
            <w:tcMar>
              <w:top w:type="dxa" w:w="70"/>
              <w:left w:type="dxa" w:w="100"/>
              <w:bottom w:type="dxa" w:w="70"/>
              <w:right w:type="dxa" w:w="100"/>
            </w:tcMar>
          </w:tcPr>
          <w:p>
            <w:r>
              <w:rPr>
                <w:sz w:val="19"/>
                <w:szCs w:val="19"/>
              </w:rPr>
              <w:t xml:space="preserve">Single org per tenant, web app</w:t>
            </w:r>
          </w:p>
        </w:tc>
        <w:tc>
          <w:tcPr>
            <w:tcW w:type="dxa" w:w="2400"/>
            <w:shd w:fill="FFFFFF" w:val="clear"/>
            <w:tcMar>
              <w:top w:type="dxa" w:w="70"/>
              <w:left w:type="dxa" w:w="100"/>
              <w:bottom w:type="dxa" w:w="70"/>
              <w:right w:type="dxa" w:w="100"/>
            </w:tcMar>
          </w:tcPr>
          <w:p>
            <w:r>
              <w:rPr>
                <w:sz w:val="19"/>
                <w:szCs w:val="19"/>
              </w:rPr>
              <w:t xml:space="preserve">Multi-org switching, mobile apps</w:t>
            </w:r>
          </w:p>
        </w:tc>
        <w:tc>
          <w:tcPr>
            <w:tcW w:type="dxa" w:w="2150"/>
            <w:shd w:fill="FFFFFF" w:val="clear"/>
            <w:tcMar>
              <w:top w:type="dxa" w:w="70"/>
              <w:left w:type="dxa" w:w="100"/>
              <w:bottom w:type="dxa" w:w="70"/>
              <w:right w:type="dxa" w:w="100"/>
            </w:tcMar>
          </w:tcPr>
          <w:p>
            <w:r>
              <w:rPr>
                <w:sz w:val="19"/>
                <w:szCs w:val="19"/>
              </w:rPr>
              <w:t xml:space="preserve">Desktop app, editions/entitlement engine</w:t>
            </w:r>
          </w:p>
        </w:tc>
      </w:tr>
    </w:tbl>
    <w:p>
      <w:r>
        <w:br w:type="page"/>
      </w:r>
    </w:p>
    <w:p>
      <w:pPr>
        <w:pStyle w:val="Heading1"/>
        <w:spacing w:before="400" w:after="200"/>
      </w:pPr>
      <w:r>
        <w:rPr>
          <w:b/>
          <w:bCs/>
          <w:color w:val="1F3864"/>
          <w:sz w:val="32"/>
          <w:szCs w:val="32"/>
        </w:rPr>
        <w:t xml:space="preserve">7. Value Streams</w:t>
      </w:r>
    </w:p>
    <w:p>
      <w:pPr>
        <w:spacing w:after="160" w:line="276"/>
      </w:pPr>
      <w:r>
        <w:rPr>
          <w:b w:val="false"/>
          <w:bCs w:val="false"/>
          <w:i w:val="false"/>
          <w:iCs w:val="false"/>
          <w:color w:val="1A1A1A"/>
          <w:sz w:val="22"/>
          <w:szCs w:val="22"/>
        </w:rPr>
        <w:t xml:space="preserve">A value stream is the end-to-end sequence of activities that delivers value to a persona, cutting across multiple capability domains. Volume 2 will decompose each value stream into service interactions; this section fixes the business-level shape so that decomposition has a stable target.</w:t>
      </w:r>
    </w:p>
    <w:p>
      <w:pPr>
        <w:pStyle w:val="Heading2"/>
        <w:spacing w:before="300" w:after="150"/>
      </w:pPr>
      <w:r>
        <w:rPr>
          <w:b/>
          <w:bCs/>
          <w:color w:val="2E75B6"/>
          <w:sz w:val="26"/>
          <w:szCs w:val="26"/>
        </w:rPr>
        <w:t xml:space="preserve">VS-01 - Order-to-Cash</w:t>
      </w:r>
    </w:p>
    <w:p>
      <w:pPr>
        <w:spacing w:after="160" w:line="276"/>
      </w:pPr>
      <w:r>
        <w:rPr>
          <w:b w:val="false"/>
          <w:bCs w:val="false"/>
          <w:i w:val="false"/>
          <w:iCs w:val="false"/>
          <w:color w:val="1A1A1A"/>
          <w:sz w:val="22"/>
          <w:szCs w:val="22"/>
        </w:rPr>
        <w:t xml:space="preserve">Persona: PER-04 (Sales Clerk), PER-09 (Customer), PER-06 (Inventory Manager). Capabilities touched: BC-02, BC-05, BC-06, BC-07, BC-15.</w:t>
      </w:r>
    </w:p>
    <w:p>
      <w:pPr>
        <w:spacing w:before="200" w:after="60"/>
      </w:pPr>
      <w:r>
        <w:rPr>
          <w:b/>
          <w:bCs/>
          <w:i/>
          <w:iCs/>
          <w:color w:val="2E75B6"/>
          <w:sz w:val="20"/>
          <w:szCs w:val="20"/>
        </w:rPr>
        <w:t xml:space="preserve">Diagram: Order-to-Cash value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LR</w:t>
            </w:r>
          </w:p>
          <w:p>
            <w:r>
              <w:rPr>
                <w:color w:val="333333"/>
                <w:sz w:val="18"/>
                <w:szCs w:val="18"/>
                <w:rFonts w:ascii="Consolas" w:cs="Consolas" w:eastAsia="Consolas" w:hAnsi="Consolas"/>
              </w:rPr>
              <w:t xml:space="preserve">    A[Create Quote] --&gt; B{Customer Accepts?}</w:t>
            </w:r>
          </w:p>
          <w:p>
            <w:r>
              <w:rPr>
                <w:color w:val="333333"/>
                <w:sz w:val="18"/>
                <w:szCs w:val="18"/>
                <w:rFonts w:ascii="Consolas" w:cs="Consolas" w:eastAsia="Consolas" w:hAnsi="Consolas"/>
              </w:rPr>
              <w:t xml:space="preserve">    B -- Yes --&gt; C[Convert to Sales Order]</w:t>
            </w:r>
          </w:p>
          <w:p>
            <w:r>
              <w:rPr>
                <w:color w:val="333333"/>
                <w:sz w:val="18"/>
                <w:szCs w:val="18"/>
                <w:rFonts w:ascii="Consolas" w:cs="Consolas" w:eastAsia="Consolas" w:hAnsi="Consolas"/>
              </w:rPr>
              <w:t xml:space="preserve">    B -- No --&gt; A</w:t>
            </w:r>
          </w:p>
          <w:p>
            <w:r>
              <w:rPr>
                <w:color w:val="333333"/>
                <w:sz w:val="18"/>
                <w:szCs w:val="18"/>
                <w:rFonts w:ascii="Consolas" w:cs="Consolas" w:eastAsia="Consolas" w:hAnsi="Consolas"/>
              </w:rPr>
              <w:t xml:space="preserve">    C --&gt; D{Stock Available?}</w:t>
            </w:r>
          </w:p>
          <w:p>
            <w:r>
              <w:rPr>
                <w:color w:val="333333"/>
                <w:sz w:val="18"/>
                <w:szCs w:val="18"/>
                <w:rFonts w:ascii="Consolas" w:cs="Consolas" w:eastAsia="Consolas" w:hAnsi="Consolas"/>
              </w:rPr>
              <w:t xml:space="preserve">    D -- No --&gt; E[Auto-generate Purchase Order]</w:t>
            </w:r>
          </w:p>
          <w:p>
            <w:r>
              <w:rPr>
                <w:color w:val="333333"/>
                <w:sz w:val="18"/>
                <w:szCs w:val="18"/>
                <w:rFonts w:ascii="Consolas" w:cs="Consolas" w:eastAsia="Consolas" w:hAnsi="Consolas"/>
              </w:rPr>
              <w:t xml:space="preserve">    D -- Yes --&gt; F[Convert to Invoice]</w:t>
            </w:r>
          </w:p>
          <w:p>
            <w:r>
              <w:rPr>
                <w:color w:val="333333"/>
                <w:sz w:val="18"/>
                <w:szCs w:val="18"/>
                <w:rFonts w:ascii="Consolas" w:cs="Consolas" w:eastAsia="Consolas" w:hAnsi="Consolas"/>
              </w:rPr>
              <w:t xml:space="preserve">    E --&gt; F</w:t>
            </w:r>
          </w:p>
          <w:p>
            <w:r>
              <w:rPr>
                <w:color w:val="333333"/>
                <w:sz w:val="18"/>
                <w:szCs w:val="18"/>
                <w:rFonts w:ascii="Consolas" w:cs="Consolas" w:eastAsia="Consolas" w:hAnsi="Consolas"/>
              </w:rPr>
              <w:t xml:space="preserve">    F --&gt; G[Send Invoice via Portal/Email]</w:t>
            </w:r>
          </w:p>
          <w:p>
            <w:r>
              <w:rPr>
                <w:color w:val="333333"/>
                <w:sz w:val="18"/>
                <w:szCs w:val="18"/>
                <w:rFonts w:ascii="Consolas" w:cs="Consolas" w:eastAsia="Consolas" w:hAnsi="Consolas"/>
              </w:rPr>
              <w:t xml:space="preserve">    G --&gt; H[Customer Pays Online or Offline]</w:t>
            </w:r>
          </w:p>
          <w:p>
            <w:r>
              <w:rPr>
                <w:color w:val="333333"/>
                <w:sz w:val="18"/>
                <w:szCs w:val="18"/>
                <w:rFonts w:ascii="Consolas" w:cs="Consolas" w:eastAsia="Consolas" w:hAnsi="Consolas"/>
              </w:rPr>
              <w:t xml:space="preserve">    H --&gt; I[Payment Matched to Invoice]</w:t>
            </w:r>
          </w:p>
          <w:p>
            <w:r>
              <w:rPr>
                <w:color w:val="333333"/>
                <w:sz w:val="18"/>
                <w:szCs w:val="18"/>
                <w:rFonts w:ascii="Consolas" w:cs="Consolas" w:eastAsia="Consolas" w:hAnsi="Consolas"/>
              </w:rPr>
              <w:t xml:space="preserve">    I --&gt; J[Bank Reconciliation]</w:t>
            </w:r>
          </w:p>
          <w:p>
            <w:r>
              <w:rPr>
                <w:color w:val="333333"/>
                <w:sz w:val="18"/>
                <w:szCs w:val="18"/>
                <w:rFonts w:ascii="Consolas" w:cs="Consolas" w:eastAsia="Consolas" w:hAnsi="Consolas"/>
              </w:rPr>
              <w:t xml:space="preserve">    J --&gt; K[Ledger Updated / Revenue Recognized]</w:t>
            </w:r>
          </w:p>
        </w:tc>
      </w:tr>
    </w:tbl>
    <w:p>
      <w:pPr>
        <w:spacing w:after="200"/>
      </w:pPr>
      <w:r>
        <w:rPr>
          <w:sz w:val="10"/>
          <w:szCs w:val="10"/>
        </w:rPr>
      </w:r>
    </w:p>
    <w:p>
      <w:pPr>
        <w:pStyle w:val="Heading2"/>
        <w:spacing w:before="300" w:after="150"/>
      </w:pPr>
      <w:r>
        <w:rPr>
          <w:b/>
          <w:bCs/>
          <w:color w:val="2E75B6"/>
          <w:sz w:val="26"/>
          <w:szCs w:val="26"/>
        </w:rPr>
        <w:t xml:space="preserve">VS-02 - Procure-to-Pay</w:t>
      </w:r>
    </w:p>
    <w:p>
      <w:pPr>
        <w:spacing w:after="160" w:line="276"/>
      </w:pPr>
      <w:r>
        <w:rPr>
          <w:b w:val="false"/>
          <w:bCs w:val="false"/>
          <w:i w:val="false"/>
          <w:iCs w:val="false"/>
          <w:color w:val="1A1A1A"/>
          <w:sz w:val="22"/>
          <w:szCs w:val="22"/>
        </w:rPr>
        <w:t xml:space="preserve">Persona: PER-05 (Purchasing Clerk), PER-10 (Vendor), PER-06 (Inventory Manager). Capabilities touched: BC-03, BC-05, BC-07, BC-15.</w:t>
      </w:r>
    </w:p>
    <w:p>
      <w:pPr>
        <w:spacing w:before="200" w:after="60"/>
      </w:pPr>
      <w:r>
        <w:rPr>
          <w:b/>
          <w:bCs/>
          <w:i/>
          <w:iCs/>
          <w:color w:val="2E75B6"/>
          <w:sz w:val="20"/>
          <w:szCs w:val="20"/>
        </w:rPr>
        <w:t xml:space="preserve">Diagram: Procure-to-Pay value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LR</w:t>
            </w:r>
          </w:p>
          <w:p>
            <w:r>
              <w:rPr>
                <w:color w:val="333333"/>
                <w:sz w:val="18"/>
                <w:szCs w:val="18"/>
                <w:rFonts w:ascii="Consolas" w:cs="Consolas" w:eastAsia="Consolas" w:hAnsi="Consolas"/>
              </w:rPr>
              <w:t xml:space="preserve">    A[Raise Purchase Order] --&gt; B[Vendor Confirms / Ships]</w:t>
            </w:r>
          </w:p>
          <w:p>
            <w:r>
              <w:rPr>
                <w:color w:val="333333"/>
                <w:sz w:val="18"/>
                <w:szCs w:val="18"/>
                <w:rFonts w:ascii="Consolas" w:cs="Consolas" w:eastAsia="Consolas" w:hAnsi="Consolas"/>
              </w:rPr>
              <w:t xml:space="preserve">    B --&gt; C[Goods Receipt / Stock Update]</w:t>
            </w:r>
          </w:p>
          <w:p>
            <w:r>
              <w:rPr>
                <w:color w:val="333333"/>
                <w:sz w:val="18"/>
                <w:szCs w:val="18"/>
                <w:rFonts w:ascii="Consolas" w:cs="Consolas" w:eastAsia="Consolas" w:hAnsi="Consolas"/>
              </w:rPr>
              <w:t xml:space="preserve">    C --&gt; D[Vendor Submits Bill via Portal]</w:t>
            </w:r>
          </w:p>
          <w:p>
            <w:r>
              <w:rPr>
                <w:color w:val="333333"/>
                <w:sz w:val="18"/>
                <w:szCs w:val="18"/>
                <w:rFonts w:ascii="Consolas" w:cs="Consolas" w:eastAsia="Consolas" w:hAnsi="Consolas"/>
              </w:rPr>
              <w:t xml:space="preserve">    D --&gt; E{3-Way Match: PO vs Receipt vs Bill}</w:t>
            </w:r>
          </w:p>
          <w:p>
            <w:r>
              <w:rPr>
                <w:color w:val="333333"/>
                <w:sz w:val="18"/>
                <w:szCs w:val="18"/>
                <w:rFonts w:ascii="Consolas" w:cs="Consolas" w:eastAsia="Consolas" w:hAnsi="Consolas"/>
              </w:rPr>
              <w:t xml:space="preserve">    E -- Mismatch --&gt; F[Flag for Review]</w:t>
            </w:r>
          </w:p>
          <w:p>
            <w:r>
              <w:rPr>
                <w:color w:val="333333"/>
                <w:sz w:val="18"/>
                <w:szCs w:val="18"/>
                <w:rFonts w:ascii="Consolas" w:cs="Consolas" w:eastAsia="Consolas" w:hAnsi="Consolas"/>
              </w:rPr>
              <w:t xml:space="preserve">    E -- Match --&gt; G[Approve Bill]</w:t>
            </w:r>
          </w:p>
          <w:p>
            <w:r>
              <w:rPr>
                <w:color w:val="333333"/>
                <w:sz w:val="18"/>
                <w:szCs w:val="18"/>
                <w:rFonts w:ascii="Consolas" w:cs="Consolas" w:eastAsia="Consolas" w:hAnsi="Consolas"/>
              </w:rPr>
              <w:t xml:space="preserve">    F --&gt; G</w:t>
            </w:r>
          </w:p>
          <w:p>
            <w:r>
              <w:rPr>
                <w:color w:val="333333"/>
                <w:sz w:val="18"/>
                <w:szCs w:val="18"/>
                <w:rFonts w:ascii="Consolas" w:cs="Consolas" w:eastAsia="Consolas" w:hAnsi="Consolas"/>
              </w:rPr>
              <w:t xml:space="preserve">    G --&gt; H[Schedule / Make Payment]</w:t>
            </w:r>
          </w:p>
          <w:p>
            <w:r>
              <w:rPr>
                <w:color w:val="333333"/>
                <w:sz w:val="18"/>
                <w:szCs w:val="18"/>
                <w:rFonts w:ascii="Consolas" w:cs="Consolas" w:eastAsia="Consolas" w:hAnsi="Consolas"/>
              </w:rPr>
              <w:t xml:space="preserve">    H --&gt; I[Bank Reconciliation]</w:t>
            </w:r>
          </w:p>
          <w:p>
            <w:r>
              <w:rPr>
                <w:color w:val="333333"/>
                <w:sz w:val="18"/>
                <w:szCs w:val="18"/>
                <w:rFonts w:ascii="Consolas" w:cs="Consolas" w:eastAsia="Consolas" w:hAnsi="Consolas"/>
              </w:rPr>
              <w:t xml:space="preserve">    I --&gt; J[Ledger Updated]</w:t>
            </w:r>
          </w:p>
        </w:tc>
      </w:tr>
    </w:tbl>
    <w:p>
      <w:pPr>
        <w:spacing w:after="200"/>
      </w:pPr>
      <w:r>
        <w:rPr>
          <w:sz w:val="10"/>
          <w:szCs w:val="10"/>
        </w:rPr>
      </w:r>
    </w:p>
    <w:p>
      <w:pPr>
        <w:pStyle w:val="Heading2"/>
        <w:spacing w:before="300" w:after="150"/>
      </w:pPr>
      <w:r>
        <w:rPr>
          <w:b/>
          <w:bCs/>
          <w:color w:val="2E75B6"/>
          <w:sz w:val="26"/>
          <w:szCs w:val="26"/>
        </w:rPr>
        <w:t xml:space="preserve">VS-03 - Record-to-Report</w:t>
      </w:r>
    </w:p>
    <w:p>
      <w:pPr>
        <w:spacing w:after="160" w:line="276"/>
      </w:pPr>
      <w:r>
        <w:rPr>
          <w:b w:val="false"/>
          <w:bCs w:val="false"/>
          <w:i w:val="false"/>
          <w:iCs w:val="false"/>
          <w:color w:val="1A1A1A"/>
          <w:sz w:val="22"/>
          <w:szCs w:val="22"/>
        </w:rPr>
        <w:t xml:space="preserve">Persona: PER-02 (Bookkeeper), PER-03 (External Accountant), PER-01 (Owner). Capabilities touched: BC-01, BC-05, BC-13, BC-20.</w:t>
      </w:r>
    </w:p>
    <w:p>
      <w:pPr>
        <w:spacing w:before="200" w:after="60"/>
      </w:pPr>
      <w:r>
        <w:rPr>
          <w:b/>
          <w:bCs/>
          <w:i/>
          <w:iCs/>
          <w:color w:val="2E75B6"/>
          <w:sz w:val="20"/>
          <w:szCs w:val="20"/>
        </w:rPr>
        <w:t xml:space="preserve">Diagram: Record-to-Report value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LR</w:t>
            </w:r>
          </w:p>
          <w:p>
            <w:r>
              <w:rPr>
                <w:color w:val="333333"/>
                <w:sz w:val="18"/>
                <w:szCs w:val="18"/>
                <w:rFonts w:ascii="Consolas" w:cs="Consolas" w:eastAsia="Consolas" w:hAnsi="Consolas"/>
              </w:rPr>
              <w:t xml:space="preserve">    A[Daily Transactions Post to Ledger] --&gt; B[Bank Feed Reconciliation]</w:t>
            </w:r>
          </w:p>
          <w:p>
            <w:r>
              <w:rPr>
                <w:color w:val="333333"/>
                <w:sz w:val="18"/>
                <w:szCs w:val="18"/>
                <w:rFonts w:ascii="Consolas" w:cs="Consolas" w:eastAsia="Consolas" w:hAnsi="Consolas"/>
              </w:rPr>
              <w:t xml:space="preserve">    B --&gt; C[Manual Journal Adjustments]</w:t>
            </w:r>
          </w:p>
          <w:p>
            <w:r>
              <w:rPr>
                <w:color w:val="333333"/>
                <w:sz w:val="18"/>
                <w:szCs w:val="18"/>
                <w:rFonts w:ascii="Consolas" w:cs="Consolas" w:eastAsia="Consolas" w:hAnsi="Consolas"/>
              </w:rPr>
              <w:t xml:space="preserve">    C --&gt; D[Period-End Lock]</w:t>
            </w:r>
          </w:p>
          <w:p>
            <w:r>
              <w:rPr>
                <w:color w:val="333333"/>
                <w:sz w:val="18"/>
                <w:szCs w:val="18"/>
                <w:rFonts w:ascii="Consolas" w:cs="Consolas" w:eastAsia="Consolas" w:hAnsi="Consolas"/>
              </w:rPr>
              <w:t xml:space="preserve">    D --&gt; E[Generate Financial Statements]</w:t>
            </w:r>
          </w:p>
          <w:p>
            <w:r>
              <w:rPr>
                <w:color w:val="333333"/>
                <w:sz w:val="18"/>
                <w:szCs w:val="18"/>
                <w:rFonts w:ascii="Consolas" w:cs="Consolas" w:eastAsia="Consolas" w:hAnsi="Consolas"/>
              </w:rPr>
              <w:t xml:space="preserve">    E --&gt; F[Accountant Review / Adjust]</w:t>
            </w:r>
          </w:p>
          <w:p>
            <w:r>
              <w:rPr>
                <w:color w:val="333333"/>
                <w:sz w:val="18"/>
                <w:szCs w:val="18"/>
                <w:rFonts w:ascii="Consolas" w:cs="Consolas" w:eastAsia="Consolas" w:hAnsi="Consolas"/>
              </w:rPr>
              <w:t xml:space="preserve">    F --&gt; G[Statutory / Tax Reports Filed]</w:t>
            </w:r>
          </w:p>
          <w:p>
            <w:r>
              <w:rPr>
                <w:color w:val="333333"/>
                <w:sz w:val="18"/>
                <w:szCs w:val="18"/>
                <w:rFonts w:ascii="Consolas" w:cs="Consolas" w:eastAsia="Consolas" w:hAnsi="Consolas"/>
              </w:rPr>
              <w:t xml:space="preserve">    G --&gt; H[Reports Shared with Stakeholders]</w:t>
            </w:r>
          </w:p>
        </w:tc>
      </w:tr>
    </w:tbl>
    <w:p>
      <w:pPr>
        <w:spacing w:after="200"/>
      </w:pPr>
      <w:r>
        <w:rPr>
          <w:sz w:val="10"/>
          <w:szCs w:val="10"/>
        </w:rPr>
      </w:r>
    </w:p>
    <w:p>
      <w:pPr>
        <w:pStyle w:val="Heading2"/>
        <w:spacing w:before="300" w:after="150"/>
      </w:pPr>
      <w:r>
        <w:rPr>
          <w:b/>
          <w:bCs/>
          <w:color w:val="2E75B6"/>
          <w:sz w:val="26"/>
          <w:szCs w:val="26"/>
        </w:rPr>
        <w:t xml:space="preserve">VS-04 - Project-to-Bill</w:t>
      </w:r>
    </w:p>
    <w:p>
      <w:pPr>
        <w:spacing w:after="160" w:line="276"/>
      </w:pPr>
      <w:r>
        <w:rPr>
          <w:b w:val="false"/>
          <w:bCs w:val="false"/>
          <w:i w:val="false"/>
          <w:iCs w:val="false"/>
          <w:color w:val="1A1A1A"/>
          <w:sz w:val="22"/>
          <w:szCs w:val="22"/>
        </w:rPr>
        <w:t xml:space="preserve">Persona: PER-07 (Project Manager). Capabilities touched: BC-09, BC-02, BC-04.</w:t>
      </w:r>
    </w:p>
    <w:p>
      <w:pPr>
        <w:spacing w:before="200" w:after="60"/>
      </w:pPr>
      <w:r>
        <w:rPr>
          <w:b/>
          <w:bCs/>
          <w:i/>
          <w:iCs/>
          <w:color w:val="2E75B6"/>
          <w:sz w:val="20"/>
          <w:szCs w:val="20"/>
        </w:rPr>
        <w:t xml:space="preserve">Diagram: Project-to-Bill value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LR</w:t>
            </w:r>
          </w:p>
          <w:p>
            <w:r>
              <w:rPr>
                <w:color w:val="333333"/>
                <w:sz w:val="18"/>
                <w:szCs w:val="18"/>
                <w:rFonts w:ascii="Consolas" w:cs="Consolas" w:eastAsia="Consolas" w:hAnsi="Consolas"/>
              </w:rPr>
              <w:t xml:space="preserve">    A[Set Up Project Budget] --&gt; B[Team Logs Timesheets]</w:t>
            </w:r>
          </w:p>
          <w:p>
            <w:r>
              <w:rPr>
                <w:color w:val="333333"/>
                <w:sz w:val="18"/>
                <w:szCs w:val="18"/>
                <w:rFonts w:ascii="Consolas" w:cs="Consolas" w:eastAsia="Consolas" w:hAnsi="Consolas"/>
              </w:rPr>
              <w:t xml:space="preserve">    B --&gt; C{Internal Approval}</w:t>
            </w:r>
          </w:p>
          <w:p>
            <w:r>
              <w:rPr>
                <w:color w:val="333333"/>
                <w:sz w:val="18"/>
                <w:szCs w:val="18"/>
                <w:rFonts w:ascii="Consolas" w:cs="Consolas" w:eastAsia="Consolas" w:hAnsi="Consolas"/>
              </w:rPr>
              <w:t xml:space="preserve">    C -- Rejected --&gt; B</w:t>
            </w:r>
          </w:p>
          <w:p>
            <w:r>
              <w:rPr>
                <w:color w:val="333333"/>
                <w:sz w:val="18"/>
                <w:szCs w:val="18"/>
                <w:rFonts w:ascii="Consolas" w:cs="Consolas" w:eastAsia="Consolas" w:hAnsi="Consolas"/>
              </w:rPr>
              <w:t xml:space="preserve">    C -- Approved --&gt; D[Bill Client: Hours / Fixed / Milestone]</w:t>
            </w:r>
          </w:p>
          <w:p>
            <w:r>
              <w:rPr>
                <w:color w:val="333333"/>
                <w:sz w:val="18"/>
                <w:szCs w:val="18"/>
                <w:rFonts w:ascii="Consolas" w:cs="Consolas" w:eastAsia="Consolas" w:hAnsi="Consolas"/>
              </w:rPr>
              <w:t xml:space="preserve">    D --&gt; E[Invoice Generated from Project]</w:t>
            </w:r>
          </w:p>
          <w:p>
            <w:r>
              <w:rPr>
                <w:color w:val="333333"/>
                <w:sz w:val="18"/>
                <w:szCs w:val="18"/>
                <w:rFonts w:ascii="Consolas" w:cs="Consolas" w:eastAsia="Consolas" w:hAnsi="Consolas"/>
              </w:rPr>
              <w:t xml:space="preserve">    E --&gt; F[Track Profitability: Budget vs Actual]</w:t>
            </w:r>
          </w:p>
        </w:tc>
      </w:tr>
    </w:tbl>
    <w:p>
      <w:pPr>
        <w:spacing w:after="200"/>
      </w:pPr>
      <w:r>
        <w:rPr>
          <w:sz w:val="10"/>
          <w:szCs w:val="10"/>
        </w:rPr>
      </w:r>
    </w:p>
    <w:p>
      <w:pPr>
        <w:pStyle w:val="Heading2"/>
        <w:spacing w:before="300" w:after="150"/>
      </w:pPr>
      <w:r>
        <w:rPr>
          <w:b/>
          <w:bCs/>
          <w:color w:val="2E75B6"/>
          <w:sz w:val="26"/>
          <w:szCs w:val="26"/>
        </w:rPr>
        <w:t xml:space="preserve">VS-05 - Hire-to-Pay (Payroll)</w:t>
      </w:r>
    </w:p>
    <w:p>
      <w:pPr>
        <w:spacing w:after="160" w:line="276"/>
      </w:pPr>
      <w:r>
        <w:rPr>
          <w:b w:val="false"/>
          <w:bCs w:val="false"/>
          <w:i w:val="false"/>
          <w:iCs w:val="false"/>
          <w:color w:val="1A1A1A"/>
          <w:sz w:val="22"/>
          <w:szCs w:val="22"/>
        </w:rPr>
        <w:t xml:space="preserve">Persona: PER-08 (Payroll Admin), PER-01 (Owner). Capabilities touched: BC-10, BC-01, BC-11. (Release 3 scope - see Section 6.)</w:t>
      </w:r>
    </w:p>
    <w:p>
      <w:pPr>
        <w:spacing w:before="200" w:after="60"/>
      </w:pPr>
      <w:r>
        <w:rPr>
          <w:b/>
          <w:bCs/>
          <w:i/>
          <w:iCs/>
          <w:color w:val="2E75B6"/>
          <w:sz w:val="20"/>
          <w:szCs w:val="20"/>
        </w:rPr>
        <w:t xml:space="preserve">Diagram: Hire-to-Pay value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LR</w:t>
            </w:r>
          </w:p>
          <w:p>
            <w:r>
              <w:rPr>
                <w:color w:val="333333"/>
                <w:sz w:val="18"/>
                <w:szCs w:val="18"/>
                <w:rFonts w:ascii="Consolas" w:cs="Consolas" w:eastAsia="Consolas" w:hAnsi="Consolas"/>
              </w:rPr>
              <w:t xml:space="preserve">    A[Employee Onboarded] --&gt; B[Configure Salary Structure]</w:t>
            </w:r>
          </w:p>
          <w:p>
            <w:r>
              <w:rPr>
                <w:color w:val="333333"/>
                <w:sz w:val="18"/>
                <w:szCs w:val="18"/>
                <w:rFonts w:ascii="Consolas" w:cs="Consolas" w:eastAsia="Consolas" w:hAnsi="Consolas"/>
              </w:rPr>
              <w:t xml:space="preserve">    B --&gt; C[Run Pay Run]</w:t>
            </w:r>
          </w:p>
          <w:p>
            <w:r>
              <w:rPr>
                <w:color w:val="333333"/>
                <w:sz w:val="18"/>
                <w:szCs w:val="18"/>
                <w:rFonts w:ascii="Consolas" w:cs="Consolas" w:eastAsia="Consolas" w:hAnsi="Consolas"/>
              </w:rPr>
              <w:t xml:space="preserve">    C --&gt; D[Calculate Statutory Deductions]</w:t>
            </w:r>
          </w:p>
          <w:p>
            <w:r>
              <w:rPr>
                <w:color w:val="333333"/>
                <w:sz w:val="18"/>
                <w:szCs w:val="18"/>
                <w:rFonts w:ascii="Consolas" w:cs="Consolas" w:eastAsia="Consolas" w:hAnsi="Consolas"/>
              </w:rPr>
              <w:t xml:space="preserve">    D --&gt; E[Generate Payslips]</w:t>
            </w:r>
          </w:p>
          <w:p>
            <w:r>
              <w:rPr>
                <w:color w:val="333333"/>
                <w:sz w:val="18"/>
                <w:szCs w:val="18"/>
                <w:rFonts w:ascii="Consolas" w:cs="Consolas" w:eastAsia="Consolas" w:hAnsi="Consolas"/>
              </w:rPr>
              <w:t xml:space="preserve">    E --&gt; F[Post Payroll Journal to Ledger]</w:t>
            </w:r>
          </w:p>
          <w:p>
            <w:r>
              <w:rPr>
                <w:color w:val="333333"/>
                <w:sz w:val="18"/>
                <w:szCs w:val="18"/>
                <w:rFonts w:ascii="Consolas" w:cs="Consolas" w:eastAsia="Consolas" w:hAnsi="Consolas"/>
              </w:rPr>
              <w:t xml:space="preserve">    F --&gt; G[File Statutory Returns]</w:t>
            </w:r>
          </w:p>
        </w:tc>
      </w:tr>
    </w:tbl>
    <w:p>
      <w:pPr>
        <w:spacing w:after="200"/>
      </w:pPr>
      <w:r>
        <w:rPr>
          <w:sz w:val="10"/>
          <w:szCs w:val="10"/>
        </w:rPr>
      </w:r>
    </w:p>
    <w:p>
      <w:pPr>
        <w:pStyle w:val="Heading2"/>
        <w:spacing w:before="300" w:after="150"/>
      </w:pPr>
      <w:r>
        <w:rPr>
          <w:b/>
          <w:bCs/>
          <w:color w:val="2E75B6"/>
          <w:sz w:val="26"/>
          <w:szCs w:val="26"/>
        </w:rPr>
        <w:t xml:space="preserve">VS-06 - Close-the-Books</w:t>
      </w:r>
    </w:p>
    <w:p>
      <w:pPr>
        <w:spacing w:after="160" w:line="276"/>
      </w:pPr>
      <w:r>
        <w:rPr>
          <w:b w:val="false"/>
          <w:bCs w:val="false"/>
          <w:i w:val="false"/>
          <w:iCs w:val="false"/>
          <w:color w:val="1A1A1A"/>
          <w:sz w:val="22"/>
          <w:szCs w:val="22"/>
        </w:rPr>
        <w:t xml:space="preserve">Persona: PER-02, PER-03. Capabilities touched: BC-01, BC-05, BC-08, BC-13, BC-20.</w:t>
      </w:r>
    </w:p>
    <w:p>
      <w:pPr>
        <w:spacing w:before="200" w:after="60"/>
      </w:pPr>
      <w:r>
        <w:rPr>
          <w:b/>
          <w:bCs/>
          <w:i/>
          <w:iCs/>
          <w:color w:val="2E75B6"/>
          <w:sz w:val="20"/>
          <w:szCs w:val="20"/>
        </w:rPr>
        <w:t xml:space="preserve">Diagram: Close-the-Books value stream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sequenceDiagram</w:t>
            </w:r>
          </w:p>
          <w:p>
            <w:r>
              <w:rPr>
                <w:color w:val="333333"/>
                <w:sz w:val="18"/>
                <w:szCs w:val="18"/>
                <w:rFonts w:ascii="Consolas" w:cs="Consolas" w:eastAsia="Consolas" w:hAnsi="Consolas"/>
              </w:rPr>
              <w:t xml:space="preserve">    participant Bk as Bookkeeper</w:t>
            </w:r>
          </w:p>
          <w:p>
            <w:r>
              <w:rPr>
                <w:color w:val="333333"/>
                <w:sz w:val="18"/>
                <w:szCs w:val="18"/>
                <w:rFonts w:ascii="Consolas" w:cs="Consolas" w:eastAsia="Consolas" w:hAnsi="Consolas"/>
              </w:rPr>
              <w:t xml:space="preserve">    participant Sys as System</w:t>
            </w:r>
          </w:p>
          <w:p>
            <w:r>
              <w:rPr>
                <w:color w:val="333333"/>
                <w:sz w:val="18"/>
                <w:szCs w:val="18"/>
                <w:rFonts w:ascii="Consolas" w:cs="Consolas" w:eastAsia="Consolas" w:hAnsi="Consolas"/>
              </w:rPr>
              <w:t xml:space="preserve">    participant Acc as External Accountant</w:t>
            </w:r>
          </w:p>
          <w:p>
            <w:r>
              <w:rPr>
                <w:color w:val="333333"/>
                <w:sz w:val="18"/>
                <w:szCs w:val="18"/>
                <w:rFonts w:ascii="Consolas" w:cs="Consolas" w:eastAsia="Consolas" w:hAnsi="Consolas"/>
              </w:rPr>
              <w:t xml:space="preserve">    Bk-&gt;&gt;Sys: Reconcile all bank accounts</w:t>
            </w:r>
          </w:p>
          <w:p>
            <w:r>
              <w:rPr>
                <w:color w:val="333333"/>
                <w:sz w:val="18"/>
                <w:szCs w:val="18"/>
                <w:rFonts w:ascii="Consolas" w:cs="Consolas" w:eastAsia="Consolas" w:hAnsi="Consolas"/>
              </w:rPr>
              <w:t xml:space="preserve">    Bk-&gt;&gt;Sys: Post depreciation &amp; accruals (manual journals)</w:t>
            </w:r>
          </w:p>
          <w:p>
            <w:r>
              <w:rPr>
                <w:color w:val="333333"/>
                <w:sz w:val="18"/>
                <w:szCs w:val="18"/>
                <w:rFonts w:ascii="Consolas" w:cs="Consolas" w:eastAsia="Consolas" w:hAnsi="Consolas"/>
              </w:rPr>
              <w:t xml:space="preserve">    Bk-&gt;&gt;Sys: Review AR/AP aging</w:t>
            </w:r>
          </w:p>
          <w:p>
            <w:r>
              <w:rPr>
                <w:color w:val="333333"/>
                <w:sz w:val="18"/>
                <w:szCs w:val="18"/>
                <w:rFonts w:ascii="Consolas" w:cs="Consolas" w:eastAsia="Consolas" w:hAnsi="Consolas"/>
              </w:rPr>
              <w:t xml:space="preserve">    Bk-&gt;&gt;Sys: Set period lock date</w:t>
            </w:r>
          </w:p>
          <w:p>
            <w:r>
              <w:rPr>
                <w:color w:val="333333"/>
                <w:sz w:val="18"/>
                <w:szCs w:val="18"/>
                <w:rFonts w:ascii="Consolas" w:cs="Consolas" w:eastAsia="Consolas" w:hAnsi="Consolas"/>
              </w:rPr>
              <w:t xml:space="preserve">    Sys--&gt;&gt;Acc: Notify books ready for review</w:t>
            </w:r>
          </w:p>
          <w:p>
            <w:r>
              <w:rPr>
                <w:color w:val="333333"/>
                <w:sz w:val="18"/>
                <w:szCs w:val="18"/>
                <w:rFonts w:ascii="Consolas" w:cs="Consolas" w:eastAsia="Consolas" w:hAnsi="Consolas"/>
              </w:rPr>
              <w:t xml:space="preserve">    Acc-&gt;&gt;Sys: Review journals &amp; adjust if needed</w:t>
            </w:r>
          </w:p>
          <w:p>
            <w:r>
              <w:rPr>
                <w:color w:val="333333"/>
                <w:sz w:val="18"/>
                <w:szCs w:val="18"/>
                <w:rFonts w:ascii="Consolas" w:cs="Consolas" w:eastAsia="Consolas" w:hAnsi="Consolas"/>
              </w:rPr>
              <w:t xml:space="preserve">    Acc-&gt;&gt;Sys: Approve close</w:t>
            </w:r>
          </w:p>
          <w:p>
            <w:r>
              <w:rPr>
                <w:color w:val="333333"/>
                <w:sz w:val="18"/>
                <w:szCs w:val="18"/>
                <w:rFonts w:ascii="Consolas" w:cs="Consolas" w:eastAsia="Consolas" w:hAnsi="Consolas"/>
              </w:rPr>
              <w:t xml:space="preserve">    Sys--&gt;&gt;Bk: Generate final financial statements</w:t>
            </w:r>
          </w:p>
        </w:tc>
      </w:tr>
    </w:tbl>
    <w:p>
      <w:pPr>
        <w:spacing w:after="200"/>
      </w:pPr>
      <w:r>
        <w:rPr>
          <w:sz w:val="10"/>
          <w:szCs w:val="10"/>
        </w:rPr>
      </w:r>
    </w:p>
    <w:p>
      <w:r>
        <w:br w:type="page"/>
      </w:r>
    </w:p>
    <w:p>
      <w:pPr>
        <w:pStyle w:val="Heading1"/>
        <w:spacing w:before="400" w:after="200"/>
      </w:pPr>
      <w:r>
        <w:rPr>
          <w:b/>
          <w:bCs/>
          <w:color w:val="1F3864"/>
          <w:sz w:val="32"/>
          <w:szCs w:val="32"/>
        </w:rPr>
        <w:t xml:space="preserve">8. Critical Business Process Flows (Detailed)</w:t>
      </w:r>
    </w:p>
    <w:p>
      <w:pPr>
        <w:spacing w:after="160" w:line="276"/>
      </w:pPr>
      <w:r>
        <w:rPr>
          <w:b w:val="false"/>
          <w:bCs w:val="false"/>
          <w:i w:val="false"/>
          <w:iCs w:val="false"/>
          <w:color w:val="1A1A1A"/>
          <w:sz w:val="22"/>
          <w:szCs w:val="22"/>
        </w:rPr>
        <w:t xml:space="preserve">Where Section 7 shows the end-to-end value stream, this section drills into the three highest-risk processes at decision-branch level of detail - these are the flows Volume 2 must decompose into service contracts first, since errors here have direct financial-integrity consequences.</w:t>
      </w:r>
    </w:p>
    <w:p>
      <w:pPr>
        <w:pStyle w:val="Heading2"/>
        <w:spacing w:before="300" w:after="150"/>
      </w:pPr>
      <w:r>
        <w:rPr>
          <w:b/>
          <w:bCs/>
          <w:color w:val="2E75B6"/>
          <w:sz w:val="26"/>
          <w:szCs w:val="26"/>
        </w:rPr>
        <w:t xml:space="preserve">8.1 Invoice Lifecycle &amp; Revenue Recognition</w:t>
      </w:r>
    </w:p>
    <w:p>
      <w:pPr>
        <w:spacing w:before="200" w:after="60"/>
      </w:pPr>
      <w:r>
        <w:rPr>
          <w:b/>
          <w:bCs/>
          <w:i/>
          <w:iCs/>
          <w:color w:val="2E75B6"/>
          <w:sz w:val="20"/>
          <w:szCs w:val="20"/>
        </w:rPr>
        <w:t xml:space="preserve">Diagram: Invoice lifecycle state machine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stateDiagram-v2</w:t>
            </w:r>
          </w:p>
          <w:p>
            <w:r>
              <w:rPr>
                <w:color w:val="333333"/>
                <w:sz w:val="18"/>
                <w:szCs w:val="18"/>
                <w:rFonts w:ascii="Consolas" w:cs="Consolas" w:eastAsia="Consolas" w:hAnsi="Consolas"/>
              </w:rPr>
              <w:t xml:space="preserve">    [*] --&gt; Draft</w:t>
            </w:r>
          </w:p>
          <w:p>
            <w:r>
              <w:rPr>
                <w:color w:val="333333"/>
                <w:sz w:val="18"/>
                <w:szCs w:val="18"/>
                <w:rFonts w:ascii="Consolas" w:cs="Consolas" w:eastAsia="Consolas" w:hAnsi="Consolas"/>
              </w:rPr>
              <w:t xml:space="preserve">    Draft --&gt; PendingApproval: submit (if approval rule active)</w:t>
            </w:r>
          </w:p>
          <w:p>
            <w:r>
              <w:rPr>
                <w:color w:val="333333"/>
                <w:sz w:val="18"/>
                <w:szCs w:val="18"/>
                <w:rFonts w:ascii="Consolas" w:cs="Consolas" w:eastAsia="Consolas" w:hAnsi="Consolas"/>
              </w:rPr>
              <w:t xml:space="preserve">    Draft --&gt; Sent: send (no approval required)</w:t>
            </w:r>
          </w:p>
          <w:p>
            <w:r>
              <w:rPr>
                <w:color w:val="333333"/>
                <w:sz w:val="18"/>
                <w:szCs w:val="18"/>
                <w:rFonts w:ascii="Consolas" w:cs="Consolas" w:eastAsia="Consolas" w:hAnsi="Consolas"/>
              </w:rPr>
              <w:t xml:space="preserve">    PendingApproval --&gt; Sent: approved</w:t>
            </w:r>
          </w:p>
          <w:p>
            <w:r>
              <w:rPr>
                <w:color w:val="333333"/>
                <w:sz w:val="18"/>
                <w:szCs w:val="18"/>
                <w:rFonts w:ascii="Consolas" w:cs="Consolas" w:eastAsia="Consolas" w:hAnsi="Consolas"/>
              </w:rPr>
              <w:t xml:space="preserve">    PendingApproval --&gt; Draft: rejected</w:t>
            </w:r>
          </w:p>
          <w:p>
            <w:r>
              <w:rPr>
                <w:color w:val="333333"/>
                <w:sz w:val="18"/>
                <w:szCs w:val="18"/>
                <w:rFonts w:ascii="Consolas" w:cs="Consolas" w:eastAsia="Consolas" w:hAnsi="Consolas"/>
              </w:rPr>
              <w:t xml:space="preserve">    Sent --&gt; PartiallyPaid: partial payment received</w:t>
            </w:r>
          </w:p>
          <w:p>
            <w:r>
              <w:rPr>
                <w:color w:val="333333"/>
                <w:sz w:val="18"/>
                <w:szCs w:val="18"/>
                <w:rFonts w:ascii="Consolas" w:cs="Consolas" w:eastAsia="Consolas" w:hAnsi="Consolas"/>
              </w:rPr>
              <w:t xml:space="preserve">    Sent --&gt; Paid: full payment received</w:t>
            </w:r>
          </w:p>
          <w:p>
            <w:r>
              <w:rPr>
                <w:color w:val="333333"/>
                <w:sz w:val="18"/>
                <w:szCs w:val="18"/>
                <w:rFonts w:ascii="Consolas" w:cs="Consolas" w:eastAsia="Consolas" w:hAnsi="Consolas"/>
              </w:rPr>
              <w:t xml:space="preserve">    Sent --&gt; Overdue: due date passed, unpaid</w:t>
            </w:r>
          </w:p>
          <w:p>
            <w:r>
              <w:rPr>
                <w:color w:val="333333"/>
                <w:sz w:val="18"/>
                <w:szCs w:val="18"/>
                <w:rFonts w:ascii="Consolas" w:cs="Consolas" w:eastAsia="Consolas" w:hAnsi="Consolas"/>
              </w:rPr>
              <w:t xml:space="preserve">    PartiallyPaid --&gt; Paid: remaining balance received</w:t>
            </w:r>
          </w:p>
          <w:p>
            <w:r>
              <w:rPr>
                <w:color w:val="333333"/>
                <w:sz w:val="18"/>
                <w:szCs w:val="18"/>
                <w:rFonts w:ascii="Consolas" w:cs="Consolas" w:eastAsia="Consolas" w:hAnsi="Consolas"/>
              </w:rPr>
              <w:t xml:space="preserve">    Overdue --&gt; PartiallyPaid: partial payment received</w:t>
            </w:r>
          </w:p>
          <w:p>
            <w:r>
              <w:rPr>
                <w:color w:val="333333"/>
                <w:sz w:val="18"/>
                <w:szCs w:val="18"/>
                <w:rFonts w:ascii="Consolas" w:cs="Consolas" w:eastAsia="Consolas" w:hAnsi="Consolas"/>
              </w:rPr>
              <w:t xml:space="preserve">    Overdue --&gt; Paid: full payment received</w:t>
            </w:r>
          </w:p>
          <w:p>
            <w:r>
              <w:rPr>
                <w:color w:val="333333"/>
                <w:sz w:val="18"/>
                <w:szCs w:val="18"/>
                <w:rFonts w:ascii="Consolas" w:cs="Consolas" w:eastAsia="Consolas" w:hAnsi="Consolas"/>
              </w:rPr>
              <w:t xml:space="preserve">    Sent --&gt; Void: void (before payment)</w:t>
            </w:r>
          </w:p>
          <w:p>
            <w:r>
              <w:rPr>
                <w:color w:val="333333"/>
                <w:sz w:val="18"/>
                <w:szCs w:val="18"/>
                <w:rFonts w:ascii="Consolas" w:cs="Consolas" w:eastAsia="Consolas" w:hAnsi="Consolas"/>
              </w:rPr>
              <w:t xml:space="preserve">    Paid --&gt; [*]</w:t>
            </w:r>
          </w:p>
          <w:p>
            <w:r>
              <w:rPr>
                <w:color w:val="333333"/>
                <w:sz w:val="18"/>
                <w:szCs w:val="18"/>
                <w:rFonts w:ascii="Consolas" w:cs="Consolas" w:eastAsia="Consolas" w:hAnsi="Consolas"/>
              </w:rPr>
              <w:t xml:space="preserve">    Void --&gt; [*]</w:t>
            </w:r>
          </w:p>
        </w:tc>
      </w:tr>
    </w:tbl>
    <w:p>
      <w:pPr>
        <w:spacing w:after="200"/>
      </w:pPr>
      <w:r>
        <w:rPr>
          <w:sz w:val="10"/>
          <w:szCs w:val="10"/>
        </w:rPr>
      </w:r>
    </w:p>
    <w:p>
      <w:pPr>
        <w:pStyle w:val="Heading2"/>
        <w:spacing w:before="300" w:after="150"/>
      </w:pPr>
      <w:r>
        <w:rPr>
          <w:b/>
          <w:bCs/>
          <w:color w:val="2E75B6"/>
          <w:sz w:val="26"/>
          <w:szCs w:val="26"/>
        </w:rPr>
        <w:t xml:space="preserve">8.2 Purchase Bill 3-Way Match</w:t>
      </w:r>
    </w:p>
    <w:p>
      <w:pPr>
        <w:spacing w:before="200" w:after="60"/>
      </w:pPr>
      <w:r>
        <w:rPr>
          <w:b/>
          <w:bCs/>
          <w:i/>
          <w:iCs/>
          <w:color w:val="2E75B6"/>
          <w:sz w:val="20"/>
          <w:szCs w:val="20"/>
        </w:rPr>
        <w:t xml:space="preserve">Diagram: 3-way match decision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TD</w:t>
            </w:r>
          </w:p>
          <w:p>
            <w:r>
              <w:rPr>
                <w:color w:val="333333"/>
                <w:sz w:val="18"/>
                <w:szCs w:val="18"/>
                <w:rFonts w:ascii="Consolas" w:cs="Consolas" w:eastAsia="Consolas" w:hAnsi="Consolas"/>
              </w:rPr>
              <w:t xml:space="preserve">    PO[Purchase Order] --&gt; Match{Match PO, Receipt, Bill?}</w:t>
            </w:r>
          </w:p>
          <w:p>
            <w:r>
              <w:rPr>
                <w:color w:val="333333"/>
                <w:sz w:val="18"/>
                <w:szCs w:val="18"/>
                <w:rFonts w:ascii="Consolas" w:cs="Consolas" w:eastAsia="Consolas" w:hAnsi="Consolas"/>
              </w:rPr>
              <w:t xml:space="preserve">    GR[Goods Receipt] --&gt; Match</w:t>
            </w:r>
          </w:p>
          <w:p>
            <w:r>
              <w:rPr>
                <w:color w:val="333333"/>
                <w:sz w:val="18"/>
                <w:szCs w:val="18"/>
                <w:rFonts w:ascii="Consolas" w:cs="Consolas" w:eastAsia="Consolas" w:hAnsi="Consolas"/>
              </w:rPr>
              <w:t xml:space="preserve">    Bill[Vendor Bill] --&gt; Match</w:t>
            </w:r>
          </w:p>
          <w:p>
            <w:r>
              <w:rPr>
                <w:color w:val="333333"/>
                <w:sz w:val="18"/>
                <w:szCs w:val="18"/>
                <w:rFonts w:ascii="Consolas" w:cs="Consolas" w:eastAsia="Consolas" w:hAnsi="Consolas"/>
              </w:rPr>
              <w:t xml:space="preserve">    Match -- Quantities &amp; prices match --&gt; AutoApprove[Auto-approve for Payment]</w:t>
            </w:r>
          </w:p>
          <w:p>
            <w:r>
              <w:rPr>
                <w:color w:val="333333"/>
                <w:sz w:val="18"/>
                <w:szCs w:val="18"/>
                <w:rFonts w:ascii="Consolas" w:cs="Consolas" w:eastAsia="Consolas" w:hAnsi="Consolas"/>
              </w:rPr>
              <w:t xml:space="preserve">    Match -- Quantity mismatch --&gt; QtyFlag[Flag: Quantity Variance]</w:t>
            </w:r>
          </w:p>
          <w:p>
            <w:r>
              <w:rPr>
                <w:color w:val="333333"/>
                <w:sz w:val="18"/>
                <w:szCs w:val="18"/>
                <w:rFonts w:ascii="Consolas" w:cs="Consolas" w:eastAsia="Consolas" w:hAnsi="Consolas"/>
              </w:rPr>
              <w:t xml:space="preserve">    Match -- Price mismatch --&gt; PriceFlag[Flag: Price Variance]</w:t>
            </w:r>
          </w:p>
          <w:p>
            <w:r>
              <w:rPr>
                <w:color w:val="333333"/>
                <w:sz w:val="18"/>
                <w:szCs w:val="18"/>
                <w:rFonts w:ascii="Consolas" w:cs="Consolas" w:eastAsia="Consolas" w:hAnsi="Consolas"/>
              </w:rPr>
              <w:t xml:space="preserve">    QtyFlag --&gt; ManualReview[Route to AP Clerk for Review]</w:t>
            </w:r>
          </w:p>
          <w:p>
            <w:r>
              <w:rPr>
                <w:color w:val="333333"/>
                <w:sz w:val="18"/>
                <w:szCs w:val="18"/>
                <w:rFonts w:ascii="Consolas" w:cs="Consolas" w:eastAsia="Consolas" w:hAnsi="Consolas"/>
              </w:rPr>
              <w:t xml:space="preserve">    PriceFlag --&gt; ManualReview</w:t>
            </w:r>
          </w:p>
          <w:p>
            <w:r>
              <w:rPr>
                <w:color w:val="333333"/>
                <w:sz w:val="18"/>
                <w:szCs w:val="18"/>
                <w:rFonts w:ascii="Consolas" w:cs="Consolas" w:eastAsia="Consolas" w:hAnsi="Consolas"/>
              </w:rPr>
              <w:t xml:space="preserve">    ManualReview --&gt; Resolve{Resolved?}</w:t>
            </w:r>
          </w:p>
          <w:p>
            <w:r>
              <w:rPr>
                <w:color w:val="333333"/>
                <w:sz w:val="18"/>
                <w:szCs w:val="18"/>
                <w:rFonts w:ascii="Consolas" w:cs="Consolas" w:eastAsia="Consolas" w:hAnsi="Consolas"/>
              </w:rPr>
              <w:t xml:space="preserve">    Resolve -- Adjust Bill --&gt; Match</w:t>
            </w:r>
          </w:p>
          <w:p>
            <w:r>
              <w:rPr>
                <w:color w:val="333333"/>
                <w:sz w:val="18"/>
                <w:szCs w:val="18"/>
                <w:rFonts w:ascii="Consolas" w:cs="Consolas" w:eastAsia="Consolas" w:hAnsi="Consolas"/>
              </w:rPr>
              <w:t xml:space="preserve">    Resolve -- Accept Variance --&gt; AutoApprove</w:t>
            </w:r>
          </w:p>
          <w:p>
            <w:r>
              <w:rPr>
                <w:color w:val="333333"/>
                <w:sz w:val="18"/>
                <w:szCs w:val="18"/>
                <w:rFonts w:ascii="Consolas" w:cs="Consolas" w:eastAsia="Consolas" w:hAnsi="Consolas"/>
              </w:rPr>
              <w:t xml:space="preserve">    AutoApprove --&gt; Schedule[Schedule Payment]</w:t>
            </w:r>
          </w:p>
        </w:tc>
      </w:tr>
    </w:tbl>
    <w:p>
      <w:pPr>
        <w:spacing w:after="200"/>
      </w:pPr>
      <w:r>
        <w:rPr>
          <w:sz w:val="10"/>
          <w:szCs w:val="10"/>
        </w:rPr>
      </w:r>
    </w:p>
    <w:p>
      <w:pPr>
        <w:pStyle w:val="Heading2"/>
        <w:spacing w:before="300" w:after="150"/>
      </w:pPr>
      <w:r>
        <w:rPr>
          <w:b/>
          <w:bCs/>
          <w:color w:val="2E75B6"/>
          <w:sz w:val="26"/>
          <w:szCs w:val="26"/>
        </w:rPr>
        <w:t xml:space="preserve">8.3 Bank Reconciliation</w:t>
      </w:r>
    </w:p>
    <w:p>
      <w:pPr>
        <w:spacing w:before="200" w:after="60"/>
      </w:pPr>
      <w:r>
        <w:rPr>
          <w:b/>
          <w:bCs/>
          <w:i/>
          <w:iCs/>
          <w:color w:val="2E75B6"/>
          <w:sz w:val="20"/>
          <w:szCs w:val="20"/>
        </w:rPr>
        <w:t xml:space="preserve">Diagram: Bank reconciliation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r>
              <w:rPr>
                <w:color w:val="333333"/>
                <w:sz w:val="18"/>
                <w:szCs w:val="18"/>
                <w:rFonts w:ascii="Consolas" w:cs="Consolas" w:eastAsia="Consolas" w:hAnsi="Consolas"/>
              </w:rPr>
              <w:t xml:space="preserve">flowchart TD</w:t>
            </w:r>
          </w:p>
          <w:p>
            <w:r>
              <w:rPr>
                <w:color w:val="333333"/>
                <w:sz w:val="18"/>
                <w:szCs w:val="18"/>
                <w:rFonts w:ascii="Consolas" w:cs="Consolas" w:eastAsia="Consolas" w:hAnsi="Consolas"/>
              </w:rPr>
              <w:t xml:space="preserve">    Feed[Bank Feed / Statement Import] --&gt; Raw[Raw Bank Transactions]</w:t>
            </w:r>
          </w:p>
          <w:p>
            <w:r>
              <w:rPr>
                <w:color w:val="333333"/>
                <w:sz w:val="18"/>
                <w:szCs w:val="18"/>
                <w:rFonts w:ascii="Consolas" w:cs="Consolas" w:eastAsia="Consolas" w:hAnsi="Consolas"/>
              </w:rPr>
              <w:t xml:space="preserve">    Raw --&gt; Rules{Bank Rule Match?}</w:t>
            </w:r>
          </w:p>
          <w:p>
            <w:r>
              <w:rPr>
                <w:color w:val="333333"/>
                <w:sz w:val="18"/>
                <w:szCs w:val="18"/>
                <w:rFonts w:ascii="Consolas" w:cs="Consolas" w:eastAsia="Consolas" w:hAnsi="Consolas"/>
              </w:rPr>
              <w:t xml:space="preserve">    Rules -- Yes --&gt; AutoCat[Auto-categorize &amp; Suggest Match]</w:t>
            </w:r>
          </w:p>
          <w:p>
            <w:r>
              <w:rPr>
                <w:color w:val="333333"/>
                <w:sz w:val="18"/>
                <w:szCs w:val="18"/>
                <w:rFonts w:ascii="Consolas" w:cs="Consolas" w:eastAsia="Consolas" w:hAnsi="Consolas"/>
              </w:rPr>
              <w:t xml:space="preserve">    Rules -- No --&gt; ManualCat[Manual Categorization]</w:t>
            </w:r>
          </w:p>
          <w:p>
            <w:r>
              <w:rPr>
                <w:color w:val="333333"/>
                <w:sz w:val="18"/>
                <w:szCs w:val="18"/>
                <w:rFonts w:ascii="Consolas" w:cs="Consolas" w:eastAsia="Consolas" w:hAnsi="Consolas"/>
              </w:rPr>
              <w:t xml:space="preserve">    AutoCat --&gt; UserConfirm{User Confirms?}</w:t>
            </w:r>
          </w:p>
          <w:p>
            <w:r>
              <w:rPr>
                <w:color w:val="333333"/>
                <w:sz w:val="18"/>
                <w:szCs w:val="18"/>
                <w:rFonts w:ascii="Consolas" w:cs="Consolas" w:eastAsia="Consolas" w:hAnsi="Consolas"/>
              </w:rPr>
              <w:t xml:space="preserve">    ManualCat --&gt; UserConfirm</w:t>
            </w:r>
          </w:p>
          <w:p>
            <w:r>
              <w:rPr>
                <w:color w:val="333333"/>
                <w:sz w:val="18"/>
                <w:szCs w:val="18"/>
                <w:rFonts w:ascii="Consolas" w:cs="Consolas" w:eastAsia="Consolas" w:hAnsi="Consolas"/>
              </w:rPr>
              <w:t xml:space="preserve">    UserConfirm -- Yes --&gt; Matched[Matched to Ledger Transaction]</w:t>
            </w:r>
          </w:p>
          <w:p>
            <w:r>
              <w:rPr>
                <w:color w:val="333333"/>
                <w:sz w:val="18"/>
                <w:szCs w:val="18"/>
                <w:rFonts w:ascii="Consolas" w:cs="Consolas" w:eastAsia="Consolas" w:hAnsi="Consolas"/>
              </w:rPr>
              <w:t xml:space="preserve">    UserConfirm -- No, create new --&gt; NewTxn[Create New Ledger Transaction]</w:t>
            </w:r>
          </w:p>
          <w:p>
            <w:r>
              <w:rPr>
                <w:color w:val="333333"/>
                <w:sz w:val="18"/>
                <w:szCs w:val="18"/>
                <w:rFonts w:ascii="Consolas" w:cs="Consolas" w:eastAsia="Consolas" w:hAnsi="Consolas"/>
              </w:rPr>
              <w:t xml:space="preserve">    NewTxn --&gt; Matched</w:t>
            </w:r>
          </w:p>
          <w:p>
            <w:r>
              <w:rPr>
                <w:color w:val="333333"/>
                <w:sz w:val="18"/>
                <w:szCs w:val="18"/>
                <w:rFonts w:ascii="Consolas" w:cs="Consolas" w:eastAsia="Consolas" w:hAnsi="Consolas"/>
              </w:rPr>
              <w:t xml:space="preserve">    Matched --&gt; Reconciled[Marked Reconciled]</w:t>
            </w:r>
          </w:p>
          <w:p>
            <w:r>
              <w:rPr>
                <w:color w:val="333333"/>
                <w:sz w:val="18"/>
                <w:szCs w:val="18"/>
                <w:rFonts w:ascii="Consolas" w:cs="Consolas" w:eastAsia="Consolas" w:hAnsi="Consolas"/>
              </w:rPr>
              <w:t xml:space="preserve">    Reconciled --&gt; Statement[Reconciliation Statement Generated]</w:t>
            </w:r>
          </w:p>
        </w:tc>
      </w:tr>
    </w:tbl>
    <w:p>
      <w:pPr>
        <w:spacing w:after="200"/>
      </w:pPr>
      <w:r>
        <w:rPr>
          <w:sz w:val="10"/>
          <w:szCs w:val="10"/>
        </w:rPr>
      </w:r>
    </w:p>
    <w:p>
      <w:r>
        <w:br w:type="page"/>
      </w:r>
    </w:p>
    <w:p>
      <w:pPr>
        <w:pStyle w:val="Heading1"/>
        <w:spacing w:before="400" w:after="200"/>
      </w:pPr>
      <w:r>
        <w:rPr>
          <w:b/>
          <w:bCs/>
          <w:color w:val="1F3864"/>
          <w:sz w:val="32"/>
          <w:szCs w:val="32"/>
        </w:rPr>
        <w:t xml:space="preserve">9. Editions &amp; Packaging Strategy</w:t>
      </w:r>
    </w:p>
    <w:p>
      <w:pPr>
        <w:spacing w:after="160" w:line="276"/>
      </w:pPr>
      <w:r>
        <w:rPr>
          <w:b w:val="false"/>
          <w:bCs w:val="false"/>
          <w:i w:val="false"/>
          <w:iCs w:val="false"/>
          <w:color w:val="1A1A1A"/>
          <w:sz w:val="22"/>
          <w:szCs w:val="22"/>
        </w:rPr>
        <w:t xml:space="preserve">Mirroring the Zoho Books tiering model (Standard / Professional / Enterprise), editions are an entitlement layer over the capability model in Section 5 - not a separate codebase. Volume 3 will define the entitlement-check mechanism (feature flags evaluated per tenant).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350"/>
        <w:gridCol w:w="2400"/>
      </w:tblGrid>
      <w:tr>
        <w:trPr>
          <w:tblHeader/>
        </w:trPr>
        <w:tc>
          <w:tcPr>
            <w:tcW w:type="dxa" w:w="1600"/>
            <w:shd w:fill="1F3864" w:val="clear"/>
            <w:tcMar>
              <w:top w:type="dxa" w:w="80"/>
              <w:left w:type="dxa" w:w="100"/>
              <w:bottom w:type="dxa" w:w="80"/>
              <w:right w:type="dxa" w:w="100"/>
            </w:tcMar>
            <w:vAlign w:val="center"/>
          </w:tcPr>
          <w:p>
            <w:r>
              <w:rPr>
                <w:b/>
                <w:bCs/>
                <w:color w:val="FFFFFF"/>
                <w:sz w:val="19"/>
                <w:szCs w:val="19"/>
              </w:rPr>
              <w:t xml:space="preserve">Edition</w:t>
            </w:r>
          </w:p>
        </w:tc>
        <w:tc>
          <w:tcPr>
            <w:tcW w:type="dxa" w:w="5350"/>
            <w:shd w:fill="1F3864" w:val="clear"/>
            <w:tcMar>
              <w:top w:type="dxa" w:w="80"/>
              <w:left w:type="dxa" w:w="100"/>
              <w:bottom w:type="dxa" w:w="80"/>
              <w:right w:type="dxa" w:w="100"/>
            </w:tcMar>
            <w:vAlign w:val="center"/>
          </w:tcPr>
          <w:p>
            <w:r>
              <w:rPr>
                <w:b/>
                <w:bCs/>
                <w:color w:val="FFFFFF"/>
                <w:sz w:val="19"/>
                <w:szCs w:val="19"/>
              </w:rPr>
              <w:t xml:space="preserve">Capability Domains Included</w:t>
            </w:r>
          </w:p>
        </w:tc>
        <w:tc>
          <w:tcPr>
            <w:tcW w:type="dxa" w:w="2400"/>
            <w:shd w:fill="1F3864" w:val="clear"/>
            <w:tcMar>
              <w:top w:type="dxa" w:w="80"/>
              <w:left w:type="dxa" w:w="100"/>
              <w:bottom w:type="dxa" w:w="80"/>
              <w:right w:type="dxa" w:w="100"/>
            </w:tcMar>
            <w:vAlign w:val="center"/>
          </w:tcPr>
          <w:p>
            <w:r>
              <w:rPr>
                <w:b/>
                <w:bCs/>
                <w:color w:val="FFFFFF"/>
                <w:sz w:val="19"/>
                <w:szCs w:val="19"/>
              </w:rPr>
              <w:t xml:space="preserve">Target Segment</w:t>
            </w:r>
          </w:p>
        </w:tc>
      </w:tr>
      <w:tr>
        <w:tc>
          <w:tcPr>
            <w:tcW w:type="dxa" w:w="1600"/>
            <w:shd w:fill="FFFFFF" w:val="clear"/>
            <w:tcMar>
              <w:top w:type="dxa" w:w="70"/>
              <w:left w:type="dxa" w:w="100"/>
              <w:bottom w:type="dxa" w:w="70"/>
              <w:right w:type="dxa" w:w="100"/>
            </w:tcMar>
          </w:tcPr>
          <w:p>
            <w:r>
              <w:rPr>
                <w:sz w:val="19"/>
                <w:szCs w:val="19"/>
              </w:rPr>
              <w:t xml:space="preserve">Standard</w:t>
            </w:r>
          </w:p>
        </w:tc>
        <w:tc>
          <w:tcPr>
            <w:tcW w:type="dxa" w:w="5350"/>
            <w:shd w:fill="FFFFFF" w:val="clear"/>
            <w:tcMar>
              <w:top w:type="dxa" w:w="70"/>
              <w:left w:type="dxa" w:w="100"/>
              <w:bottom w:type="dxa" w:w="70"/>
              <w:right w:type="dxa" w:w="100"/>
            </w:tcMar>
          </w:tcPr>
          <w:p>
            <w:r>
              <w:rPr>
                <w:sz w:val="19"/>
                <w:szCs w:val="19"/>
              </w:rPr>
              <w:t xml:space="preserve">BC-01, 02, 03, 04, 05, 06, 11 (single-country), 13 (core), 14, 20 (basic)</w:t>
            </w:r>
          </w:p>
        </w:tc>
        <w:tc>
          <w:tcPr>
            <w:tcW w:type="dxa" w:w="2400"/>
            <w:shd w:fill="FFFFFF" w:val="clear"/>
            <w:tcMar>
              <w:top w:type="dxa" w:w="70"/>
              <w:left w:type="dxa" w:w="100"/>
              <w:bottom w:type="dxa" w:w="70"/>
              <w:right w:type="dxa" w:w="100"/>
            </w:tcMar>
          </w:tcPr>
          <w:p>
            <w:r>
              <w:rPr>
                <w:sz w:val="19"/>
                <w:szCs w:val="19"/>
              </w:rPr>
              <w:t xml:space="preserve">Micro / solo businesses</w:t>
            </w:r>
          </w:p>
        </w:tc>
      </w:tr>
      <w:tr>
        <w:tc>
          <w:tcPr>
            <w:tcW w:type="dxa" w:w="1600"/>
            <w:shd w:fill="DCE6F1" w:val="clear"/>
            <w:tcMar>
              <w:top w:type="dxa" w:w="70"/>
              <w:left w:type="dxa" w:w="100"/>
              <w:bottom w:type="dxa" w:w="70"/>
              <w:right w:type="dxa" w:w="100"/>
            </w:tcMar>
          </w:tcPr>
          <w:p>
            <w:r>
              <w:rPr>
                <w:sz w:val="19"/>
                <w:szCs w:val="19"/>
              </w:rPr>
              <w:t xml:space="preserve">Professional</w:t>
            </w:r>
          </w:p>
        </w:tc>
        <w:tc>
          <w:tcPr>
            <w:tcW w:type="dxa" w:w="5350"/>
            <w:shd w:fill="DCE6F1" w:val="clear"/>
            <w:tcMar>
              <w:top w:type="dxa" w:w="70"/>
              <w:left w:type="dxa" w:w="100"/>
              <w:bottom w:type="dxa" w:w="70"/>
              <w:right w:type="dxa" w:w="100"/>
            </w:tcMar>
          </w:tcPr>
          <w:p>
            <w:r>
              <w:rPr>
                <w:sz w:val="19"/>
                <w:szCs w:val="19"/>
              </w:rPr>
              <w:t xml:space="preserve">Standard + BC-07, 08, 09, 12, 15 (customer portal), 16 (recurring), 17 (custom fields)</w:t>
            </w:r>
          </w:p>
        </w:tc>
        <w:tc>
          <w:tcPr>
            <w:tcW w:type="dxa" w:w="2400"/>
            <w:shd w:fill="DCE6F1" w:val="clear"/>
            <w:tcMar>
              <w:top w:type="dxa" w:w="70"/>
              <w:left w:type="dxa" w:w="100"/>
              <w:bottom w:type="dxa" w:w="70"/>
              <w:right w:type="dxa" w:w="100"/>
            </w:tcMar>
          </w:tcPr>
          <w:p>
            <w:r>
              <w:rPr>
                <w:sz w:val="19"/>
                <w:szCs w:val="19"/>
              </w:rPr>
              <w:t xml:space="preserve">Small businesses, service businesses</w:t>
            </w:r>
          </w:p>
        </w:tc>
      </w:tr>
      <w:tr>
        <w:tc>
          <w:tcPr>
            <w:tcW w:type="dxa" w:w="1600"/>
            <w:shd w:fill="FFFFFF" w:val="clear"/>
            <w:tcMar>
              <w:top w:type="dxa" w:w="70"/>
              <w:left w:type="dxa" w:w="100"/>
              <w:bottom w:type="dxa" w:w="70"/>
              <w:right w:type="dxa" w:w="100"/>
            </w:tcMar>
          </w:tcPr>
          <w:p>
            <w:r>
              <w:rPr>
                <w:sz w:val="19"/>
                <w:szCs w:val="19"/>
              </w:rPr>
              <w:t xml:space="preserve">Enterprise</w:t>
            </w:r>
          </w:p>
        </w:tc>
        <w:tc>
          <w:tcPr>
            <w:tcW w:type="dxa" w:w="5350"/>
            <w:shd w:fill="FFFFFF" w:val="clear"/>
            <w:tcMar>
              <w:top w:type="dxa" w:w="70"/>
              <w:left w:type="dxa" w:w="100"/>
              <w:bottom w:type="dxa" w:w="70"/>
              <w:right w:type="dxa" w:w="100"/>
            </w:tcMar>
          </w:tcPr>
          <w:p>
            <w:r>
              <w:rPr>
                <w:sz w:val="19"/>
                <w:szCs w:val="19"/>
              </w:rPr>
              <w:t xml:space="preserve">Professional + BC-10, 15 (full), 16 (full), 17 (full), 18, 19 (full), 20 (SSO/HIPAA/PCI), 21 (multi-org)</w:t>
            </w:r>
          </w:p>
        </w:tc>
        <w:tc>
          <w:tcPr>
            <w:tcW w:type="dxa" w:w="2400"/>
            <w:shd w:fill="FFFFFF" w:val="clear"/>
            <w:tcMar>
              <w:top w:type="dxa" w:w="70"/>
              <w:left w:type="dxa" w:w="100"/>
              <w:bottom w:type="dxa" w:w="70"/>
              <w:right w:type="dxa" w:w="100"/>
            </w:tcMar>
          </w:tcPr>
          <w:p>
            <w:r>
              <w:rPr>
                <w:sz w:val="19"/>
                <w:szCs w:val="19"/>
              </w:rPr>
              <w:t xml:space="preserve">Growing / multi-entity businesses, accounting firms</w:t>
            </w:r>
          </w:p>
        </w:tc>
      </w:tr>
    </w:tbl>
    <w:p>
      <w:r>
        <w:br w:type="page"/>
      </w:r>
    </w:p>
    <w:p>
      <w:pPr>
        <w:pStyle w:val="Heading1"/>
        <w:spacing w:before="400" w:after="200"/>
      </w:pPr>
      <w:r>
        <w:rPr>
          <w:b/>
          <w:bCs/>
          <w:color w:val="1F3864"/>
          <w:sz w:val="32"/>
          <w:szCs w:val="32"/>
        </w:rPr>
        <w:t xml:space="preserve">10. Compliance &amp; Regulatory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2900"/>
        <w:gridCol w:w="3050"/>
        <w:gridCol w:w="1300"/>
      </w:tblGrid>
      <w:tr>
        <w:trPr>
          <w:tblHeader/>
        </w:trPr>
        <w:tc>
          <w:tcPr>
            <w:tcW w:type="dxa" w:w="2100"/>
            <w:shd w:fill="1F3864" w:val="clear"/>
            <w:tcMar>
              <w:top w:type="dxa" w:w="80"/>
              <w:left w:type="dxa" w:w="100"/>
              <w:bottom w:type="dxa" w:w="80"/>
              <w:right w:type="dxa" w:w="100"/>
            </w:tcMar>
            <w:vAlign w:val="center"/>
          </w:tcPr>
          <w:p>
            <w:r>
              <w:rPr>
                <w:b/>
                <w:bCs/>
                <w:color w:val="FFFFFF"/>
                <w:sz w:val="19"/>
                <w:szCs w:val="19"/>
              </w:rPr>
              <w:t xml:space="preserve">Domain</w:t>
            </w:r>
          </w:p>
        </w:tc>
        <w:tc>
          <w:tcPr>
            <w:tcW w:type="dxa" w:w="2900"/>
            <w:shd w:fill="1F3864" w:val="clear"/>
            <w:tcMar>
              <w:top w:type="dxa" w:w="80"/>
              <w:left w:type="dxa" w:w="100"/>
              <w:bottom w:type="dxa" w:w="80"/>
              <w:right w:type="dxa" w:w="100"/>
            </w:tcMar>
            <w:vAlign w:val="center"/>
          </w:tcPr>
          <w:p>
            <w:r>
              <w:rPr>
                <w:b/>
                <w:bCs/>
                <w:color w:val="FFFFFF"/>
                <w:sz w:val="19"/>
                <w:szCs w:val="19"/>
              </w:rPr>
              <w:t xml:space="preserve">Scope at MVP</w:t>
            </w:r>
          </w:p>
        </w:tc>
        <w:tc>
          <w:tcPr>
            <w:tcW w:type="dxa" w:w="3050"/>
            <w:shd w:fill="1F3864" w:val="clear"/>
            <w:tcMar>
              <w:top w:type="dxa" w:w="80"/>
              <w:left w:type="dxa" w:w="100"/>
              <w:bottom w:type="dxa" w:w="80"/>
              <w:right w:type="dxa" w:w="100"/>
            </w:tcMar>
            <w:vAlign w:val="center"/>
          </w:tcPr>
          <w:p>
            <w:r>
              <w:rPr>
                <w:b/>
                <w:bCs/>
                <w:color w:val="FFFFFF"/>
                <w:sz w:val="19"/>
                <w:szCs w:val="19"/>
              </w:rPr>
              <w:t xml:space="preserve">Scope at R3</w:t>
            </w:r>
          </w:p>
        </w:tc>
        <w:tc>
          <w:tcPr>
            <w:tcW w:type="dxa" w:w="1300"/>
            <w:shd w:fill="1F3864" w:val="clear"/>
            <w:tcMar>
              <w:top w:type="dxa" w:w="80"/>
              <w:left w:type="dxa" w:w="100"/>
              <w:bottom w:type="dxa" w:w="80"/>
              <w:right w:type="dxa" w:w="100"/>
            </w:tcMar>
            <w:vAlign w:val="center"/>
          </w:tcPr>
          <w:p>
            <w:r>
              <w:rPr>
                <w:b/>
                <w:bCs/>
                <w:color w:val="FFFFFF"/>
                <w:sz w:val="19"/>
                <w:szCs w:val="19"/>
              </w:rPr>
              <w:t xml:space="preserve">Owning Volume</w:t>
            </w:r>
          </w:p>
        </w:tc>
      </w:tr>
      <w:tr>
        <w:tc>
          <w:tcPr>
            <w:tcW w:type="dxa" w:w="2100"/>
            <w:shd w:fill="FFFFFF" w:val="clear"/>
            <w:tcMar>
              <w:top w:type="dxa" w:w="70"/>
              <w:left w:type="dxa" w:w="100"/>
              <w:bottom w:type="dxa" w:w="70"/>
              <w:right w:type="dxa" w:w="100"/>
            </w:tcMar>
          </w:tcPr>
          <w:p>
            <w:r>
              <w:rPr>
                <w:sz w:val="19"/>
                <w:szCs w:val="19"/>
              </w:rPr>
              <w:t xml:space="preserve">Sales tax / VAT / GST</w:t>
            </w:r>
          </w:p>
        </w:tc>
        <w:tc>
          <w:tcPr>
            <w:tcW w:type="dxa" w:w="2900"/>
            <w:shd w:fill="FFFFFF" w:val="clear"/>
            <w:tcMar>
              <w:top w:type="dxa" w:w="70"/>
              <w:left w:type="dxa" w:w="100"/>
              <w:bottom w:type="dxa" w:w="70"/>
              <w:right w:type="dxa" w:w="100"/>
            </w:tcMar>
          </w:tcPr>
          <w:p>
            <w:r>
              <w:rPr>
                <w:sz w:val="19"/>
                <w:szCs w:val="19"/>
              </w:rPr>
              <w:t xml:space="preserve">Single-country sales tax (configurable rate tables)</w:t>
            </w:r>
          </w:p>
        </w:tc>
        <w:tc>
          <w:tcPr>
            <w:tcW w:type="dxa" w:w="3050"/>
            <w:shd w:fill="FFFFFF" w:val="clear"/>
            <w:tcMar>
              <w:top w:type="dxa" w:w="70"/>
              <w:left w:type="dxa" w:w="100"/>
              <w:bottom w:type="dxa" w:w="70"/>
              <w:right w:type="dxa" w:w="100"/>
            </w:tcMar>
          </w:tcPr>
          <w:p>
            <w:r>
              <w:rPr>
                <w:sz w:val="19"/>
                <w:szCs w:val="19"/>
              </w:rPr>
              <w:t xml:space="preserve">Multi-country VAT/GST engines with e-filing integrations</w:t>
            </w:r>
          </w:p>
        </w:tc>
        <w:tc>
          <w:tcPr>
            <w:tcW w:type="dxa" w:w="1300"/>
            <w:shd w:fill="FFFFFF" w:val="clear"/>
            <w:tcMar>
              <w:top w:type="dxa" w:w="70"/>
              <w:left w:type="dxa" w:w="100"/>
              <w:bottom w:type="dxa" w:w="70"/>
              <w:right w:type="dxa" w:w="100"/>
            </w:tcMar>
          </w:tcPr>
          <w:p>
            <w:r>
              <w:rPr>
                <w:sz w:val="19"/>
                <w:szCs w:val="19"/>
              </w:rPr>
              <w:t xml:space="preserve">Vol. 5</w:t>
            </w:r>
          </w:p>
        </w:tc>
      </w:tr>
      <w:tr>
        <w:tc>
          <w:tcPr>
            <w:tcW w:type="dxa" w:w="2100"/>
            <w:shd w:fill="DCE6F1" w:val="clear"/>
            <w:tcMar>
              <w:top w:type="dxa" w:w="70"/>
              <w:left w:type="dxa" w:w="100"/>
              <w:bottom w:type="dxa" w:w="70"/>
              <w:right w:type="dxa" w:w="100"/>
            </w:tcMar>
          </w:tcPr>
          <w:p>
            <w:r>
              <w:rPr>
                <w:sz w:val="19"/>
                <w:szCs w:val="19"/>
              </w:rPr>
              <w:t xml:space="preserve">1099 / W-9 (US)</w:t>
            </w:r>
          </w:p>
        </w:tc>
        <w:tc>
          <w:tcPr>
            <w:tcW w:type="dxa" w:w="2900"/>
            <w:shd w:fill="DCE6F1" w:val="clear"/>
            <w:tcMar>
              <w:top w:type="dxa" w:w="70"/>
              <w:left w:type="dxa" w:w="100"/>
              <w:bottom w:type="dxa" w:w="70"/>
              <w:right w:type="dxa" w:w="100"/>
            </w:tcMar>
          </w:tcPr>
          <w:p>
            <w:r>
              <w:rPr>
                <w:sz w:val="19"/>
                <w:szCs w:val="19"/>
              </w:rPr>
              <w:t xml:space="preserve">Not in MVP</w:t>
            </w:r>
          </w:p>
        </w:tc>
        <w:tc>
          <w:tcPr>
            <w:tcW w:type="dxa" w:w="3050"/>
            <w:shd w:fill="DCE6F1" w:val="clear"/>
            <w:tcMar>
              <w:top w:type="dxa" w:w="70"/>
              <w:left w:type="dxa" w:w="100"/>
              <w:bottom w:type="dxa" w:w="70"/>
              <w:right w:type="dxa" w:w="100"/>
            </w:tcMar>
          </w:tcPr>
          <w:p>
            <w:r>
              <w:rPr>
                <w:sz w:val="19"/>
                <w:szCs w:val="19"/>
              </w:rPr>
              <w:t xml:space="preserve">Vendor W-9 collection, 1099-MISC/NEC generation &amp; e-file</w:t>
            </w:r>
          </w:p>
        </w:tc>
        <w:tc>
          <w:tcPr>
            <w:tcW w:type="dxa" w:w="1300"/>
            <w:shd w:fill="DCE6F1" w:val="clear"/>
            <w:tcMar>
              <w:top w:type="dxa" w:w="70"/>
              <w:left w:type="dxa" w:w="100"/>
              <w:bottom w:type="dxa" w:w="70"/>
              <w:right w:type="dxa" w:w="100"/>
            </w:tcMar>
          </w:tcPr>
          <w:p>
            <w:r>
              <w:rPr>
                <w:sz w:val="19"/>
                <w:szCs w:val="19"/>
              </w:rPr>
              <w:t xml:space="preserve">Vol. 5</w:t>
            </w:r>
          </w:p>
        </w:tc>
      </w:tr>
      <w:tr>
        <w:tc>
          <w:tcPr>
            <w:tcW w:type="dxa" w:w="2100"/>
            <w:shd w:fill="FFFFFF" w:val="clear"/>
            <w:tcMar>
              <w:top w:type="dxa" w:w="70"/>
              <w:left w:type="dxa" w:w="100"/>
              <w:bottom w:type="dxa" w:w="70"/>
              <w:right w:type="dxa" w:w="100"/>
            </w:tcMar>
          </w:tcPr>
          <w:p>
            <w:r>
              <w:rPr>
                <w:sz w:val="19"/>
                <w:szCs w:val="19"/>
              </w:rPr>
              <w:t xml:space="preserve">Data privacy</w:t>
            </w:r>
          </w:p>
        </w:tc>
        <w:tc>
          <w:tcPr>
            <w:tcW w:type="dxa" w:w="2900"/>
            <w:shd w:fill="FFFFFF" w:val="clear"/>
            <w:tcMar>
              <w:top w:type="dxa" w:w="70"/>
              <w:left w:type="dxa" w:w="100"/>
              <w:bottom w:type="dxa" w:w="70"/>
              <w:right w:type="dxa" w:w="100"/>
            </w:tcMar>
          </w:tcPr>
          <w:p>
            <w:r>
              <w:rPr>
                <w:sz w:val="19"/>
                <w:szCs w:val="19"/>
              </w:rPr>
              <w:t xml:space="preserve">Basic tenant data isolation</w:t>
            </w:r>
          </w:p>
        </w:tc>
        <w:tc>
          <w:tcPr>
            <w:tcW w:type="dxa" w:w="3050"/>
            <w:shd w:fill="FFFFFF" w:val="clear"/>
            <w:tcMar>
              <w:top w:type="dxa" w:w="70"/>
              <w:left w:type="dxa" w:w="100"/>
              <w:bottom w:type="dxa" w:w="70"/>
              <w:right w:type="dxa" w:w="100"/>
            </w:tcMar>
          </w:tcPr>
          <w:p>
            <w:r>
              <w:rPr>
                <w:sz w:val="19"/>
                <w:szCs w:val="19"/>
              </w:rPr>
              <w:t xml:space="preserve">GDPR data subject rights tooling, data residency options</w:t>
            </w:r>
          </w:p>
        </w:tc>
        <w:tc>
          <w:tcPr>
            <w:tcW w:type="dxa" w:w="1300"/>
            <w:shd w:fill="FFFFFF" w:val="clear"/>
            <w:tcMar>
              <w:top w:type="dxa" w:w="70"/>
              <w:left w:type="dxa" w:w="100"/>
              <w:bottom w:type="dxa" w:w="70"/>
              <w:right w:type="dxa" w:w="100"/>
            </w:tcMar>
          </w:tcPr>
          <w:p>
            <w:r>
              <w:rPr>
                <w:sz w:val="19"/>
                <w:szCs w:val="19"/>
              </w:rPr>
              <w:t xml:space="preserve">Vol. 6</w:t>
            </w:r>
          </w:p>
        </w:tc>
      </w:tr>
      <w:tr>
        <w:tc>
          <w:tcPr>
            <w:tcW w:type="dxa" w:w="2100"/>
            <w:shd w:fill="DCE6F1" w:val="clear"/>
            <w:tcMar>
              <w:top w:type="dxa" w:w="70"/>
              <w:left w:type="dxa" w:w="100"/>
              <w:bottom w:type="dxa" w:w="70"/>
              <w:right w:type="dxa" w:w="100"/>
            </w:tcMar>
          </w:tcPr>
          <w:p>
            <w:r>
              <w:rPr>
                <w:sz w:val="19"/>
                <w:szCs w:val="19"/>
              </w:rPr>
              <w:t xml:space="preserve">Payment security</w:t>
            </w:r>
          </w:p>
        </w:tc>
        <w:tc>
          <w:tcPr>
            <w:tcW w:type="dxa" w:w="2900"/>
            <w:shd w:fill="DCE6F1" w:val="clear"/>
            <w:tcMar>
              <w:top w:type="dxa" w:w="70"/>
              <w:left w:type="dxa" w:w="100"/>
              <w:bottom w:type="dxa" w:w="70"/>
              <w:right w:type="dxa" w:w="100"/>
            </w:tcMar>
          </w:tcPr>
          <w:p>
            <w:r>
              <w:rPr>
                <w:sz w:val="19"/>
                <w:szCs w:val="19"/>
              </w:rPr>
              <w:t xml:space="preserve">PCI SAQ-A via tokenized gateway</w:t>
            </w:r>
          </w:p>
        </w:tc>
        <w:tc>
          <w:tcPr>
            <w:tcW w:type="dxa" w:w="3050"/>
            <w:shd w:fill="DCE6F1" w:val="clear"/>
            <w:tcMar>
              <w:top w:type="dxa" w:w="70"/>
              <w:left w:type="dxa" w:w="100"/>
              <w:bottom w:type="dxa" w:w="70"/>
              <w:right w:type="dxa" w:w="100"/>
            </w:tcMar>
          </w:tcPr>
          <w:p>
            <w:r>
              <w:rPr>
                <w:sz w:val="19"/>
                <w:szCs w:val="19"/>
              </w:rPr>
              <w:t xml:space="preserve">PCI SAQ-D alignment if card data is ever touched directly</w:t>
            </w:r>
          </w:p>
        </w:tc>
        <w:tc>
          <w:tcPr>
            <w:tcW w:type="dxa" w:w="1300"/>
            <w:shd w:fill="DCE6F1" w:val="clear"/>
            <w:tcMar>
              <w:top w:type="dxa" w:w="70"/>
              <w:left w:type="dxa" w:w="100"/>
              <w:bottom w:type="dxa" w:w="70"/>
              <w:right w:type="dxa" w:w="100"/>
            </w:tcMar>
          </w:tcPr>
          <w:p>
            <w:r>
              <w:rPr>
                <w:sz w:val="19"/>
                <w:szCs w:val="19"/>
              </w:rPr>
              <w:t xml:space="preserve">Vol. 6</w:t>
            </w:r>
          </w:p>
        </w:tc>
      </w:tr>
      <w:tr>
        <w:tc>
          <w:tcPr>
            <w:tcW w:type="dxa" w:w="2100"/>
            <w:shd w:fill="FFFFFF" w:val="clear"/>
            <w:tcMar>
              <w:top w:type="dxa" w:w="70"/>
              <w:left w:type="dxa" w:w="100"/>
              <w:bottom w:type="dxa" w:w="70"/>
              <w:right w:type="dxa" w:w="100"/>
            </w:tcMar>
          </w:tcPr>
          <w:p>
            <w:r>
              <w:rPr>
                <w:sz w:val="19"/>
                <w:szCs w:val="19"/>
              </w:rPr>
              <w:t xml:space="preserve">Health data</w:t>
            </w:r>
          </w:p>
        </w:tc>
        <w:tc>
          <w:tcPr>
            <w:tcW w:type="dxa" w:w="2900"/>
            <w:shd w:fill="FFFFFF" w:val="clear"/>
            <w:tcMar>
              <w:top w:type="dxa" w:w="70"/>
              <w:left w:type="dxa" w:w="100"/>
              <w:bottom w:type="dxa" w:w="70"/>
              <w:right w:type="dxa" w:w="100"/>
            </w:tcMar>
          </w:tcPr>
          <w:p>
            <w:r>
              <w:rPr>
                <w:sz w:val="19"/>
                <w:szCs w:val="19"/>
              </w:rPr>
              <w:t xml:space="preserve">Not applicable (no PHI in accounting data by default)</w:t>
            </w:r>
          </w:p>
        </w:tc>
        <w:tc>
          <w:tcPr>
            <w:tcW w:type="dxa" w:w="3050"/>
            <w:shd w:fill="FFFFFF" w:val="clear"/>
            <w:tcMar>
              <w:top w:type="dxa" w:w="70"/>
              <w:left w:type="dxa" w:w="100"/>
              <w:bottom w:type="dxa" w:w="70"/>
              <w:right w:type="dxa" w:w="100"/>
            </w:tcMar>
          </w:tcPr>
          <w:p>
            <w:r>
              <w:rPr>
                <w:sz w:val="19"/>
                <w:szCs w:val="19"/>
              </w:rPr>
              <w:t xml:space="preserve">HIPAA-aligned controls only if a healthcare-vertical edition is pursued</w:t>
            </w:r>
          </w:p>
        </w:tc>
        <w:tc>
          <w:tcPr>
            <w:tcW w:type="dxa" w:w="1300"/>
            <w:shd w:fill="FFFFFF" w:val="clear"/>
            <w:tcMar>
              <w:top w:type="dxa" w:w="70"/>
              <w:left w:type="dxa" w:w="100"/>
              <w:bottom w:type="dxa" w:w="70"/>
              <w:right w:type="dxa" w:w="100"/>
            </w:tcMar>
          </w:tcPr>
          <w:p>
            <w:r>
              <w:rPr>
                <w:sz w:val="19"/>
                <w:szCs w:val="19"/>
              </w:rPr>
              <w:t xml:space="preserve">Vol. 6 - contingent</w:t>
            </w:r>
          </w:p>
        </w:tc>
      </w:tr>
      <w:tr>
        <w:tc>
          <w:tcPr>
            <w:tcW w:type="dxa" w:w="2100"/>
            <w:shd w:fill="DCE6F1" w:val="clear"/>
            <w:tcMar>
              <w:top w:type="dxa" w:w="70"/>
              <w:left w:type="dxa" w:w="100"/>
              <w:bottom w:type="dxa" w:w="70"/>
              <w:right w:type="dxa" w:w="100"/>
            </w:tcMar>
          </w:tcPr>
          <w:p>
            <w:r>
              <w:rPr>
                <w:sz w:val="19"/>
                <w:szCs w:val="19"/>
              </w:rPr>
              <w:t xml:space="preserve">Audit trail</w:t>
            </w:r>
          </w:p>
        </w:tc>
        <w:tc>
          <w:tcPr>
            <w:tcW w:type="dxa" w:w="2900"/>
            <w:shd w:fill="DCE6F1" w:val="clear"/>
            <w:tcMar>
              <w:top w:type="dxa" w:w="70"/>
              <w:left w:type="dxa" w:w="100"/>
              <w:bottom w:type="dxa" w:w="70"/>
              <w:right w:type="dxa" w:w="100"/>
            </w:tcMar>
          </w:tcPr>
          <w:p>
            <w:r>
              <w:rPr>
                <w:sz w:val="19"/>
                <w:szCs w:val="19"/>
              </w:rPr>
              <w:t xml:space="preserve">Append-only change log on financial entities</w:t>
            </w:r>
          </w:p>
        </w:tc>
        <w:tc>
          <w:tcPr>
            <w:tcW w:type="dxa" w:w="3050"/>
            <w:shd w:fill="DCE6F1" w:val="clear"/>
            <w:tcMar>
              <w:top w:type="dxa" w:w="70"/>
              <w:left w:type="dxa" w:w="100"/>
              <w:bottom w:type="dxa" w:w="70"/>
              <w:right w:type="dxa" w:w="100"/>
            </w:tcMar>
          </w:tcPr>
          <w:p>
            <w:r>
              <w:rPr>
                <w:sz w:val="19"/>
                <w:szCs w:val="19"/>
              </w:rPr>
              <w:t xml:space="preserve">Full tamper-evident audit trail with drill-down UI</w:t>
            </w:r>
          </w:p>
        </w:tc>
        <w:tc>
          <w:tcPr>
            <w:tcW w:type="dxa" w:w="1300"/>
            <w:shd w:fill="DCE6F1" w:val="clear"/>
            <w:tcMar>
              <w:top w:type="dxa" w:w="70"/>
              <w:left w:type="dxa" w:w="100"/>
              <w:bottom w:type="dxa" w:w="70"/>
              <w:right w:type="dxa" w:w="100"/>
            </w:tcMar>
          </w:tcPr>
          <w:p>
            <w:r>
              <w:rPr>
                <w:sz w:val="19"/>
                <w:szCs w:val="19"/>
              </w:rPr>
              <w:t xml:space="preserve">Vol. 4, 6</w:t>
            </w:r>
          </w:p>
        </w:tc>
      </w:tr>
    </w:tbl>
    <w:p>
      <w:r>
        <w:br w:type="page"/>
      </w:r>
    </w:p>
    <w:p>
      <w:pPr>
        <w:pStyle w:val="Heading1"/>
        <w:spacing w:before="400" w:after="200"/>
      </w:pPr>
      <w:r>
        <w:rPr>
          <w:b/>
          <w:bCs/>
          <w:color w:val="1F3864"/>
          <w:sz w:val="32"/>
          <w:szCs w:val="32"/>
        </w:rPr>
        <w:t xml:space="preserve">11. Traceability Matrix - Business to Downstream Volumes</w:t>
      </w:r>
    </w:p>
    <w:p>
      <w:pPr>
        <w:spacing w:after="160" w:line="276"/>
      </w:pPr>
      <w:r>
        <w:rPr>
          <w:b w:val="false"/>
          <w:bCs w:val="false"/>
          <w:i w:val="false"/>
          <w:iCs w:val="false"/>
          <w:color w:val="1A1A1A"/>
          <w:sz w:val="22"/>
          <w:szCs w:val="22"/>
        </w:rPr>
        <w:t xml:space="preserve">This table is the contract between this document and everything that follows. Every capability ID must appear in Volume 2's bounded-context map and Volume 4's schema domain map before either of those volumes can be considered complete.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650"/>
        <w:gridCol w:w="4050"/>
      </w:tblGrid>
      <w:tr>
        <w:trPr>
          <w:tblHeader/>
        </w:trPr>
        <w:tc>
          <w:tcPr>
            <w:tcW w:type="dxa" w:w="2650"/>
            <w:shd w:fill="1F3864" w:val="clear"/>
            <w:tcMar>
              <w:top w:type="dxa" w:w="80"/>
              <w:left w:type="dxa" w:w="100"/>
              <w:bottom w:type="dxa" w:w="80"/>
              <w:right w:type="dxa" w:w="100"/>
            </w:tcMar>
            <w:vAlign w:val="center"/>
          </w:tcPr>
          <w:p>
            <w:r>
              <w:rPr>
                <w:b/>
                <w:bCs/>
                <w:color w:val="FFFFFF"/>
                <w:sz w:val="19"/>
                <w:szCs w:val="19"/>
              </w:rPr>
              <w:t xml:space="preserve">Business Artifact</w:t>
            </w:r>
          </w:p>
        </w:tc>
        <w:tc>
          <w:tcPr>
            <w:tcW w:type="dxa" w:w="2650"/>
            <w:shd w:fill="1F3864" w:val="clear"/>
            <w:tcMar>
              <w:top w:type="dxa" w:w="80"/>
              <w:left w:type="dxa" w:w="100"/>
              <w:bottom w:type="dxa" w:w="80"/>
              <w:right w:type="dxa" w:w="100"/>
            </w:tcMar>
            <w:vAlign w:val="center"/>
          </w:tcPr>
          <w:p>
            <w:r>
              <w:rPr>
                <w:b/>
                <w:bCs/>
                <w:color w:val="FFFFFF"/>
                <w:sz w:val="19"/>
                <w:szCs w:val="19"/>
              </w:rPr>
              <w:t xml:space="preserve">Downstream Volume</w:t>
            </w:r>
          </w:p>
        </w:tc>
        <w:tc>
          <w:tcPr>
            <w:tcW w:type="dxa" w:w="4050"/>
            <w:shd w:fill="1F3864" w:val="clear"/>
            <w:tcMar>
              <w:top w:type="dxa" w:w="80"/>
              <w:left w:type="dxa" w:w="100"/>
              <w:bottom w:type="dxa" w:w="80"/>
              <w:right w:type="dxa" w:w="100"/>
            </w:tcMar>
            <w:vAlign w:val="center"/>
          </w:tcPr>
          <w:p>
            <w:r>
              <w:rPr>
                <w:b/>
                <w:bCs/>
                <w:color w:val="FFFFFF"/>
                <w:sz w:val="19"/>
                <w:szCs w:val="19"/>
              </w:rPr>
              <w:t xml:space="preserve">What Gets Derived</w:t>
            </w:r>
          </w:p>
        </w:tc>
      </w:tr>
      <w:tr>
        <w:tc>
          <w:tcPr>
            <w:tcW w:type="dxa" w:w="2650"/>
            <w:shd w:fill="FFFFFF" w:val="clear"/>
            <w:tcMar>
              <w:top w:type="dxa" w:w="70"/>
              <w:left w:type="dxa" w:w="100"/>
              <w:bottom w:type="dxa" w:w="70"/>
              <w:right w:type="dxa" w:w="100"/>
            </w:tcMar>
          </w:tcPr>
          <w:p>
            <w:r>
              <w:rPr>
                <w:sz w:val="19"/>
                <w:szCs w:val="19"/>
              </w:rPr>
              <w:t xml:space="preserve">BC-01...BC-21 (Section 5)</w:t>
            </w:r>
          </w:p>
        </w:tc>
        <w:tc>
          <w:tcPr>
            <w:tcW w:type="dxa" w:w="2650"/>
            <w:shd w:fill="FFFFFF" w:val="clear"/>
            <w:tcMar>
              <w:top w:type="dxa" w:w="70"/>
              <w:left w:type="dxa" w:w="100"/>
              <w:bottom w:type="dxa" w:w="70"/>
              <w:right w:type="dxa" w:w="100"/>
            </w:tcMar>
          </w:tcPr>
          <w:p>
            <w:r>
              <w:rPr>
                <w:sz w:val="19"/>
                <w:szCs w:val="19"/>
              </w:rPr>
              <w:t xml:space="preserve">Vol. 2 Application Architecture</w:t>
            </w:r>
          </w:p>
        </w:tc>
        <w:tc>
          <w:tcPr>
            <w:tcW w:type="dxa" w:w="4050"/>
            <w:shd w:fill="FFFFFF" w:val="clear"/>
            <w:tcMar>
              <w:top w:type="dxa" w:w="70"/>
              <w:left w:type="dxa" w:w="100"/>
              <w:bottom w:type="dxa" w:w="70"/>
              <w:right w:type="dxa" w:w="100"/>
            </w:tcMar>
          </w:tcPr>
          <w:p>
            <w:r>
              <w:rPr>
                <w:sz w:val="19"/>
                <w:szCs w:val="19"/>
              </w:rPr>
              <w:t xml:space="preserve">Bounded contexts / services, module dependency diagram, C4 containers</w:t>
            </w:r>
          </w:p>
        </w:tc>
      </w:tr>
      <w:tr>
        <w:tc>
          <w:tcPr>
            <w:tcW w:type="dxa" w:w="2650"/>
            <w:shd w:fill="DCE6F1" w:val="clear"/>
            <w:tcMar>
              <w:top w:type="dxa" w:w="70"/>
              <w:left w:type="dxa" w:w="100"/>
              <w:bottom w:type="dxa" w:w="70"/>
              <w:right w:type="dxa" w:w="100"/>
            </w:tcMar>
          </w:tcPr>
          <w:p>
            <w:r>
              <w:rPr>
                <w:sz w:val="19"/>
                <w:szCs w:val="19"/>
              </w:rPr>
              <w:t xml:space="preserve">BC-01...BC-21 (Section 5)</w:t>
            </w:r>
          </w:p>
        </w:tc>
        <w:tc>
          <w:tcPr>
            <w:tcW w:type="dxa" w:w="2650"/>
            <w:shd w:fill="DCE6F1" w:val="clear"/>
            <w:tcMar>
              <w:top w:type="dxa" w:w="70"/>
              <w:left w:type="dxa" w:w="100"/>
              <w:bottom w:type="dxa" w:w="70"/>
              <w:right w:type="dxa" w:w="100"/>
            </w:tcMar>
          </w:tcPr>
          <w:p>
            <w:r>
              <w:rPr>
                <w:sz w:val="19"/>
                <w:szCs w:val="19"/>
              </w:rPr>
              <w:t xml:space="preserve">Vol. 4 Data Architecture</w:t>
            </w:r>
          </w:p>
        </w:tc>
        <w:tc>
          <w:tcPr>
            <w:tcW w:type="dxa" w:w="4050"/>
            <w:shd w:fill="DCE6F1" w:val="clear"/>
            <w:tcMar>
              <w:top w:type="dxa" w:w="70"/>
              <w:left w:type="dxa" w:w="100"/>
              <w:bottom w:type="dxa" w:w="70"/>
              <w:right w:type="dxa" w:w="100"/>
            </w:tcMar>
          </w:tcPr>
          <w:p>
            <w:r>
              <w:rPr>
                <w:sz w:val="19"/>
                <w:szCs w:val="19"/>
              </w:rPr>
              <w:t xml:space="preserve">Schema domains, ER diagrams, tenant partitioning strategy</w:t>
            </w:r>
          </w:p>
        </w:tc>
      </w:tr>
      <w:tr>
        <w:tc>
          <w:tcPr>
            <w:tcW w:type="dxa" w:w="2650"/>
            <w:shd w:fill="FFFFFF" w:val="clear"/>
            <w:tcMar>
              <w:top w:type="dxa" w:w="70"/>
              <w:left w:type="dxa" w:w="100"/>
              <w:bottom w:type="dxa" w:w="70"/>
              <w:right w:type="dxa" w:w="100"/>
            </w:tcMar>
          </w:tcPr>
          <w:p>
            <w:r>
              <w:rPr>
                <w:sz w:val="19"/>
                <w:szCs w:val="19"/>
              </w:rPr>
              <w:t xml:space="preserve">Section 6 Module Scope Catalog</w:t>
            </w:r>
          </w:p>
        </w:tc>
        <w:tc>
          <w:tcPr>
            <w:tcW w:type="dxa" w:w="2650"/>
            <w:shd w:fill="FFFFFF" w:val="clear"/>
            <w:tcMar>
              <w:top w:type="dxa" w:w="70"/>
              <w:left w:type="dxa" w:w="100"/>
              <w:bottom w:type="dxa" w:w="70"/>
              <w:right w:type="dxa" w:w="100"/>
            </w:tcMar>
          </w:tcPr>
          <w:p>
            <w:r>
              <w:rPr>
                <w:sz w:val="19"/>
                <w:szCs w:val="19"/>
              </w:rPr>
              <w:t xml:space="preserve">Vol. 2 &amp; functional spec appendix</w:t>
            </w:r>
          </w:p>
        </w:tc>
        <w:tc>
          <w:tcPr>
            <w:tcW w:type="dxa" w:w="4050"/>
            <w:shd w:fill="FFFFFF" w:val="clear"/>
            <w:tcMar>
              <w:top w:type="dxa" w:w="70"/>
              <w:left w:type="dxa" w:w="100"/>
              <w:bottom w:type="dxa" w:w="70"/>
              <w:right w:type="dxa" w:w="100"/>
            </w:tcMar>
          </w:tcPr>
          <w:p>
            <w:r>
              <w:rPr>
                <w:sz w:val="19"/>
                <w:szCs w:val="19"/>
              </w:rPr>
              <w:t xml:space="preserve">Feature-level user stories and acceptance criteria (FRS equivalent)</w:t>
            </w:r>
          </w:p>
        </w:tc>
      </w:tr>
      <w:tr>
        <w:tc>
          <w:tcPr>
            <w:tcW w:type="dxa" w:w="2650"/>
            <w:shd w:fill="DCE6F1" w:val="clear"/>
            <w:tcMar>
              <w:top w:type="dxa" w:w="70"/>
              <w:left w:type="dxa" w:w="100"/>
              <w:bottom w:type="dxa" w:w="70"/>
              <w:right w:type="dxa" w:w="100"/>
            </w:tcMar>
          </w:tcPr>
          <w:p>
            <w:r>
              <w:rPr>
                <w:sz w:val="19"/>
                <w:szCs w:val="19"/>
              </w:rPr>
              <w:t xml:space="preserve">Section 7 Value Streams</w:t>
            </w:r>
          </w:p>
        </w:tc>
        <w:tc>
          <w:tcPr>
            <w:tcW w:type="dxa" w:w="2650"/>
            <w:shd w:fill="DCE6F1" w:val="clear"/>
            <w:tcMar>
              <w:top w:type="dxa" w:w="70"/>
              <w:left w:type="dxa" w:w="100"/>
              <w:bottom w:type="dxa" w:w="70"/>
              <w:right w:type="dxa" w:w="100"/>
            </w:tcMar>
          </w:tcPr>
          <w:p>
            <w:r>
              <w:rPr>
                <w:sz w:val="19"/>
                <w:szCs w:val="19"/>
              </w:rPr>
              <w:t xml:space="preserve">Vol. 2 sequence diagrams</w:t>
            </w:r>
          </w:p>
        </w:tc>
        <w:tc>
          <w:tcPr>
            <w:tcW w:type="dxa" w:w="4050"/>
            <w:shd w:fill="DCE6F1" w:val="clear"/>
            <w:tcMar>
              <w:top w:type="dxa" w:w="70"/>
              <w:left w:type="dxa" w:w="100"/>
              <w:bottom w:type="dxa" w:w="70"/>
              <w:right w:type="dxa" w:w="100"/>
            </w:tcMar>
          </w:tcPr>
          <w:p>
            <w:r>
              <w:rPr>
                <w:sz w:val="19"/>
                <w:szCs w:val="19"/>
              </w:rPr>
              <w:t xml:space="preserve">Service-to-service sequence diagrams per value stream</w:t>
            </w:r>
          </w:p>
        </w:tc>
      </w:tr>
      <w:tr>
        <w:tc>
          <w:tcPr>
            <w:tcW w:type="dxa" w:w="2650"/>
            <w:shd w:fill="FFFFFF" w:val="clear"/>
            <w:tcMar>
              <w:top w:type="dxa" w:w="70"/>
              <w:left w:type="dxa" w:w="100"/>
              <w:bottom w:type="dxa" w:w="70"/>
              <w:right w:type="dxa" w:w="100"/>
            </w:tcMar>
          </w:tcPr>
          <w:p>
            <w:r>
              <w:rPr>
                <w:sz w:val="19"/>
                <w:szCs w:val="19"/>
              </w:rPr>
              <w:t xml:space="preserve">Section 8 Process Flows</w:t>
            </w:r>
          </w:p>
        </w:tc>
        <w:tc>
          <w:tcPr>
            <w:tcW w:type="dxa" w:w="2650"/>
            <w:shd w:fill="FFFFFF" w:val="clear"/>
            <w:tcMar>
              <w:top w:type="dxa" w:w="70"/>
              <w:left w:type="dxa" w:w="100"/>
              <w:bottom w:type="dxa" w:w="70"/>
              <w:right w:type="dxa" w:w="100"/>
            </w:tcMar>
          </w:tcPr>
          <w:p>
            <w:r>
              <w:rPr>
                <w:sz w:val="19"/>
                <w:szCs w:val="19"/>
              </w:rPr>
              <w:t xml:space="preserve">Vol. 2, Vol. 4</w:t>
            </w:r>
          </w:p>
        </w:tc>
        <w:tc>
          <w:tcPr>
            <w:tcW w:type="dxa" w:w="4050"/>
            <w:shd w:fill="FFFFFF" w:val="clear"/>
            <w:tcMar>
              <w:top w:type="dxa" w:w="70"/>
              <w:left w:type="dxa" w:w="100"/>
              <w:bottom w:type="dxa" w:w="70"/>
              <w:right w:type="dxa" w:w="100"/>
            </w:tcMar>
          </w:tcPr>
          <w:p>
            <w:r>
              <w:rPr>
                <w:sz w:val="19"/>
                <w:szCs w:val="19"/>
              </w:rPr>
              <w:t xml:space="preserve">State machines as enum/status columns; transaction integrity rules</w:t>
            </w:r>
          </w:p>
        </w:tc>
      </w:tr>
      <w:tr>
        <w:tc>
          <w:tcPr>
            <w:tcW w:type="dxa" w:w="2650"/>
            <w:shd w:fill="DCE6F1" w:val="clear"/>
            <w:tcMar>
              <w:top w:type="dxa" w:w="70"/>
              <w:left w:type="dxa" w:w="100"/>
              <w:bottom w:type="dxa" w:w="70"/>
              <w:right w:type="dxa" w:w="100"/>
            </w:tcMar>
          </w:tcPr>
          <w:p>
            <w:r>
              <w:rPr>
                <w:sz w:val="19"/>
                <w:szCs w:val="19"/>
              </w:rPr>
              <w:t xml:space="preserve">Section 4 Personas</w:t>
            </w:r>
          </w:p>
        </w:tc>
        <w:tc>
          <w:tcPr>
            <w:tcW w:type="dxa" w:w="2650"/>
            <w:shd w:fill="DCE6F1" w:val="clear"/>
            <w:tcMar>
              <w:top w:type="dxa" w:w="70"/>
              <w:left w:type="dxa" w:w="100"/>
              <w:bottom w:type="dxa" w:w="70"/>
              <w:right w:type="dxa" w:w="100"/>
            </w:tcMar>
          </w:tcPr>
          <w:p>
            <w:r>
              <w:rPr>
                <w:sz w:val="19"/>
                <w:szCs w:val="19"/>
              </w:rPr>
              <w:t xml:space="preserve">Vol. 6 Security Architecture</w:t>
            </w:r>
          </w:p>
        </w:tc>
        <w:tc>
          <w:tcPr>
            <w:tcW w:type="dxa" w:w="4050"/>
            <w:shd w:fill="DCE6F1" w:val="clear"/>
            <w:tcMar>
              <w:top w:type="dxa" w:w="70"/>
              <w:left w:type="dxa" w:w="100"/>
              <w:bottom w:type="dxa" w:w="70"/>
              <w:right w:type="dxa" w:w="100"/>
            </w:tcMar>
          </w:tcPr>
          <w:p>
            <w:r>
              <w:rPr>
                <w:sz w:val="19"/>
                <w:szCs w:val="19"/>
              </w:rPr>
              <w:t xml:space="preserve">RBAC role definitions, permission matrix</w:t>
            </w:r>
          </w:p>
        </w:tc>
      </w:tr>
      <w:tr>
        <w:tc>
          <w:tcPr>
            <w:tcW w:type="dxa" w:w="2650"/>
            <w:shd w:fill="FFFFFF" w:val="clear"/>
            <w:tcMar>
              <w:top w:type="dxa" w:w="70"/>
              <w:left w:type="dxa" w:w="100"/>
              <w:bottom w:type="dxa" w:w="70"/>
              <w:right w:type="dxa" w:w="100"/>
            </w:tcMar>
          </w:tcPr>
          <w:p>
            <w:r>
              <w:rPr>
                <w:sz w:val="19"/>
                <w:szCs w:val="19"/>
              </w:rPr>
              <w:t xml:space="preserve">Section 9 Editions</w:t>
            </w:r>
          </w:p>
        </w:tc>
        <w:tc>
          <w:tcPr>
            <w:tcW w:type="dxa" w:w="2650"/>
            <w:shd w:fill="FFFFFF" w:val="clear"/>
            <w:tcMar>
              <w:top w:type="dxa" w:w="70"/>
              <w:left w:type="dxa" w:w="100"/>
              <w:bottom w:type="dxa" w:w="70"/>
              <w:right w:type="dxa" w:w="100"/>
            </w:tcMar>
          </w:tcPr>
          <w:p>
            <w:r>
              <w:rPr>
                <w:sz w:val="19"/>
                <w:szCs w:val="19"/>
              </w:rPr>
              <w:t xml:space="preserve">Vol. 3 Technical Architecture</w:t>
            </w:r>
          </w:p>
        </w:tc>
        <w:tc>
          <w:tcPr>
            <w:tcW w:type="dxa" w:w="4050"/>
            <w:shd w:fill="FFFFFF" w:val="clear"/>
            <w:tcMar>
              <w:top w:type="dxa" w:w="70"/>
              <w:left w:type="dxa" w:w="100"/>
              <w:bottom w:type="dxa" w:w="70"/>
              <w:right w:type="dxa" w:w="100"/>
            </w:tcMar>
          </w:tcPr>
          <w:p>
            <w:r>
              <w:rPr>
                <w:sz w:val="19"/>
                <w:szCs w:val="19"/>
              </w:rPr>
              <w:t xml:space="preserve">Feature-flag / entitlement service design</w:t>
            </w:r>
          </w:p>
        </w:tc>
      </w:tr>
      <w:tr>
        <w:tc>
          <w:tcPr>
            <w:tcW w:type="dxa" w:w="2650"/>
            <w:shd w:fill="DCE6F1" w:val="clear"/>
            <w:tcMar>
              <w:top w:type="dxa" w:w="70"/>
              <w:left w:type="dxa" w:w="100"/>
              <w:bottom w:type="dxa" w:w="70"/>
              <w:right w:type="dxa" w:w="100"/>
            </w:tcMar>
          </w:tcPr>
          <w:p>
            <w:r>
              <w:rPr>
                <w:sz w:val="19"/>
                <w:szCs w:val="19"/>
              </w:rPr>
              <w:t xml:space="preserve">Section 10 Compliance</w:t>
            </w:r>
          </w:p>
        </w:tc>
        <w:tc>
          <w:tcPr>
            <w:tcW w:type="dxa" w:w="2650"/>
            <w:shd w:fill="DCE6F1" w:val="clear"/>
            <w:tcMar>
              <w:top w:type="dxa" w:w="70"/>
              <w:left w:type="dxa" w:w="100"/>
              <w:bottom w:type="dxa" w:w="70"/>
              <w:right w:type="dxa" w:w="100"/>
            </w:tcMar>
          </w:tcPr>
          <w:p>
            <w:r>
              <w:rPr>
                <w:sz w:val="19"/>
                <w:szCs w:val="19"/>
              </w:rPr>
              <w:t xml:space="preserve">Vol. 6 Security Architecture</w:t>
            </w:r>
          </w:p>
        </w:tc>
        <w:tc>
          <w:tcPr>
            <w:tcW w:type="dxa" w:w="4050"/>
            <w:shd w:fill="DCE6F1" w:val="clear"/>
            <w:tcMar>
              <w:top w:type="dxa" w:w="70"/>
              <w:left w:type="dxa" w:w="100"/>
              <w:bottom w:type="dxa" w:w="70"/>
              <w:right w:type="dxa" w:w="100"/>
            </w:tcMar>
          </w:tcPr>
          <w:p>
            <w:r>
              <w:rPr>
                <w:sz w:val="19"/>
                <w:szCs w:val="19"/>
              </w:rPr>
              <w:t xml:space="preserve">Threat model scope, control mapping (SOC2/GDPR/PCI)</w:t>
            </w:r>
          </w:p>
        </w:tc>
      </w:tr>
      <w:tr>
        <w:tc>
          <w:tcPr>
            <w:tcW w:type="dxa" w:w="2650"/>
            <w:shd w:fill="FFFFFF" w:val="clear"/>
            <w:tcMar>
              <w:top w:type="dxa" w:w="70"/>
              <w:left w:type="dxa" w:w="100"/>
              <w:bottom w:type="dxa" w:w="70"/>
              <w:right w:type="dxa" w:w="100"/>
            </w:tcMar>
          </w:tcPr>
          <w:p>
            <w:r>
              <w:rPr>
                <w:sz w:val="19"/>
                <w:szCs w:val="19"/>
              </w:rPr>
              <w:t xml:space="preserve">Section 3 Principles</w:t>
            </w:r>
          </w:p>
        </w:tc>
        <w:tc>
          <w:tcPr>
            <w:tcW w:type="dxa" w:w="2650"/>
            <w:shd w:fill="FFFFFF" w:val="clear"/>
            <w:tcMar>
              <w:top w:type="dxa" w:w="70"/>
              <w:left w:type="dxa" w:w="100"/>
              <w:bottom w:type="dxa" w:w="70"/>
              <w:right w:type="dxa" w:w="100"/>
            </w:tcMar>
          </w:tcPr>
          <w:p>
            <w:r>
              <w:rPr>
                <w:sz w:val="19"/>
                <w:szCs w:val="19"/>
              </w:rPr>
              <w:t xml:space="preserve">All volumes</w:t>
            </w:r>
          </w:p>
        </w:tc>
        <w:tc>
          <w:tcPr>
            <w:tcW w:type="dxa" w:w="4050"/>
            <w:shd w:fill="FFFFFF" w:val="clear"/>
            <w:tcMar>
              <w:top w:type="dxa" w:w="70"/>
              <w:left w:type="dxa" w:w="100"/>
              <w:bottom w:type="dxa" w:w="70"/>
              <w:right w:type="dxa" w:w="100"/>
            </w:tcMar>
          </w:tcPr>
          <w:p>
            <w:r>
              <w:rPr>
                <w:sz w:val="19"/>
                <w:szCs w:val="19"/>
              </w:rPr>
              <w:t xml:space="preserve">Non-negotiable constraints checked at each volume's review gate</w:t>
            </w:r>
          </w:p>
        </w:tc>
      </w:tr>
    </w:tbl>
    <w:p>
      <w:r>
        <w:br w:type="page"/>
      </w:r>
    </w:p>
    <w:p>
      <w:pPr>
        <w:pStyle w:val="Heading1"/>
        <w:spacing w:before="400" w:after="200"/>
      </w:pPr>
      <w:r>
        <w:rPr>
          <w:b/>
          <w:bCs/>
          <w:color w:val="1F3864"/>
          <w:sz w:val="32"/>
          <w:szCs w:val="32"/>
        </w:rPr>
        <w:t xml:space="preserve">12. Note on BRD / SRS / FRS Extraction</w:t>
      </w:r>
    </w:p>
    <w:p>
      <w:pPr>
        <w:spacing w:after="160" w:line="276"/>
      </w:pPr>
      <w:r>
        <w:rPr>
          <w:b w:val="false"/>
          <w:bCs w:val="false"/>
          <w:i w:val="false"/>
          <w:iCs w:val="false"/>
          <w:color w:val="1A1A1A"/>
          <w:sz w:val="22"/>
          <w:szCs w:val="22"/>
        </w:rPr>
        <w:t xml:space="preserve">If a standalone Business Requirements Document, Software Requirements Specification, or Functional Requirements Specification is required (for example, for a vendor RFP, investor due diligence, or a compliance filing), it can be generated directly from this blueprint without re-deriving scope: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Target Document</w:t>
            </w:r>
          </w:p>
        </w:tc>
        <w:tc>
          <w:tcPr>
            <w:tcW w:type="dxa" w:w="7550"/>
            <w:shd w:fill="1F3864" w:val="clear"/>
            <w:tcMar>
              <w:top w:type="dxa" w:w="80"/>
              <w:left w:type="dxa" w:w="100"/>
              <w:bottom w:type="dxa" w:w="80"/>
              <w:right w:type="dxa" w:w="100"/>
            </w:tcMar>
            <w:vAlign w:val="center"/>
          </w:tcPr>
          <w:p>
            <w:r>
              <w:rPr>
                <w:b/>
                <w:bCs/>
                <w:color w:val="FFFFFF"/>
                <w:sz w:val="19"/>
                <w:szCs w:val="19"/>
              </w:rPr>
              <w:t xml:space="preserve">Source Sections</w:t>
            </w:r>
          </w:p>
        </w:tc>
      </w:tr>
      <w:tr>
        <w:tc>
          <w:tcPr>
            <w:tcW w:type="dxa" w:w="1800"/>
            <w:shd w:fill="FFFFFF" w:val="clear"/>
            <w:tcMar>
              <w:top w:type="dxa" w:w="70"/>
              <w:left w:type="dxa" w:w="100"/>
              <w:bottom w:type="dxa" w:w="70"/>
              <w:right w:type="dxa" w:w="100"/>
            </w:tcMar>
          </w:tcPr>
          <w:p>
            <w:r>
              <w:rPr>
                <w:sz w:val="19"/>
                <w:szCs w:val="19"/>
              </w:rPr>
              <w:t xml:space="preserve">BRD</w:t>
            </w:r>
          </w:p>
        </w:tc>
        <w:tc>
          <w:tcPr>
            <w:tcW w:type="dxa" w:w="7550"/>
            <w:shd w:fill="FFFFFF" w:val="clear"/>
            <w:tcMar>
              <w:top w:type="dxa" w:w="70"/>
              <w:left w:type="dxa" w:w="100"/>
              <w:bottom w:type="dxa" w:w="70"/>
              <w:right w:type="dxa" w:w="100"/>
            </w:tcMar>
          </w:tcPr>
          <w:p>
            <w:r>
              <w:rPr>
                <w:sz w:val="19"/>
                <w:szCs w:val="19"/>
              </w:rPr>
              <w:t xml:space="preserve">Sections 2 (Business Context), 3 (Principles), 9 (Editions), 10 (Compliance)</w:t>
            </w:r>
          </w:p>
        </w:tc>
      </w:tr>
      <w:tr>
        <w:tc>
          <w:tcPr>
            <w:tcW w:type="dxa" w:w="1800"/>
            <w:shd w:fill="DCE6F1" w:val="clear"/>
            <w:tcMar>
              <w:top w:type="dxa" w:w="70"/>
              <w:left w:type="dxa" w:w="100"/>
              <w:bottom w:type="dxa" w:w="70"/>
              <w:right w:type="dxa" w:w="100"/>
            </w:tcMar>
          </w:tcPr>
          <w:p>
            <w:r>
              <w:rPr>
                <w:sz w:val="19"/>
                <w:szCs w:val="19"/>
              </w:rPr>
              <w:t xml:space="preserve">SRS</w:t>
            </w:r>
          </w:p>
        </w:tc>
        <w:tc>
          <w:tcPr>
            <w:tcW w:type="dxa" w:w="7550"/>
            <w:shd w:fill="DCE6F1" w:val="clear"/>
            <w:tcMar>
              <w:top w:type="dxa" w:w="70"/>
              <w:left w:type="dxa" w:w="100"/>
              <w:bottom w:type="dxa" w:w="70"/>
              <w:right w:type="dxa" w:w="100"/>
            </w:tcMar>
          </w:tcPr>
          <w:p>
            <w:r>
              <w:rPr>
                <w:sz w:val="19"/>
                <w:szCs w:val="19"/>
              </w:rPr>
              <w:t xml:space="preserve">Sections 4 (Personas), 5 (Capability Model), 6 (Module Scope) - reformatted as shall-statements</w:t>
            </w:r>
          </w:p>
        </w:tc>
      </w:tr>
      <w:tr>
        <w:tc>
          <w:tcPr>
            <w:tcW w:type="dxa" w:w="1800"/>
            <w:shd w:fill="FFFFFF" w:val="clear"/>
            <w:tcMar>
              <w:top w:type="dxa" w:w="70"/>
              <w:left w:type="dxa" w:w="100"/>
              <w:bottom w:type="dxa" w:w="70"/>
              <w:right w:type="dxa" w:w="100"/>
            </w:tcMar>
          </w:tcPr>
          <w:p>
            <w:r>
              <w:rPr>
                <w:sz w:val="19"/>
                <w:szCs w:val="19"/>
              </w:rPr>
              <w:t xml:space="preserve">FRS</w:t>
            </w:r>
          </w:p>
        </w:tc>
        <w:tc>
          <w:tcPr>
            <w:tcW w:type="dxa" w:w="7550"/>
            <w:shd w:fill="FFFFFF" w:val="clear"/>
            <w:tcMar>
              <w:top w:type="dxa" w:w="70"/>
              <w:left w:type="dxa" w:w="100"/>
              <w:bottom w:type="dxa" w:w="70"/>
              <w:right w:type="dxa" w:w="100"/>
            </w:tcMar>
          </w:tcPr>
          <w:p>
            <w:r>
              <w:rPr>
                <w:sz w:val="19"/>
                <w:szCs w:val="19"/>
              </w:rPr>
              <w:t xml:space="preserve">Sections 6, 7, 8 - each Mermaid flow and scope row becomes a numbered functional requirement with acceptance criteria</w:t>
            </w:r>
          </w:p>
        </w:tc>
      </w:tr>
    </w:tbl>
    <w:p>
      <w:pPr>
        <w:spacing w:after="160" w:line="276"/>
      </w:pPr>
      <w:r>
        <w:rPr>
          <w:b w:val="false"/>
          <w:bCs w:val="false"/>
          <w:i w:val="false"/>
          <w:iCs w:val="false"/>
          <w:color w:val="1A1A1A"/>
          <w:sz w:val="22"/>
          <w:szCs w:val="22"/>
        </w:rPr>
        <w:t xml:space="preserve">This is intentional: producing them as extractions rather than independently authored documents guarantees they cannot drift from the architecture, which is the single most common documentation failure in enterprise programs of this size.</w:t>
      </w:r>
    </w:p>
    <w:p>
      <w:r>
        <w:br w:type="page"/>
      </w:r>
    </w:p>
    <w:p>
      <w:pPr>
        <w:pStyle w:val="Heading1"/>
        <w:spacing w:before="400" w:after="200"/>
      </w:pPr>
      <w:r>
        <w:rPr>
          <w:b/>
          <w:bCs/>
          <w:color w:val="1F3864"/>
          <w:sz w:val="32"/>
          <w:szCs w:val="32"/>
        </w:rPr>
        <w:t xml:space="preserve">13. Open Questions &amp; Assumptions</w:t>
      </w:r>
    </w:p>
    <w:p>
      <w:pPr>
        <w:pStyle w:val="Heading2"/>
        <w:spacing w:before="300" w:after="150"/>
      </w:pPr>
      <w:r>
        <w:rPr>
          <w:b/>
          <w:bCs/>
          <w:color w:val="2E75B6"/>
          <w:sz w:val="26"/>
          <w:szCs w:val="26"/>
        </w:rPr>
        <w:t xml:space="preserve">13.1 Assumptions Made in This Draft</w:t>
      </w:r>
    </w:p>
    <w:p>
      <w:pPr>
        <w:pStyle w:val="ListParagraph"/>
        <w:numPr>
          <w:ilvl w:val="0"/>
          <w:numId w:val="1"/>
        </w:numPr>
        <w:spacing w:after="80"/>
      </w:pPr>
      <w:r>
        <w:rPr>
          <w:sz w:val="22"/>
          <w:szCs w:val="22"/>
        </w:rPr>
        <w:t xml:space="preserve">Target initial markets are US, India, and EU (drives BC-11/BC-12 scope) - confirm or adjust before Vol. 5.</w:t>
      </w:r>
    </w:p>
    <w:p>
      <w:pPr>
        <w:pStyle w:val="ListParagraph"/>
        <w:numPr>
          <w:ilvl w:val="0"/>
          <w:numId w:val="1"/>
        </w:numPr>
        <w:spacing w:after="80"/>
      </w:pPr>
      <w:r>
        <w:rPr>
          <w:sz w:val="22"/>
          <w:szCs w:val="22"/>
        </w:rPr>
        <w:t xml:space="preserve">Payroll (BC-10) is scoped as Release 3 given its heavy per-country statutory complexity - confirm this is acceptable given business timeline.</w:t>
      </w:r>
    </w:p>
    <w:p>
      <w:pPr>
        <w:pStyle w:val="ListParagraph"/>
        <w:numPr>
          <w:ilvl w:val="0"/>
          <w:numId w:val="1"/>
        </w:numPr>
        <w:spacing w:after="80"/>
      </w:pPr>
      <w:r>
        <w:rPr>
          <w:sz w:val="22"/>
          <w:szCs w:val="22"/>
        </w:rPr>
        <w:t xml:space="preserve">"Enterprise-class" is interpreted as multi-tenant SaaS with per-tenant data isolation, not single-tenant on-prem deployments. If on-prem/self-hosted is required, Vol. 4 and Vol. 7 scope changes substantially.</w:t>
      </w:r>
    </w:p>
    <w:p>
      <w:pPr>
        <w:pStyle w:val="ListParagraph"/>
        <w:numPr>
          <w:ilvl w:val="0"/>
          <w:numId w:val="1"/>
        </w:numPr>
        <w:spacing w:after="80"/>
      </w:pPr>
      <w:r>
        <w:rPr>
          <w:sz w:val="22"/>
          <w:szCs w:val="22"/>
        </w:rPr>
        <w:t xml:space="preserve">AI features (BC-18) are scoped as a differentiator, not MVP-blocking - confirm priority relative to core accounting parity.</w:t>
      </w:r>
    </w:p>
    <w:p>
      <w:pPr>
        <w:pStyle w:val="Heading2"/>
        <w:spacing w:before="300" w:after="150"/>
      </w:pPr>
      <w:r>
        <w:rPr>
          <w:b/>
          <w:bCs/>
          <w:color w:val="2E75B6"/>
          <w:sz w:val="26"/>
          <w:szCs w:val="26"/>
        </w:rPr>
        <w:t xml:space="preserve">13.2 Open Questions for Stakeholder Sign-off</w:t>
      </w:r>
    </w:p>
    <w:p>
      <w:pPr>
        <w:pStyle w:val="ListParagraph"/>
        <w:numPr>
          <w:ilvl w:val="0"/>
          <w:numId w:val="2"/>
        </w:numPr>
        <w:spacing w:after="80"/>
      </w:pPr>
      <w:r>
        <w:rPr>
          <w:sz w:val="22"/>
          <w:szCs w:val="22"/>
        </w:rPr>
        <w:t xml:space="preserve">Which countries must be supported for tax compliance at MVP vs. later releases?</w:t>
      </w:r>
    </w:p>
    <w:p>
      <w:pPr>
        <w:pStyle w:val="ListParagraph"/>
        <w:numPr>
          <w:ilvl w:val="0"/>
          <w:numId w:val="2"/>
        </w:numPr>
        <w:spacing w:after="80"/>
      </w:pPr>
      <w:r>
        <w:rPr>
          <w:sz w:val="22"/>
          <w:szCs w:val="22"/>
        </w:rPr>
        <w:t xml:space="preserve">Is a native mobile app required at MVP, or is a responsive web app sufficient for Release 1?</w:t>
      </w:r>
    </w:p>
    <w:p>
      <w:pPr>
        <w:pStyle w:val="ListParagraph"/>
        <w:numPr>
          <w:ilvl w:val="0"/>
          <w:numId w:val="2"/>
        </w:numPr>
        <w:spacing w:after="80"/>
      </w:pPr>
      <w:r>
        <w:rPr>
          <w:sz w:val="22"/>
          <w:szCs w:val="22"/>
        </w:rPr>
        <w:t xml:space="preserve">Should the accountant/bookkeeper multi-client experience (PER-03) be a Release 1 requirement, given it materially affects the tenant/org data model in Vol. 4?</w:t>
      </w:r>
    </w:p>
    <w:p>
      <w:pPr>
        <w:pStyle w:val="ListParagraph"/>
        <w:numPr>
          <w:ilvl w:val="0"/>
          <w:numId w:val="2"/>
        </w:numPr>
        <w:spacing w:after="80"/>
      </w:pPr>
      <w:r>
        <w:rPr>
          <w:sz w:val="22"/>
          <w:szCs w:val="22"/>
        </w:rPr>
        <w:t xml:space="preserve">What is the expected initial tenant scale (100s vs. 10,000s of organizations) - this directly sizes the infrastructure targets in Vol. 7?</w:t>
      </w:r>
    </w:p>
    <w:p>
      <w:pPr>
        <w:pStyle w:val="ListParagraph"/>
        <w:numPr>
          <w:ilvl w:val="0"/>
          <w:numId w:val="2"/>
        </w:numPr>
        <w:spacing w:after="80"/>
      </w:pPr>
      <w:r>
        <w:rPr>
          <w:sz w:val="22"/>
          <w:szCs w:val="22"/>
        </w:rPr>
        <w:t xml:space="preserve">Is white-labeling / reseller packaging in scope for any edition?</w:t>
      </w:r>
    </w:p>
    <w:p>
      <w:pPr>
        <w:pStyle w:val="Heading2"/>
        <w:spacing w:before="300" w:after="150"/>
      </w:pPr>
      <w:r>
        <w:rPr>
          <w:b/>
          <w:bCs/>
          <w:color w:val="2E75B6"/>
          <w:sz w:val="26"/>
          <w:szCs w:val="26"/>
        </w:rPr>
        <w:t xml:space="preserve">13.3 Next Phase</w:t>
      </w:r>
    </w:p>
    <w:p>
      <w:pPr>
        <w:spacing w:after="160" w:line="276"/>
      </w:pPr>
      <w:r>
        <w:rPr>
          <w:b w:val="false"/>
          <w:bCs w:val="false"/>
          <w:i w:val="false"/>
          <w:iCs w:val="false"/>
          <w:color w:val="1A1A1A"/>
          <w:sz w:val="22"/>
          <w:szCs w:val="22"/>
        </w:rPr>
        <w:t xml:space="preserve">On approval of this volume, Phase 2 begins: Application Architecture (Volume 2), which will take the 21 capability domains from Section 5 and produce the module dependency diagram, C4 context/container/component diagrams, domain-driven design bounded contexts, and UML class/sequence diagrams needed to hand off to database and API design. Please review Sections 4-8 in particular, since capability IDs and value-stream names defined there become permanent references from this point forward.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Enterprise Architecture Blueprint - Vol. 1: Business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 Blueprint - Volume 1: Business Architecture</dc:title>
  <dc:creator>Claude</dc:creator>
  <cp:lastModifiedBy>Un-named</cp:lastModifiedBy>
  <cp:revision>1</cp:revision>
  <dcterms:created xsi:type="dcterms:W3CDTF">2026-07-13T05:30:05.676Z</dcterms:created>
  <dcterms:modified xsi:type="dcterms:W3CDTF">2026-07-13T05:30:05.676Z</dcterms:modified>
</cp:coreProperties>
</file>

<file path=docProps/custom.xml><?xml version="1.0" encoding="utf-8"?>
<Properties xmlns="http://schemas.openxmlformats.org/officeDocument/2006/custom-properties" xmlns:vt="http://schemas.openxmlformats.org/officeDocument/2006/docPropsVTypes"/>
</file>