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/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ENTERPRISE ARCHITECTURE BLUEPRINT</w:t>
      </w:r>
    </w:p>
    <w:p>
      <w:pPr>
        <w:spacing w:before="200" w:after="100"/>
        <w:jc w:val="center"/>
      </w:pPr>
      <w:r>
        <w:rPr>
          <w:color w:val="2E75B6"/>
          <w:sz w:val="32"/>
          <w:szCs w:val="32"/>
        </w:rPr>
        <w:t xml:space="preserve">Cloud Accounting &amp; Business Management Platform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(Codename "Ledger" - Zoho Books-class product)</w:t>
      </w:r>
    </w:p>
    <w:p>
      <w:pPr>
        <w:spacing w:before="800" w:after="100"/>
        <w:jc w:val="center"/>
      </w:pPr>
      <w:r>
        <w:rPr>
          <w:b/>
          <w:bCs/>
          <w:color w:val="1F3864"/>
          <w:sz w:val="30"/>
          <w:szCs w:val="30"/>
        </w:rPr>
        <w:t xml:space="preserve">VOLUME 4 OF 9</w:t>
      </w:r>
    </w:p>
    <w:p>
      <w:pPr>
        <w:spacing w:after="100"/>
        <w:jc w:val="center"/>
      </w:pPr>
      <w:r>
        <w:rPr>
          <w:b/>
          <w:bCs/>
          <w:color w:val="2E75B6"/>
          <w:sz w:val="40"/>
          <w:szCs w:val="40"/>
        </w:rPr>
        <w:t xml:space="preserve">DATA ARCHITECTURE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ER Diagrams - Physical Schema - Indexing &amp; Partitioning - RLS - Migrations</w:t>
      </w:r>
    </w:p>
    <w:p>
      <w:pPr>
        <w:spacing w:before="4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 - v0.1 - Phase 4 of 9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caldim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(Enterprise Architecture Assistant)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 July 2026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Internal - Pre-Development Planning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Upstream Dependency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Business Architecture; Vol. 2 Application Architecture (bounded contexts, UML); Vol. 3 Technical Architecture (PostgreSQL, shared-schema + RLS multi-tenancy decision)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Downstream Volumes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5 Integration Architecture; Vol. 6 Security Architecture; Vol. 7 Infrastructure &amp; Deployment; Vol. 8 Testing &amp; QA; Vol. 9 UI/UX &amp; API Design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1. Introduction &amp; Scope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volume turns the domain model (Vol. 2 Section 8 UML), the bounded-context ownership map (Vol. 2 Section 3.2), and the PostgreSQL/shared-schema/RLS decision (Vol. 3 Section 2.2, 11) into a physical data architecture: entity-relationship diagrams per bounded context, physical table definitions for the highest-traffic entities, indexing and partitioning strategy, the concrete Row-Level Security implementation, and the schema migration and data retention strategy.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Schema Ownership Rule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Consistent with Vol. 3 Section 3 ("a module may only import another module's public export surface"), the same rule applies at the data layer: each bounded context owns a PostgreSQL schema (namespace) and is the only code allowed to write to its own tables. Other contexts read via the owning context's application-layer API (Vol. 2 Section 11), never via direct SQL joins across schema boundaries. Where a report genuinely needs cross-context joins, it queries the OpenSearch read-model (Vol. 3 Section 2.6) built from published domain events, not the transactional schemas directly.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PostgreSQL schema-per-context naming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identity_tenant.*     -- CTX-01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ledger.*              -- CTX-02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receivables.*         -- CTX-03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payables.*            -- CTX-04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banking.*             -- CTX-05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payments.*            -- CTX-06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inventory.*           -- CTX-07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projects.*             -- CTX-08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payroll.*             -- CTX-09 (R3)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tax_compliance.*      -- CTX-10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documents.*           -- CTX-12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collaboration.*       -- CTX-13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automation.*          -- CTX-14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2. Schema Design Principles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2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5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table carries tenant_id and is protected by Row-Level Security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tenant_id UUID NOT NULL on every table; RLS policy per table (Section 7)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ledger is append-only</w:t>
            </w:r>
          </w:p>
        </w:tc>
        <w:tc>
          <w:tcPr>
            <w:tcW w:type="dxa" w:w="5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ledger.journal_entries and ledger.journal_lines have no UPDATE/DELETE grants for the application role; corrections are reversing entries (Vol. 1 Principle P4)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keys are UUIDv7 (time-ordered UUIDs), not sequential integers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Avoids leaking tenant record-count/growth-rate via sequential IDs; time-ordering keeps index locality reasonable despite UUID randomness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is stored as fixed-point NUMERIC, never floating point</w:t>
            </w:r>
          </w:p>
        </w:tc>
        <w:tc>
          <w:tcPr>
            <w:tcW w:type="dxa" w:w="5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NUMERIC(19,4) for amounts, paired with a currency CHAR(3) column (Vol. 3 Section 4.2 CS-03 Money type)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table has created_at, updated_at, and created_by/updated_by audit columns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Populated by application layer, indexed for audit-trail queries (Vol. 1 BC-20)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D6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Soft-delete only where the business allows deletion; financial records are never hard- or soft-deleted, only voided/reversed</w:t>
            </w:r>
          </w:p>
        </w:tc>
        <w:tc>
          <w:tcPr>
            <w:tcW w:type="dxa" w:w="5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is_voided flag + reversing entries for financial tables; deleted_at nullable timestamp for genuinely deletable master data (e.g. draft-only records)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D7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Foreign keys always include tenant_id in the join condition (composite FK or enforced via RLS + application check)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Prevents cross-tenant relationship bugs even if a query bypasses RLS accidentally (defense in depth)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3. Entity-Relationship Diagrams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ER diagrams are grouped by bounded context/schema, matching Section 1.2's ownership rule. Cross-schema references shown as dashed relationships are logical (enforced at the application layer + eventual consistency via domain events), not physical foreign keys, per Section 1.2.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Identity &amp; Tenant Schema (CTX-01)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ER diagram - identity_tenant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erDiagram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TENANT ||--o{ ORG_USER : has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TENANT ||--o{ ROLE : defines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ROLE ||--o{ ROLE_PERMISSION : grants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ORG_USER ||--o{ USER_ROLE : assigned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ROLE ||--o{ USER_ROLE : assigned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TENANT ||--o{ EDITION_ENTITLEMENT : has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TENANT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name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default_currency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edition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timestamptz created_at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ORG_USER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email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display_name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boolean is_active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ROLE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name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boolean is_system_defined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USER_ROLE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user_id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role_id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Ledger Schema (CTX-02)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ER diagram - ledger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erDiagram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ACCOUNT ||--o{ JOURNAL_LINE : posted_to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JOURNAL_ENTRY ||--|{ JOURNAL_LINE : contains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FISCAL_PERIOD ||--o{ JOURNAL_ENTRY : belongs_to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ACCOUNT ||--o{ ACCOUNT : parent_of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ACCOUNT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code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name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account_type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parent_account_id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boolean is_system_defined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JOURNAL_ENTRY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date entry_date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source_module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source_reference_id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boolean is_locked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boolean is_reversal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reverses_entry_id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JOURNAL_LINE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journal_entry_id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account_id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debit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credit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char currency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exchange_rate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FISCAL_PERIOD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date start_date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date end_date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boolean is_locked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3.3 Receivables Schema (CTX-03)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ER diagram - receivables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erDiagram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CUSTOMER ||--o{ QUOTE : requests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CUSTOMER ||--o{ INVOICE : billed_to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QUOTE ||--o| SALES_ORDER : converts_to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SALES_ORDER ||--o| INVOICE : converts_to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INVOICE ||--|{ INVOICE_LINE_ITEM : contains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INVOICE ||--o{ PAYMENT : receives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INVOICE ||--o{ CREDIT_NOTE : offset_by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CUSTOMER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name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default_currency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int payment_terms_days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INVOICE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customer_id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invoice_number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status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total_amount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balance_due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date due_date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boolean is_recurring_generated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recurrence_rule_id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INVOICE_LINE_ITEM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invoice_id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item_id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quantity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unit_price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tax_amount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PAYMENT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invoice_id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amount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date payment_date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method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idempotency_key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3.4 Payables &amp; Inventory Schemas (CTX-04, CTX-07)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ER diagram - payables and inventory schemas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erDiagram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VENDOR ||--o{ PURCHASE_ORDER : receives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PURCHASE_ORDER ||--o| BILL : matched_to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BILL ||--|{ BILL_LINE_ITEM : contains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ITEM ||--o{ BILL_LINE_ITEM : references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ITEM ||--o{ STOCK_ADJUSTMENT : adjusted_by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ITEM ||--o{ ITEM_BATCH : tracked_by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VENDOR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name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default_currency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BILL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vendor_id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purchase_order_id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status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total_amount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match_status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ITEM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sku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name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cost_price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sale_price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valuation_method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STOCK_ADJUSTMENT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item_id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quantity_delta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reason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ITEM_BATCH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id PK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tenant_id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uuid item_id FK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string batch_number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date expiry_date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numeric quantity_on_hand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}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4. Physical Schema Design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DDL for all ~120 tables across 16 schemas belongs in the migration source tree, not this document. This section gives representative DDL for the three highest-risk tables (per Vol. 2 Section 8's flagged critical flows) to fix the concrete column-level conventions every other table must follow.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ledger.journal_lines (append-only, highest write volume)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DDL - ledger.journal_lines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CREATE TABLE ledger.journal_lines (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id              uuid PRIMARY KEY DEFAULT uuid_generate_v7(),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tenant_id       uuid NOT NULL REFERENCES identity_tenant.tenants(id),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journal_entry_id uuid NOT NULL REFERENCES ledger.journal_entries(id),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account_id      uuid NOT NULL REFERENCES ledger.accounts(id),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debit           numeric(19,4) NOT NULL DEFAULT 0,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credit          numeric(19,4) NOT NULL DEFAULT 0,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currency        char(3) NOT NULL,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exchange_rate   numeric(12,6) NOT NULL DEFAULT 1,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created_at      timestamptz NOT NULL DEFAULT now(),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created_by      uuid NOT NULL,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CONSTRAINT chk_one_sided CHECK (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(debit &gt; 0 AND credit = 0) OR (credit &gt; 0 AND debit = 0)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) PARTITION BY RANGE (created_at);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ALTER TABLE ledger.journal_lines ENABLE ROW LEVEL SECURITY;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-- No UPDATE or DELETE grants issued to the application role (Principle D2)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receivables.invoices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DDL - receivables.invoices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CREATE TABLE receivables.invoices (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id              uuid PRIMARY KEY DEFAULT uuid_generate_v7(),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tenant_id       uuid NOT NULL REFERENCES identity_tenant.tenants(id),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customer_id     uuid NOT NULL REFERENCES receivables.customers(id),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invoice_number  varchar(32) NOT NULL,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status          varchar(20) NOT NULL DEFAULT 'Draft',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total_amount    numeric(19,4) NOT NULL DEFAULT 0,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balance_due     numeric(19,4) NOT NULL DEFAULT 0,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currency        char(3) NOT NULL,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due_date        date,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is_voided       boolean NOT NULL DEFAULT false,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created_at      timestamptz NOT NULL DEFAULT now(),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updated_at      timestamptz NOT NULL DEFAULT now(),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created_by      uuid NOT NULL,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updated_by      uuid NOT NULL,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UNIQUE (tenant_id, invoice_number)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);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ALTER TABLE receivables.invoices ENABLE ROW LEVEL SECURITY;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identity_tenant.tenants (root of tenancy)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DDL - identity_tenant.tenants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CREATE TABLE identity_tenant.tenants (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id               uuid PRIMARY KEY DEFAULT uuid_generate_v7(),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name             varchar(255) NOT NULL,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default_currency char(3) NOT NULL,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edition          varchar(20) NOT NULL DEFAULT 'standard',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is_active        boolean NOT NULL DEFAULT true,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created_at       timestamptz NOT NULL DEFAULT now()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);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-- tenants table itself has no tenant_id (it IS the tenant boundary) and no RLS policy;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-- access to it is restricted at the application-role level instead (Vol.6 will formalize).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5. Indexing Strategy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ledger.journal_lines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(tenant_id, account_id, created_at)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ledger/statement queries (most common read pattern)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ledger.journal_lines</w:t>
            </w:r>
          </w:p>
        </w:tc>
        <w:tc>
          <w:tcPr>
            <w:tcW w:type="dxa" w:w="3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(tenant_id, journal_entry_id)</w:t>
            </w:r>
          </w:p>
        </w:tc>
        <w:tc>
          <w:tcPr>
            <w:tcW w:type="dxa" w:w="3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Fetch all lines for a given journal entry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receivables.invoices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(tenant_id, status, due_date)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Aging reports, overdue-invoice job (Vol.3 Section 9)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receivables.invoices</w:t>
            </w:r>
          </w:p>
        </w:tc>
        <w:tc>
          <w:tcPr>
            <w:tcW w:type="dxa" w:w="3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(tenant_id, customer_id)</w:t>
            </w:r>
          </w:p>
        </w:tc>
        <w:tc>
          <w:tcPr>
            <w:tcW w:type="dxa" w:w="3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statement / portal view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receivables.invoices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 (tenant_id, invoice_number)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Enforce human-readable numbering uniqueness per tenant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inventory.items</w:t>
            </w:r>
          </w:p>
        </w:tc>
        <w:tc>
          <w:tcPr>
            <w:tcW w:type="dxa" w:w="3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(tenant_id, sku)</w:t>
            </w:r>
          </w:p>
        </w:tc>
        <w:tc>
          <w:tcPr>
            <w:tcW w:type="dxa" w:w="3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SKU lookup, unique constraint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banking.bank_transactions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(tenant_id, bank_account_id, transaction_date)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Reconciliation screen queries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*.* (all tables)</w:t>
            </w:r>
          </w:p>
        </w:tc>
        <w:tc>
          <w:tcPr>
            <w:tcW w:type="dxa" w:w="3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(tenant_id, id) composite or tenant_id as leading column on every index</w:t>
            </w:r>
          </w:p>
        </w:tc>
        <w:tc>
          <w:tcPr>
            <w:tcW w:type="dxa" w:w="3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query is tenant-scoped (RLS-driven); leading tenant_id keeps index scans tenant-local even under a shared table</w:t>
            </w:r>
          </w:p>
        </w:tc>
      </w:tr>
    </w:tbl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General rule: tenant_id is always the leading column of every composite index, since RLS means every query implicitly filters on it - a non-leading tenant_id would force the planner to scan across tenants before filtering.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6. Partitioning Strategy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Only tables with unbounded per-tenant growth and high aggregate write volume across all tenants are partitioned; small reference tables are not, to avoid unnecessary operational complexity.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Partition Strategy</w:t>
            </w:r>
          </w:p>
        </w:tc>
        <w:tc>
          <w:tcPr>
            <w:tcW w:type="dxa" w:w="3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ledger.journal_lines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RANGE partition by created_at, monthly, with pg_partman automating new-partition creation and old-partition archival</w:t>
            </w:r>
          </w:p>
        </w:tc>
        <w:tc>
          <w:tcPr>
            <w:tcW w:type="dxa" w:w="3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Highest write-volume table across all tenants combined; monthly partitions keep index size and vacuum time bounded; old partitions can be moved to cheaper storage tiers per Section 10 retention policy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receivables.invoice_line_items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RANGE partition by created_at, quarterly</w:t>
            </w:r>
          </w:p>
        </w:tc>
        <w:tc>
          <w:tcPr>
            <w:tcW w:type="dxa" w:w="3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 volume but lower than journal_lines; quarterly balances partition count against per-partition size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banking.bank_transactions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RANGE partition by transaction_date, monthly</w:t>
            </w:r>
          </w:p>
        </w:tc>
        <w:tc>
          <w:tcPr>
            <w:tcW w:type="dxa" w:w="3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Continuous high-volume ingestion from bank feeds across all tenants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Audit/change-log tables (Vol.1 BC-20)</w:t>
            </w:r>
          </w:p>
        </w:tc>
        <w:tc>
          <w:tcPr>
            <w:tcW w:type="dxa" w:w="3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RANGE partition by created_at, monthly, with aggressive archival after the compliance retention window (Section 10)</w:t>
            </w:r>
          </w:p>
        </w:tc>
        <w:tc>
          <w:tcPr>
            <w:tcW w:type="dxa" w:w="3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Write-heavy, rarely read except for audits; safe to move to cold storage quickly</w:t>
            </w:r>
          </w:p>
        </w:tc>
      </w:tr>
    </w:tbl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Explicitly NOT partitioned at Release 1: identity_tenant.tenants, ledger.accounts, receivables.customers, inventory.items - these are reference/master data with bounded per-tenant row counts (Section 11 classification).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7. Row-Level Security Implementation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Implements the Vol. 3 Section 11 decision. Every tenant-scoped table gets an identical policy shape, generated by a migration helper rather than hand-written per table, to guarantee consistency.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RLS policy template (applied per 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ALTER TABLE &lt;schema&gt;.&lt;table&gt; ENABLE ROW LEVEL SECURITY;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CREATE POLICY tenant_isolation ON &lt;schema&gt;.&lt;table&gt;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USING (tenant_id = current_setting('app.current_tenant_id')::uuid)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WITH CHECK (tenant_id = current_setting('app.current_tenant_id')::uuid);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-- Application connection sets this once per request (Vol.3 Section 11.2):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-- SET app.current_tenant_id = '8f2a1c...';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Safeguard</w:t>
            </w:r>
          </w:p>
        </w:tc>
        <w:tc>
          <w:tcPr>
            <w:tcW w:type="dxa" w:w="7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BYPASSRLS role in application connections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application's PostgreSQL role never has BYPASSRLS or superuser; only a narrowly-scoped migration/ops role does, used exclusively for schema changes, never application traffic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Fail-closed default</w:t>
            </w:r>
          </w:p>
        </w:tc>
        <w:tc>
          <w:tcPr>
            <w:tcW w:type="dxa" w:w="7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If app.current_tenant_id is not set on a connection, the policy evaluates to false for every row (no accidental full-table access) rather than failing open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Connection pooling caveat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Because RLS relies on a session-local setting, the connection pooler (e.g. PgBouncer) must run in session mode for tenant-scoped connections, or the tenant context must be re-set on every checkout in transaction-pooling mode - this is a hard requirement for Vol. 7's infrastructure sizing</w:t>
            </w:r>
          </w:p>
        </w:tc>
      </w:tr>
      <w:tr>
        <w:tc>
          <w:tcPr>
            <w:tcW w:type="dxa" w:w="2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Automated test</w:t>
            </w:r>
          </w:p>
        </w:tc>
        <w:tc>
          <w:tcPr>
            <w:tcW w:type="dxa" w:w="7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 includes a cross-tenant-leakage test suite (Vol. 8) that attempts to read tenant B's data while scoped to tenant A and asserts zero rows returned, run against every table with RLS enabled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8. Data Types &amp; Column Conventions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 Concept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PostgreSQL Type</w:t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uuid DEFAULT uuid_generate_v7()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Time-ordered UUID (Section 2, D3)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amount</w:t>
            </w:r>
          </w:p>
        </w:tc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numeric(19,4)</w:t>
            </w:r>
          </w:p>
        </w:tc>
        <w:tc>
          <w:tcPr>
            <w:tcW w:type="dxa" w:w="35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Paired with a char(3) currency column; never numeric without explicit precision, never float/double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Currency code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char(3)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ISO 4217 (USD, EUR, INR, ...)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Status/enum fields</w:t>
            </w:r>
          </w:p>
        </w:tc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 with a CHECK constraint (not native PG enum)</w:t>
            </w:r>
          </w:p>
        </w:tc>
        <w:tc>
          <w:tcPr>
            <w:tcW w:type="dxa" w:w="35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 chosen over native enum so new statuses can be added without a blocking ALTER TYPE migration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Always timezone-aware; never naive timestamp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Dates without time (e.g. due_date)</w:t>
            </w:r>
          </w:p>
        </w:tc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35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only where the business concept has no time component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 columns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created_at, updated_at timestamptz; created_by, updated_by uuid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Present on every table; updated_at maintained by a trigger, not application code, to guarantee correctness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Soft-delete flag</w:t>
            </w:r>
          </w:p>
        </w:tc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deleted_at timestamptz NULL (nullable = not deleted)</w:t>
            </w:r>
          </w:p>
        </w:tc>
        <w:tc>
          <w:tcPr>
            <w:tcW w:type="dxa" w:w="35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on genuinely deletable master data (Section 2, D6); never on financial transaction tables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JSON/custom fields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jsonb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Backs Vol.1 BC-17 custom fields; indexed with a GIN index where queried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9. Migration Strategy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9.1 Tooling &amp; Process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Schema migrations are managed with a code-first migration tool (e.g. node-pg-migrate or Prisma Migrate, consistent with the TypeScript stack in Vol. 3) with every migration checked into the same monorepo as the module it belongs to (Vol. 3 Section 3.2).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Because the platform uses a single shared schema per environment (not per-tenant databases, Vol. 3 Section 11), a migration runs once per environment and applies to all tenants simultaneously - this makes migration safety a first-class operational concern, not an edge case.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migrations must be backward-compatible with the currently-deployed application version for at least one release cycle (expand/contract pattern): add new columns as nullable or with defaults first, deploy code that writes to both old and new shapes, backfill, then drop the old column in a later migration.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Destructive migrations (DROP COLUMN, DROP TABLE) require a two-step process: mark deprecated in one release, physically remove in the next, with a manual sign-off gate (Vol. 8 CI pipeline).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9.2 Zero-Downtime Migration Pattern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Expand/contract migration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flowchart LR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A[Release N: Add new nullable column/table] --&gt; B[Deploy app code that writes both old + new shape]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B --&gt; C[Backfill existing rows - batched, rate-limited background job]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 --&gt; D[Deploy app code that reads only from new shape]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D --&gt; E[Release N+1: Migration drops old column/table]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9.3 Large-Table Migration Safety (journal_lines, invoice_line_items)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Because these tables are partitioned (Section 6), schema changes are applied per-partition in small batches rather than as a single blocking ALTER TABLE across the entire (potentially billions-of-rows) table - avoiding long-held locks that would stall the append-only ledger writes financial correctness depends on.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10. Data Retention &amp; Archival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6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Category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Retention Policy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Archival Mechanism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ledger data (journal_entries, journal_lines)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Retained indefinitely online for the tenant's active subscription; statutory minimum 7 years even after tenant offboarding (varies by jurisdiction - Vol.5/6 to confirm per-country requirements)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Partitions older than 24 months moved to cheaper storage tier (Section 6); still queryable, just slower</w:t>
            </w:r>
          </w:p>
        </w:tc>
      </w:tr>
      <w:tr>
        <w:tc>
          <w:tcPr>
            <w:tcW w:type="dxa" w:w="2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Transactional documents (invoices, bills)</w:t>
            </w:r>
          </w:p>
        </w:tc>
        <w:tc>
          <w:tcPr>
            <w:tcW w:type="dxa" w:w="4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as ledger - these are the source records for statutory retention</w:t>
            </w:r>
          </w:p>
        </w:tc>
        <w:tc>
          <w:tcPr>
            <w:tcW w:type="dxa" w:w="26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partition-tiering approach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 trail / change log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Minimum 7 years per common financial-audit regulatory expectation (to be confirmed per market in Vol.6)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Aggressive partition archival to cold object storage after 12 months</w:t>
            </w:r>
          </w:p>
        </w:tc>
      </w:tr>
      <w:tr>
        <w:tc>
          <w:tcPr>
            <w:tcW w:type="dxa" w:w="2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feed raw transaction imports</w:t>
            </w:r>
          </w:p>
        </w:tc>
        <w:tc>
          <w:tcPr>
            <w:tcW w:type="dxa" w:w="4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years online, then archived (post-reconciliation, raw import data has diminishing operational value)</w:t>
            </w:r>
          </w:p>
        </w:tc>
        <w:tc>
          <w:tcPr>
            <w:tcW w:type="dxa" w:w="26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Cold storage archival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Session/auth data (Redis, Vol.3 Section 7)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TTL-bound, not part of durable retention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N/A - ephemeral by design</w:t>
            </w:r>
          </w:p>
        </w:tc>
      </w:tr>
      <w:tr>
        <w:tc>
          <w:tcPr>
            <w:tcW w:type="dxa" w:w="2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deletion (offboarding)</w:t>
            </w:r>
          </w:p>
        </w:tc>
        <w:tc>
          <w:tcPr>
            <w:tcW w:type="dxa" w:w="4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Soft-deactivate tenant immediately; hard-delete only after the statutory retention window and an explicit data-deletion request (GDPR right-to-erasure interacts with financial retention law - Vol.6 to resolve the precedence)</w:t>
            </w:r>
          </w:p>
        </w:tc>
        <w:tc>
          <w:tcPr>
            <w:tcW w:type="dxa" w:w="26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Export-then-purge workflow, logged for compliance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11. Master Data vs. Transactional Data Classification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classification drives both the partitioning decisions (Section 6) and the caching strategy (Vol. 3 Section 7: master data is cache-friendly, transactional data generally is not).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Master/reference data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tenants, accounts (chart of accounts), customers, vendors, items, tax_rates, roles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 write frequency, bounded row count per tenant, high read frequency, cache-friendly (Vol.3 Section 7.1)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Transactional data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journal_entries, journal_lines, invoices, invoice_line_items, bills, payments, bank_transactions, stock_adjustments</w:t>
            </w:r>
          </w:p>
        </w:tc>
        <w:tc>
          <w:tcPr>
            <w:tcW w:type="dxa" w:w="3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 write frequency, unbounded growth over time, partitioned (Section 6), generally not cached beyond short-TTL aggregates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Derived/read-model data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OpenSearch report indices (Vol.3 Section 2.6), dashboard aggregate cache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Rebuildable from transactional data + events; not a source of truth, never backed up independently of its source events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12. Traceability &amp; Next Phase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12.1 Traceability to Volumes 1-3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Vol. 4 Artifact</w:t>
            </w:r>
          </w:p>
        </w:tc>
        <w:tc>
          <w:tcPr>
            <w:tcW w:type="dxa" w:w="5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Traces To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3 ER Diagrams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2 Section 8 UML Domain Model</w:t>
            </w:r>
          </w:p>
        </w:tc>
      </w:tr>
      <w:tr>
        <w:tc>
          <w:tcPr>
            <w:tcW w:type="dxa" w:w="3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1.2 Schema-per-context ownership</w:t>
            </w:r>
          </w:p>
        </w:tc>
        <w:tc>
          <w:tcPr>
            <w:tcW w:type="dxa" w:w="5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2 Section 3.2 Bounded Context Catalog; Vol. 3 Section 3 module boundary rule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7 Row-Level Security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3 Section 11 Multi-Tenancy Implementation Strategy</w:t>
            </w:r>
          </w:p>
        </w:tc>
      </w:tr>
      <w:tr>
        <w:tc>
          <w:tcPr>
            <w:tcW w:type="dxa" w:w="3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2 D2 Append-only ledger</w:t>
            </w:r>
          </w:p>
        </w:tc>
        <w:tc>
          <w:tcPr>
            <w:tcW w:type="dxa" w:w="5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Principle P4 (Auditability)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6 Partitioning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3 Section 12 Performance &amp; Scalability Targets</w:t>
            </w:r>
          </w:p>
        </w:tc>
      </w:tr>
      <w:tr>
        <w:tc>
          <w:tcPr>
            <w:tcW w:type="dxa" w:w="3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10 Retention</w:t>
            </w:r>
          </w:p>
        </w:tc>
        <w:tc>
          <w:tcPr>
            <w:tcW w:type="dxa" w:w="5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Section 10 Compliance &amp; Regulatory Scope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12.2 Open Questions for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statutory retention periods per target country (US/India/EU per Vol.1 Section 13.1 assumption) so Section 10's retention table can be finalized with exact durations rather than placeholders.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whether PgBouncer session-mode pooling (Section 7 caveat) is acceptable from a connection-scaling standpoint, or whether an alternative RLS-compatible pooling strategy is needed - this materially affects Vol. 7 infrastructure sizing.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migration tooling preference (node-pg-migrate vs Prisma Migrate vs other) if the team has existing expertise to weigh in, since this affects Section 9's tooling choice.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12.3 Next Phase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approval, Phase 5 begins: Integration Architecture (Volume 5) - detailed design for banking/bank-feed integration, payment gateway integration, tax/e-filing integration, and e-commerce channel sync, all consuming the schemas and event contracts fixed in this volume and Volume 2.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Enterprise Architecture Blueprint - Vol. 4: Data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Architecture Blueprint - Volume 4: Data Architecture</dc:title>
  <dc:creator>Claude</dc:creator>
  <cp:lastModifiedBy>Un-named</cp:lastModifiedBy>
  <cp:revision>1</cp:revision>
  <dcterms:created xsi:type="dcterms:W3CDTF">2026-07-13T06:13:46.326Z</dcterms:created>
  <dcterms:modified xsi:type="dcterms:W3CDTF">2026-07-13T06:13:46.327Z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