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/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ENTERPRISE ARCHITECTURE BLUEPRINT</w:t>
      </w:r>
    </w:p>
    <w:p>
      <w:pPr>
        <w:spacing w:before="200" w:after="100"/>
        <w:jc w:val="center"/>
      </w:pPr>
      <w:r>
        <w:rPr>
          <w:color w:val="2E75B6"/>
          <w:sz w:val="32"/>
          <w:szCs w:val="32"/>
        </w:rPr>
        <w:t xml:space="preserve">Cloud Accounting &amp; Business Management Platform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(Codename "Ledger" - Zoho Books-class product)</w:t>
      </w:r>
    </w:p>
    <w:p>
      <w:pPr>
        <w:spacing w:before="800" w:after="100"/>
        <w:jc w:val="center"/>
      </w:pPr>
      <w:r>
        <w:rPr>
          <w:b/>
          <w:bCs/>
          <w:color w:val="1F3864"/>
          <w:sz w:val="30"/>
          <w:szCs w:val="30"/>
        </w:rPr>
        <w:t xml:space="preserve">VOLUME 6 OF 9</w:t>
      </w:r>
    </w:p>
    <w:p>
      <w:pPr>
        <w:spacing w:after="100"/>
        <w:jc w:val="center"/>
      </w:pPr>
      <w:r>
        <w:rPr>
          <w:b/>
          <w:bCs/>
          <w:color w:val="2E75B6"/>
          <w:sz w:val="40"/>
          <w:szCs w:val="40"/>
        </w:rPr>
        <w:t xml:space="preserve">SECURITY ARCHITECTURE</w:t>
      </w:r>
    </w:p>
    <w:p>
      <w:pPr>
        <w:spacing w:after="1200"/>
        <w:jc w:val="center"/>
      </w:pPr>
      <w:r>
        <w:rPr>
          <w:color w:val="595959"/>
          <w:sz w:val="22"/>
          <w:szCs w:val="22"/>
        </w:rPr>
        <w:t xml:space="preserve">Threat Model - IAM &amp; RBAC - Encryption - Secrets - Audit Trail - Compliance</w:t>
      </w:r>
    </w:p>
    <w:p>
      <w:pPr>
        <w:spacing w:before="4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 Status</w:t>
            </w:r>
          </w:p>
        </w:tc>
        <w:tc>
          <w:tcPr>
            <w:tcW w:type="dxa" w:w="6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Draft - v0.1 - Phase 6 of 9</w:t>
            </w:r>
          </w:p>
        </w:tc>
      </w:tr>
      <w:tr>
        <w:tc>
          <w:tcPr>
            <w:tcW w:type="dxa" w:w="3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Prepared For</w:t>
            </w:r>
          </w:p>
        </w:tc>
        <w:tc>
          <w:tcPr>
            <w:tcW w:type="dxa" w:w="63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caldim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Prepared By</w:t>
            </w:r>
          </w:p>
        </w:tc>
        <w:tc>
          <w:tcPr>
            <w:tcW w:type="dxa" w:w="6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Claude (Enterprise Architecture Assistant)</w:t>
            </w:r>
          </w:p>
        </w:tc>
      </w:tr>
      <w:tr>
        <w:tc>
          <w:tcPr>
            <w:tcW w:type="dxa" w:w="3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3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 July 2026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Internal - Pre-Development Planning - Sensitive</w:t>
            </w:r>
          </w:p>
        </w:tc>
      </w:tr>
      <w:tr>
        <w:tc>
          <w:tcPr>
            <w:tcW w:type="dxa" w:w="3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Upstream Dependency</w:t>
            </w:r>
          </w:p>
        </w:tc>
        <w:tc>
          <w:tcPr>
            <w:tcW w:type="dxa" w:w="63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1 BC-20, Section 10 Compliance; Vol. 2 CTX-01 Identity &amp; Tenant; Vol. 3 Section 11 RLS multi-tenancy; Vol. 4 Section 7 RLS implementation; Vol. 5 Section 4.2 PCI scope, Section 9 credential store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Downstream Volumes</w:t>
            </w:r>
          </w:p>
        </w:tc>
        <w:tc>
          <w:tcPr>
            <w:tcW w:type="dxa" w:w="6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7 Infrastructure &amp; Deployment; Vol. 8 Testing &amp; QA; Vol. 9 UI/UX &amp; API Design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1. Introduction &amp; Scope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1.1 Purpose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volume formalizes the security posture implied but not fully specified in earlier volumes: the threat model, identity and access management design, encryption and secrets management standards, API/network security, defense-in-depth for multi-tenant isolation, audit-trail tamper-evidence, and the mapping from all of the above to concrete compliance frameworks (SOC 2, GDPR, PCI, and HIPAA where contingently applicable per Vol. 1 Section 10).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1.2 Security Principles Inherited From Earlier Volumes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Vol. 1 Principle P4 (auditability): every financial mutation is append-only and traceable - Section 9 of this volume defines how that trail is made tamper-evident.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Vol. 3 Section 11 (shared schema + RLS): this volume's Section 8 treats RLS as one layer of defense-in-depth, not the only control.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Vol. 5 Principle I3 (webhook signature verification) and Section 4.2 (PCI SAQ-A via tokenization): this volume's Section 5-6 generalize those patterns platform-wide.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Vol. 2 Section 5 API Gateway as the single ingress point: this volume's Section 7 defines what runs at that boundary.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2. Threat Model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Threats are organized using STRIDE (Spoofing, Tampering, Repudiation, Information Disclosure, Denial of Service, Elevation of Privilege) against the highest-value assets identified across Vol. 1-5: tenant data isolation, financial transaction integrity, and stored credentials/tokens.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2.1 Asset Inventory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17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Owning Volume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Tenant financial data (ledger, invoices, bills)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Core business value; unauthorized disclosure or tampering is catastrophic for trust and regulatory standing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4</w:t>
            </w:r>
          </w:p>
        </w:tc>
      </w:tr>
      <w:tr>
        <w:tc>
          <w:tcPr>
            <w:tcW w:type="dxa" w:w="3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Authentication credentials &amp; session tokens</w:t>
            </w:r>
          </w:p>
        </w:tc>
        <w:tc>
          <w:tcPr>
            <w:tcW w:type="dxa" w:w="4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Compromise enables full account takeover</w:t>
            </w:r>
          </w:p>
        </w:tc>
        <w:tc>
          <w:tcPr>
            <w:tcW w:type="dxa" w:w="1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3, this volume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Third-party API credentials (bank tokens, payment gateway keys)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Compromise enables financial fraud against customers' connected accounts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5 Section 9; Section 6, this volume</w:t>
            </w:r>
          </w:p>
        </w:tc>
      </w:tr>
      <w:tr>
        <w:tc>
          <w:tcPr>
            <w:tcW w:type="dxa" w:w="3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Audit trail / change log</w:t>
            </w:r>
          </w:p>
        </w:tc>
        <w:tc>
          <w:tcPr>
            <w:tcW w:type="dxa" w:w="4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Regulatory and forensic value; must itself be tamper-evident</w:t>
            </w:r>
          </w:p>
        </w:tc>
        <w:tc>
          <w:tcPr>
            <w:tcW w:type="dxa" w:w="1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9, this volume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Tenant configuration (roles, custom fields, workflow rules)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Misconfiguration or tampering can silently weaken a tenant's own controls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2 CTX-14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2.2 STRIDE Analysis by Flow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600"/>
        <w:gridCol w:w="425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Flow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Threat (STRIDE)</w:t>
            </w:r>
          </w:p>
        </w:tc>
        <w:tc>
          <w:tcPr>
            <w:tcW w:type="dxa" w:w="4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 login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Spoofing (credential stuffing, phishing)</w:t>
            </w:r>
          </w:p>
        </w:tc>
        <w:tc>
          <w:tcPr>
            <w:tcW w:type="dxa" w:w="4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MFA (Section 3.3), rate-limited login attempts, breached-password screening</w:t>
            </w:r>
          </w:p>
        </w:tc>
      </w:tr>
      <w:tr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request with JWT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Spoofing (forged/stolen token), Tampering (modified claims)</w:t>
            </w:r>
          </w:p>
        </w:tc>
        <w:tc>
          <w:tcPr>
            <w:tcW w:type="dxa" w:w="42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Short-lived signed JWTs (Section 3.2), signature verification on every request at the Gateway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Cross-tenant data access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Information Disclosure, Elevation of Privilege</w:t>
            </w:r>
          </w:p>
        </w:tc>
        <w:tc>
          <w:tcPr>
            <w:tcW w:type="dxa" w:w="4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RLS (Vol.4 Section 7) + application-layer tenant check (Section 8 defense-in-depth), automated leakage tests (Vol.4 Section 7, Vol.8)</w:t>
            </w:r>
          </w:p>
        </w:tc>
      </w:tr>
      <w:tr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Financial mutation (e.g. void an invoice)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Repudiation (user denies action), Tampering</w:t>
            </w:r>
          </w:p>
        </w:tc>
        <w:tc>
          <w:tcPr>
            <w:tcW w:type="dxa" w:w="42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Append-only ledger (Vol.1 P4), signed audit log entries (Section 9), correlation ID linking action to authenticated user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Inbound webhook (bank, payment gateway, e-commerce)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Spoofing (forged webhook), Tampering</w:t>
            </w:r>
          </w:p>
        </w:tc>
        <w:tc>
          <w:tcPr>
            <w:tcW w:type="dxa" w:w="4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Signature verification (Vol.5 Principle I3), IP allowlisting where the provider supports it</w:t>
            </w:r>
          </w:p>
        </w:tc>
      </w:tr>
      <w:tr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Stored bank/payment credentials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Information Disclosure if database or backups are exposed</w:t>
            </w:r>
          </w:p>
        </w:tc>
        <w:tc>
          <w:tcPr>
            <w:tcW w:type="dxa" w:w="42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Envelope encryption at rest (Section 5.2), secrets never logged (Section 6.3)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Public API / webhook platform (Vol.5 Section 7)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Denial of Service (abusive third-party integrator)</w:t>
            </w:r>
          </w:p>
        </w:tc>
        <w:tc>
          <w:tcPr>
            <w:tcW w:type="dxa" w:w="4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Per-tenant/per-key rate limiting (Vol.3 Section 7.1, Vol.5 Section 7.2)</w:t>
            </w:r>
          </w:p>
        </w:tc>
      </w:tr>
      <w:tr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 role / permission configuration (Vol.1 BC-17)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Elevation of Privilege via misconfigured custom role</w:t>
            </w:r>
          </w:p>
        </w:tc>
        <w:tc>
          <w:tcPr>
            <w:tcW w:type="dxa" w:w="42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Permission matrix has a maximum ceiling per base role (Section 4.2) that a custom role cannot exceed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3. Identity &amp; Access Management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3.1 Authentication Model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69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Primary auth</w:t>
            </w:r>
          </w:p>
        </w:tc>
        <w:tc>
          <w:tcPr>
            <w:tcW w:type="dxa" w:w="69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Email + password (Argon2id hashed, never reversible) or SSO/SAML/OIDC for Enterprise-edition tenants (Vol.1 Section 9 entitlement)</w:t>
            </w:r>
          </w:p>
        </w:tc>
      </w:tr>
      <w:tr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Session tokens</w:t>
            </w:r>
          </w:p>
        </w:tc>
        <w:tc>
          <w:tcPr>
            <w:tcW w:type="dxa" w:w="69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Short-lived JWT access token (15 min) + longer-lived rotating refresh token (httpOnly, secure cookie for web; secure storage for mobile), issued by CTX-01 Identity &amp; Tenant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MFA</w:t>
            </w:r>
          </w:p>
        </w:tc>
        <w:tc>
          <w:tcPr>
            <w:tcW w:type="dxa" w:w="69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TOTP-based MFA available at all editions, enforced by tenant policy at Professional/Enterprise; required unconditionally for any user holding an Admin or Accountant role (Vol.1 PER-01, PER-02)</w:t>
            </w:r>
          </w:p>
        </w:tc>
      </w:tr>
      <w:tr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Portal auth (customers/vendors, Vol.1 PER-09/PER-10)</w:t>
            </w:r>
          </w:p>
        </w:tc>
        <w:tc>
          <w:tcPr>
            <w:tcW w:type="dxa" w:w="69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Separate, more restricted auth flow (magic-link or lightweight password) scoped only to the portal API surface (Vol.2 Section 11 Collaboration &amp; Portals), never granted internal-staff JWT scopes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Service-to-service auth (post-extraction, Vol.2 Section 2.1)</w:t>
            </w:r>
          </w:p>
        </w:tc>
        <w:tc>
          <w:tcPr>
            <w:tcW w:type="dxa" w:w="69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mTLS or signed service tokens between extracted services (Payments, Integration Gateway) and the core application, not end-user JWTs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3.2 JWT Claim Structure</w:t>
      </w:r>
    </w:p>
    <w:p>
      <w:pPr>
        <w:spacing w:before="200" w:after="60"/>
      </w:pPr>
      <w:r>
        <w:rPr>
          <w:b/>
          <w:bCs/>
          <w:i/>
          <w:iCs/>
          <w:color w:val="2E75B6"/>
          <w:sz w:val="20"/>
          <w:szCs w:val="20"/>
        </w:rPr>
        <w:t xml:space="preserve">JWT claims (access token)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"sub": "usr_4471",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"tenantId": "org_8f2a1c",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"roles": ["accountant"],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"permissions": ["receivables:write", "ledger:read", "reporting:read"],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"mfaVerified": true,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"iat": 1752400000,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"exp": 1752400900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spacing w:after="200"/>
      </w:pPr>
      <w:r>
        <w:rPr>
          <w:sz w:val="10"/>
          <w:szCs w:val="10"/>
        </w:rPr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tenantId claim is what Vol. 3 Section 11.2's tenant-context middleware uses to set the RLS session variable - it is set only by CTX-01 at token issuance and is never accepted from a client-supplied header or parameter (Vol. 3 Section 5 tenant-scoping convention).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3.3 Role Model (Base Roles)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50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Maps to Persona (Vol.1)</w:t>
            </w:r>
          </w:p>
        </w:tc>
        <w:tc>
          <w:tcPr>
            <w:tcW w:type="dxa" w:w="5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Default Scope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Owner/Admin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PER-01</w:t>
            </w:r>
          </w:p>
        </w:tc>
        <w:tc>
          <w:tcPr>
            <w:tcW w:type="dxa" w:w="5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Full access to all modules within the tenant's edition entitlement, including user/role management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Accountant</w:t>
            </w:r>
          </w:p>
        </w:tc>
        <w:tc>
          <w:tcPr>
            <w:tcW w:type="dxa" w:w="21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PER-02</w:t>
            </w:r>
          </w:p>
        </w:tc>
        <w:tc>
          <w:tcPr>
            <w:tcW w:type="dxa" w:w="50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Full read/write on Ledger, Receivables, Payables, Banking, Reporting; no user management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External Accountant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PER-03</w:t>
            </w:r>
          </w:p>
        </w:tc>
        <w:tc>
          <w:tcPr>
            <w:tcW w:type="dxa" w:w="5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Same as Accountant, but access is granted per-tenant via an explicit invitation record, not tenant membership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Sales Staff</w:t>
            </w:r>
          </w:p>
        </w:tc>
        <w:tc>
          <w:tcPr>
            <w:tcW w:type="dxa" w:w="21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PER-04</w:t>
            </w:r>
          </w:p>
        </w:tc>
        <w:tc>
          <w:tcPr>
            <w:tcW w:type="dxa" w:w="50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Read/write on Receivables only; read-only on Inventory for stock checks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Purchasing Staff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PER-05</w:t>
            </w:r>
          </w:p>
        </w:tc>
        <w:tc>
          <w:tcPr>
            <w:tcW w:type="dxa" w:w="5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Read/write on Payables only; read-only on Inventory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Inventory Manager</w:t>
            </w:r>
          </w:p>
        </w:tc>
        <w:tc>
          <w:tcPr>
            <w:tcW w:type="dxa" w:w="21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PER-06</w:t>
            </w:r>
          </w:p>
        </w:tc>
        <w:tc>
          <w:tcPr>
            <w:tcW w:type="dxa" w:w="50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Read/write on Inventory; read-only on Receivables/Payables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PER-07</w:t>
            </w:r>
          </w:p>
        </w:tc>
        <w:tc>
          <w:tcPr>
            <w:tcW w:type="dxa" w:w="5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Read/write on Projects; read-only on Receivables for billing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Payroll Admin</w:t>
            </w:r>
          </w:p>
        </w:tc>
        <w:tc>
          <w:tcPr>
            <w:tcW w:type="dxa" w:w="21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PER-08</w:t>
            </w:r>
          </w:p>
        </w:tc>
        <w:tc>
          <w:tcPr>
            <w:tcW w:type="dxa" w:w="50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Read/write on Payroll only (R3)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 (portal)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PER-09</w:t>
            </w:r>
          </w:p>
        </w:tc>
        <w:tc>
          <w:tcPr>
            <w:tcW w:type="dxa" w:w="5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Read-only on own invoices/quotes; write on payments and comments, scoped to the portal API surface only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Vendor (portal)</w:t>
            </w:r>
          </w:p>
        </w:tc>
        <w:tc>
          <w:tcPr>
            <w:tcW w:type="dxa" w:w="21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PER-10</w:t>
            </w:r>
          </w:p>
        </w:tc>
        <w:tc>
          <w:tcPr>
            <w:tcW w:type="dxa" w:w="50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Read-only on own POs/bills; write on bill submission, scoped to the portal API surface only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4. Authorization Model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4.1 Permission Structure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Permissions are expressed as module:action pairs (e.g. receivables:write, ledger:read), matching the bounded-context/API-resource ownership fixed in Vol. 2 Section 11. Every API endpoint declares its required permission(s) at the controller level (Vol. 3 Section 4), and the Gateway/middleware layer rejects any request whose JWT permissions do not include it - authorization is enforced centrally, not re-implemented per module.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4.2 Custom Roles (Vol. 1 BC-17) - Ceiling Rule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Tenant administrators may define custom roles (Enterprise edition, Vol. 1 Section 9) by composing permissions, but a custom role can never grant a permission the composing admin does not themselves hold, and no custom role can exceed the permission ceiling of the closest base role it resembles. This prevents the privilege-escalation threat identified in Section 2.2 where a misconfigured custom role could otherwise grant unintended access.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4.3 Resource-Level Authorization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Role-based permissions grant module-level access; resource-level checks (e.g. "can this Sales Staff user view this specific customer's invoices" under a tenant that restricts by sales territory) are a Release 2/3 capability layered on top of the base RBAC model, implemented as an additional policy check in the domain service layer (Vol. 2 Section 6.1 component pattern), not by modifying the JWT/role model itself.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5. Data Protection &amp; Encryption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5.1 Encryption in Transit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TLS 1.2+ enforced on every external-facing endpoint (web app, API gateway, portal, public API) - no plaintext HTTP, including internal health-check endpoints exposed beyond the deployment network.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Internal service-to-service traffic (post-extraction services, Vol.2 Section 2.1) uses TLS as well, moving toward mTLS as the service count grows (Vol.7 to finalize the service-mesh decision).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5.2 Encryption at Rest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 Category</w:t>
            </w:r>
          </w:p>
        </w:tc>
        <w:tc>
          <w:tcPr>
            <w:tcW w:type="dxa" w:w="6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Encryption Approach</w:t>
            </w:r>
          </w:p>
        </w:tc>
      </w:tr>
      <w:tr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 (PostgreSQL, Vol.4)</w:t>
            </w:r>
          </w:p>
        </w:tc>
        <w:tc>
          <w:tcPr>
            <w:tcW w:type="dxa" w:w="6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Full-disk/volume encryption at the infrastructure layer (Vol.7) plus column-level envelope encryption for the specific high-sensitivity fields below</w:t>
            </w:r>
          </w:p>
        </w:tc>
      </w:tr>
      <w:tr>
        <w:tc>
          <w:tcPr>
            <w:tcW w:type="dxa" w:w="31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Bank/payment provider tokens (Vol.5 Section 9 credential store)</w:t>
            </w:r>
          </w:p>
        </w:tc>
        <w:tc>
          <w:tcPr>
            <w:tcW w:type="dxa" w:w="62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Envelope encryption: each secret encrypted with a data encryption key (DEK), DEKs themselves encrypted by a master key held in a managed KMS (Section 6.1) - the database never stores a usable plaintext credential even if the DB itself is exfiltrated</w:t>
            </w:r>
          </w:p>
        </w:tc>
      </w:tr>
      <w:tr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PII fields (customer/vendor tax ID, personal address on portal accounts)</w:t>
            </w:r>
          </w:p>
        </w:tc>
        <w:tc>
          <w:tcPr>
            <w:tcW w:type="dxa" w:w="6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Column-level encryption using the same envelope pattern, queryable only through the owning module's domain service (Vol.2 Section 6.1), never via raw SQL by another module</w:t>
            </w:r>
          </w:p>
        </w:tc>
      </w:tr>
      <w:tr>
        <w:tc>
          <w:tcPr>
            <w:tcW w:type="dxa" w:w="31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Object storage (documents, exports, Vol.3 Section 2.7)</w:t>
            </w:r>
          </w:p>
        </w:tc>
        <w:tc>
          <w:tcPr>
            <w:tcW w:type="dxa" w:w="62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Server-side encryption at the storage provider level (SSE-S3/KMS-equivalent)</w:t>
            </w:r>
          </w:p>
        </w:tc>
      </w:tr>
      <w:tr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Backups (Vol.7 to detail)</w:t>
            </w:r>
          </w:p>
        </w:tc>
        <w:tc>
          <w:tcPr>
            <w:tcW w:type="dxa" w:w="6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Encrypted with the same at-rest standard as the primary store; backup encryption keys rotated independently of primary DEKs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6. Secrets &amp; Credential Management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6.1 Key Management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A managed Key Management Service (cloud-provider KMS, per Vol. 3 Section 2.1's eventual cloud-provider confirmation) holds the master keys for the envelope-encryption pattern in Section 5.2. Application code never handles a master key directly - it calls the KMS to wrap/unwrap DEKs, and master key rotation is a KMS-native operation that does not require re-encrypting all data at rest.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6.2 Secrets Store (formalizing Vol. 5 Section 9's Credential Store)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Secret Type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Storage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Access Pattern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Tenant bank/payment provider tokens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Encrypted columns in the Integration Gateway's own schema (Vol.4 Section 1.2 ownership rule), envelope-encrypted per Section 5.2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Decrypted only inside the Integration Gateway service at the moment of use; never returned in any API response, even to the owning tenant's admin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Platform-level API keys (KMS credentials, Kafka auth, database connection secrets)</w:t>
            </w:r>
          </w:p>
        </w:tc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dedicated secrets manager (e.g. cloud-provider Secrets Manager/Vault-class), not environment variables in plaintext config files</w:t>
            </w:r>
          </w:p>
        </w:tc>
        <w:tc>
          <w:tcPr>
            <w:tcW w:type="dxa" w:w="33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Injected into the runtime environment at deploy time (Vol.7); rotated on a defined schedule and immediately on suspected compromise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Webhook signing secrets (Vol.5 Section 7.1)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Generated per subscription, stored encrypted, never displayed again after initial creation (only a masked/truncated form shown in the UI)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Verified server-side only; never sent to any client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6.3 Secrets Hygiene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Secrets are never written to application logs (Vol.3 Section 6) - log statements are code-reviewed and CI-scanned for accidental secret interpolation.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Secrets are never committed to the monorepo (Vol.3 Section 3.1) - a pre-commit and CI secret-scanning gate blocks any match against common credential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Every credential has a defined owner and rotation cadence, tracked in an internal secrets inventory (Vol.7 operational runbook).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7. API &amp; Network Security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7.1 API Gateway Security Controls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69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Authentication enforcement</w:t>
            </w:r>
          </w:p>
        </w:tc>
        <w:tc>
          <w:tcPr>
            <w:tcW w:type="dxa" w:w="69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route requires a valid JWT unless explicitly marked public (e.g. login, signup, webhook receivers which use signature verification instead, Vol.5 Section 3.4/7.1)</w:t>
            </w:r>
          </w:p>
        </w:tc>
      </w:tr>
      <w:tr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9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Per-tenant and per-API-key limits (Vol.3 Section 7.1, Vol.5 Section 7.2), plus a global anti-abuse limit per source IP for unauthenticated endpoints (login, signup)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Input validation</w:t>
            </w:r>
          </w:p>
        </w:tc>
        <w:tc>
          <w:tcPr>
            <w:tcW w:type="dxa" w:w="69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Schema validation (DTOs, Vol.3 Section 3.3) rejects malformed requests before they reach domain logic; parameterized queries only, no dynamic SQL (prevents injection)</w:t>
            </w:r>
          </w:p>
        </w:tc>
      </w:tr>
      <w:tr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WAF / edge protection</w:t>
            </w:r>
          </w:p>
        </w:tc>
        <w:tc>
          <w:tcPr>
            <w:tcW w:type="dxa" w:w="69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web application firewall at the edge (Vol.7 to select concrete provider) filters common attack patterns (SQLi, XSS payloads, known bad IP ranges) before traffic reaches the Gateway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CORS policy</w:t>
            </w:r>
          </w:p>
        </w:tc>
        <w:tc>
          <w:tcPr>
            <w:tcW w:type="dxa" w:w="69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Web app and portal origins explicitly allowlisted; no wildcard CORS on any authenticated endpoint</w:t>
            </w:r>
          </w:p>
        </w:tc>
      </w:tr>
      <w:tr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headers</w:t>
            </w:r>
          </w:p>
        </w:tc>
        <w:tc>
          <w:tcPr>
            <w:tcW w:type="dxa" w:w="69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HSTS, X-Content-Type-Options, Content-Security-Policy set on all HTTP responses from the web app and portal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7.2 Network Segmentation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database, cache, and event bus (Vol. 3 Section 2) are not directly reachable from outside the private network - only the API Gateway and background workers can reach them. The Integration Gateway service, which makes outbound calls to third parties (Vol. 5), sits in a segment with restricted outbound rules (allowlisted destination domains only) to limit blast radius if it is ever compromised. Concrete VPC/subnet design is finalized in Volume 7.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8. Multi-Tenant Isolation: Defense in Depth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Vol. 4 Section 7 established PostgreSQL RLS as the primary tenant-isolation control. This section adds the layers around it, since a single control point is a single point of failure for the platform's highest-severity risk (cross-tenant data disclosure, Section 2.1).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8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 Database (primary)</w:t>
            </w:r>
          </w:p>
        </w:tc>
        <w:tc>
          <w:tcPr>
            <w:tcW w:type="dxa" w:w="6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Row-Level Security policy on every tenant-scoped table (Vol.4 Section 7), fail-closed if tenant context is unset</w:t>
            </w:r>
          </w:p>
        </w:tc>
      </w:tr>
      <w:tr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 Application middleware (secondary)</w:t>
            </w:r>
          </w:p>
        </w:tc>
        <w:tc>
          <w:tcPr>
            <w:tcW w:type="dxa" w:w="68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domain service call is passed an explicit tenantId derived from the JWT (Section 3.2), independently checked against the entity being accessed before any RLS-protected query even runs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 Cache layer (tertiary)</w:t>
            </w:r>
          </w:p>
        </w:tc>
        <w:tc>
          <w:tcPr>
            <w:tcW w:type="dxa" w:w="6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Tenant-prefixed cache keys (Vol.3 Section 7.2) enforced by a shared cache utility that cannot be bypassed by individual modules</w:t>
            </w:r>
          </w:p>
        </w:tc>
      </w:tr>
      <w:tr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 Automated testing (verification)</w:t>
            </w:r>
          </w:p>
        </w:tc>
        <w:tc>
          <w:tcPr>
            <w:tcW w:type="dxa" w:w="68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Cross-tenant-leakage test suite (Vol.4 Section 7, Vol.8) runs on every CI build against every RLS-protected table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5. Operational monitoring (detection)</w:t>
            </w:r>
          </w:p>
        </w:tc>
        <w:tc>
          <w:tcPr>
            <w:tcW w:type="dxa" w:w="6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Anomaly alerts (Vol.7) for query patterns that touch an unusual number of distinct tenant_id values in a short window, which would indicate an RLS bypass or a compromised service credential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9. Audit Logging &amp; Tamper-Evidence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Formalizes Vol. 1 BC-20's audit trail requirement and Vol. 1 Principle P4's auditability principle into a concrete design.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9.1 What Is Audited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Every financial-entity state change (invoice sent/voided, journal posted, bill approved) - already captured as domain events (Vol.2 Section 10) and additionally written to a dedicated append-only audit_log 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Every authentication event (login success/failure, MFA challenge, password reset, role change) - security-relevant even where no financial entity changed.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Every permission/role configuration change (Section 4.2) - who granted what to whom, and when.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Every access to a decrypted secret (Section 6.2) - logged with the requesting service identity, not just the tenant.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9.2 Tamper-Evidence Mechanism</w:t>
      </w:r>
    </w:p>
    <w:p>
      <w:pPr>
        <w:spacing w:before="200" w:after="60"/>
      </w:pPr>
      <w:r>
        <w:rPr>
          <w:b/>
          <w:bCs/>
          <w:i/>
          <w:iCs/>
          <w:color w:val="2E75B6"/>
          <w:sz w:val="20"/>
          <w:szCs w:val="20"/>
        </w:rPr>
        <w:t xml:space="preserve">Audit log entry - hash-chained for tamper evidence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"id": "audit_9f21...",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"tenantId": "org_8f2a1c",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"actorUserId": "usr_4471",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"action": "invoice.voided",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"resourceId": "inv_0042",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"timestamp": "2026-07-13T10:22:31.104Z",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"correlationId": "c7f1e2-9b3a-4d10",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"previousEntryHash": "3a7f...",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"entryHash": "sha256(previousEntryHash + serialized(this entry))"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spacing w:after="200"/>
      </w:pPr>
      <w:r>
        <w:rPr>
          <w:sz w:val="10"/>
          <w:szCs w:val="10"/>
        </w:rPr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audit entry includes a hash of the previous entry, forming a per-tenant hash chain; any retroactive edit or deletion of a past entry breaks the chain and is detectable by a periodic integrity-verification job. This does not require exotic infrastructure (e.g. a blockchain) - the hash chain plus the append-only database constraint (Vol.4 Section 2, D2/D6) is sufficient tamper-evidence for the compliance bar this platform targets (Section 10).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10. Compliance Control Mapping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Maps this volume's controls to the compliance scope Vol. 1 Section 10 defined, so a future SOC 2 readiness assessment or customer security questionnaire can be answered by reference rather than re-derivation.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50"/>
        <w:gridCol w:w="3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Framework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Representative Control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Satisfied By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SOC 2 (Security)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Logical access controls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3 IAM, Section 4 Authorization Model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SOC 2 (Security)</w:t>
            </w:r>
          </w:p>
        </w:tc>
        <w:tc>
          <w:tcPr>
            <w:tcW w:type="dxa" w:w="33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Encryption of data at rest and in transit</w:t>
            </w:r>
          </w:p>
        </w:tc>
        <w:tc>
          <w:tcPr>
            <w:tcW w:type="dxa" w:w="38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5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SOC 2 (Availability)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Rate limiting and DoS protection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7.1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SOC 2 (Processing Integrity)</w:t>
            </w:r>
          </w:p>
        </w:tc>
        <w:tc>
          <w:tcPr>
            <w:tcW w:type="dxa" w:w="33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Tamper-evident change history</w:t>
            </w:r>
          </w:p>
        </w:tc>
        <w:tc>
          <w:tcPr>
            <w:tcW w:type="dxa" w:w="38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9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GDPR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subject right to erasure vs. financial retention conflict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Vol.4 Section 10 (retention policy) resolves precedence; Section 5.2 field-level encryption supports crypto-shredding of PII where full deletion is legally blocked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GDPR</w:t>
            </w:r>
          </w:p>
        </w:tc>
        <w:tc>
          <w:tcPr>
            <w:tcW w:type="dxa" w:w="33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processing records / lawful basis</w:t>
            </w:r>
          </w:p>
        </w:tc>
        <w:tc>
          <w:tcPr>
            <w:tcW w:type="dxa" w:w="38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 of this volume's scope - a legal/compliance function tracks this; the architecture supports it via the audit trail (Section 9)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PCI DSS (SAQ-A)</w:t>
            </w:r>
          </w:p>
        </w:tc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storage of raw cardholder data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Vol.5 Section 4.2 tokenization approach; verified by never persisting card PANs anywhere in this platform's own schemas (Vol.4)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HIPAA (contingent, Vol.1 Section 10)</w:t>
            </w:r>
          </w:p>
        </w:tc>
        <w:tc>
          <w:tcPr>
            <w:tcW w:type="dxa" w:w="33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 controls and audit logging for PHI</w:t>
            </w:r>
          </w:p>
        </w:tc>
        <w:tc>
          <w:tcPr>
            <w:tcW w:type="dxa" w:w="38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Sections 3, 4, 9 - only activated as a control set if a healthcare-vertical edition is pursued, per Vol.1's contingent scoping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11. Security Monitoring &amp; Incident Response (Summary)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Full operational runbooks belong to Volume 7; this section fixes the architectural hooks Volume 7's monitoring stack must consume.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50"/>
        <w:gridCol w:w="370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2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Repeated failed login / credential stuffing pattern</w:t>
            </w:r>
          </w:p>
        </w:tc>
        <w:tc>
          <w:tcPr>
            <w:tcW w:type="dxa" w:w="2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 service (Section 3.1)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Automatic account lockout + alert; feeds Section 3.3 MFA enforcement escalation</w:t>
            </w:r>
          </w:p>
        </w:tc>
      </w:tr>
      <w:tr>
        <w:tc>
          <w:tcPr>
            <w:tcW w:type="dxa" w:w="3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RLS bypass indicator (Section 8, layer 5)</w:t>
            </w:r>
          </w:p>
        </w:tc>
        <w:tc>
          <w:tcPr>
            <w:tcW w:type="dxa" w:w="23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 query monitoring</w:t>
            </w:r>
          </w:p>
        </w:tc>
        <w:tc>
          <w:tcPr>
            <w:tcW w:type="dxa" w:w="37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Page on-call immediately - highest severity, treated as a potential cross-tenant breach until ruled out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Audit hash-chain break (Section 9.2)</w:t>
            </w:r>
          </w:p>
        </w:tc>
        <w:tc>
          <w:tcPr>
            <w:tcW w:type="dxa" w:w="2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Periodic integrity job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Page on-call; freeze affected tenant's write access pending investigation</w:t>
            </w:r>
          </w:p>
        </w:tc>
      </w:tr>
      <w:tr>
        <w:tc>
          <w:tcPr>
            <w:tcW w:type="dxa" w:w="3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Webhook signature verification failure spike (Vol.5 Section 3.4)</w:t>
            </w:r>
          </w:p>
        </w:tc>
        <w:tc>
          <w:tcPr>
            <w:tcW w:type="dxa" w:w="23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Integration Gateway</w:t>
            </w:r>
          </w:p>
        </w:tc>
        <w:tc>
          <w:tcPr>
            <w:tcW w:type="dxa" w:w="37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Alert - may indicate a compromised or spoofed third-party integration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Anomalous secret-access pattern (Section 6.3)</w:t>
            </w:r>
          </w:p>
        </w:tc>
        <w:tc>
          <w:tcPr>
            <w:tcW w:type="dxa" w:w="2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Secrets manager audit log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Alert; correlate with the requesting service's recent deploy/change history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12. Security Testing Requirements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Volume 8 (Testing &amp; QA) owns the full test strategy; this volume specifies the security-specific tests that must exist before Release 1 ships.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0"/>
        <w:gridCol w:w="24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4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Cadence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Cross-tenant leakage suite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RLS-protected table (Vol.4 Section 7, Section 8 layer 4)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CI build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SAST (static analysis)</w:t>
            </w:r>
          </w:p>
        </w:tc>
        <w:tc>
          <w:tcPr>
            <w:tcW w:type="dxa" w:w="4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Full monorepo, focused on the OWASP Top 10 and the secrets-hygiene rules (Section 6.3)</w:t>
            </w:r>
          </w:p>
        </w:tc>
        <w:tc>
          <w:tcPr>
            <w:tcW w:type="dxa" w:w="24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CI build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Dependency vulnerability scanning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npm packages (Vol.3 Section 2.1 stack)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CI build + daily scheduled scan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DAST (dynamic analysis)</w:t>
            </w:r>
          </w:p>
        </w:tc>
        <w:tc>
          <w:tcPr>
            <w:tcW w:type="dxa" w:w="4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Public API surface and web app</w:t>
            </w:r>
          </w:p>
        </w:tc>
        <w:tc>
          <w:tcPr>
            <w:tcW w:type="dxa" w:w="24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Weekly against staging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Third-party penetration test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Full platform, with particular focus on the integration surfaces (Vol.5) and multi-tenant isolation (Section 8)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Before Release 1 GA, then annually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Webhook/API abuse testing</w:t>
            </w:r>
          </w:p>
        </w:tc>
        <w:tc>
          <w:tcPr>
            <w:tcW w:type="dxa" w:w="4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Rate limiting (Section 7.1), signature verification bypass attempts (Section 2.2)</w:t>
            </w:r>
          </w:p>
        </w:tc>
        <w:tc>
          <w:tcPr>
            <w:tcW w:type="dxa" w:w="24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Before Release 1 GA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13. Traceability &amp; Next Phase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13.1 Traceability to Volumes 1-5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5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Vol. 6 Artifact</w:t>
            </w:r>
          </w:p>
        </w:tc>
        <w:tc>
          <w:tcPr>
            <w:tcW w:type="dxa" w:w="6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Traces To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2 Threat Model</w:t>
            </w:r>
          </w:p>
        </w:tc>
        <w:tc>
          <w:tcPr>
            <w:tcW w:type="dxa" w:w="6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1 Principle P4; Vol. 2 Section 5 Gateway boundary; Vol. 5 integration surfaces</w:t>
            </w:r>
          </w:p>
        </w:tc>
      </w:tr>
      <w:tr>
        <w:tc>
          <w:tcPr>
            <w:tcW w:type="dxa" w:w="3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3 IAM / Section 4 Authorization</w:t>
            </w:r>
          </w:p>
        </w:tc>
        <w:tc>
          <w:tcPr>
            <w:tcW w:type="dxa" w:w="60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1 Section 4 Personas (PER-01...PER-12); Vol. 1 Section 9 Editions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5-6 Encryption/Secrets</w:t>
            </w:r>
          </w:p>
        </w:tc>
        <w:tc>
          <w:tcPr>
            <w:tcW w:type="dxa" w:w="6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5 Section 9 Credential Store; Vol. 3 Section 2.1 stack</w:t>
            </w:r>
          </w:p>
        </w:tc>
      </w:tr>
      <w:tr>
        <w:tc>
          <w:tcPr>
            <w:tcW w:type="dxa" w:w="3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8 Multi-Tenant Isolation</w:t>
            </w:r>
          </w:p>
        </w:tc>
        <w:tc>
          <w:tcPr>
            <w:tcW w:type="dxa" w:w="60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3 Section 11, Vol. 4 Section 7 RLS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9 Audit Trail</w:t>
            </w:r>
          </w:p>
        </w:tc>
        <w:tc>
          <w:tcPr>
            <w:tcW w:type="dxa" w:w="6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1 BC-20, Principle P4</w:t>
            </w:r>
          </w:p>
        </w:tc>
      </w:tr>
      <w:tr>
        <w:tc>
          <w:tcPr>
            <w:tcW w:type="dxa" w:w="3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10 Compliance Mapping</w:t>
            </w:r>
          </w:p>
        </w:tc>
        <w:tc>
          <w:tcPr>
            <w:tcW w:type="dxa" w:w="60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1 Section 10 Compliance &amp; Regulatory Scope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13.2 Open Questions for Sign-off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whether a formal SOC 2 Type II audit is a near-term business requirement (affects how rigorously Section 10's controls must be evidenced from Release 1 versus retrofitted later).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KMS/secrets-manager vendor preference once the cloud provider (Vol.3 Section 13.2 Q1) is confirmed.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resource-level authorization (Section 4.3) is acceptable as an R2/R3 capability rather than an MVP requirement.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13.3 Next Phase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approval, Phase 7 begins: Infrastructure &amp; Deployment Architecture (Volume 7) - CI/CD pipeline, environment topology, disaster recovery, observability, and the concrete sizing/scaling plan that operationalizes every architectural decision made in Volumes 1 through 6.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Enterprise Architecture Blueprint - Vol. 6: Security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Architecture Blueprint - Volume 6: Security Architecture</dc:title>
  <dc:creator>Claude</dc:creator>
  <cp:lastModifiedBy>Un-named</cp:lastModifiedBy>
  <cp:revision>1</cp:revision>
  <dcterms:created xsi:type="dcterms:W3CDTF">2026-07-13T06:23:32.627Z</dcterms:created>
  <dcterms:modified xsi:type="dcterms:W3CDTF">2026-07-13T06:23:32.628Z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