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p>
    <w:p>
      <w:pPr>
        <w:jc w:val="center"/>
      </w:pPr>
      <w:r>
        <w:rPr>
          <w:b/>
          <w:bCs/>
          <w:color w:val="1F3864"/>
          <w:sz w:val="56"/>
          <w:szCs w:val="56"/>
        </w:rPr>
        <w:t xml:space="preserve">ENTERPRISE ARCHITECTURE BLUEPRINT</w:t>
      </w:r>
    </w:p>
    <w:p>
      <w:pPr>
        <w:spacing w:before="200" w:after="100"/>
        <w:jc w:val="center"/>
      </w:pPr>
      <w:r>
        <w:rPr>
          <w:color w:val="2E75B6"/>
          <w:sz w:val="32"/>
          <w:szCs w:val="32"/>
        </w:rPr>
        <w:t xml:space="preserve">Cloud Accounting &amp; Business Management Platform</w:t>
      </w:r>
    </w:p>
    <w:p>
      <w:pPr>
        <w:spacing w:after="600"/>
        <w:jc w:val="center"/>
      </w:pPr>
      <w:r>
        <w:rPr>
          <w:i/>
          <w:iCs/>
          <w:color w:val="595959"/>
          <w:sz w:val="22"/>
          <w:szCs w:val="22"/>
        </w:rPr>
        <w:t xml:space="preserve">(Codename "Ledger" - Zoho Books-class product)</w:t>
      </w:r>
    </w:p>
    <w:p>
      <w:pPr>
        <w:spacing w:before="800" w:after="100"/>
        <w:jc w:val="center"/>
      </w:pPr>
      <w:r>
        <w:rPr>
          <w:b/>
          <w:bCs/>
          <w:color w:val="1F3864"/>
          <w:sz w:val="30"/>
          <w:szCs w:val="30"/>
        </w:rPr>
        <w:t xml:space="preserve">VOLUME 2 OF 9</w:t>
      </w:r>
    </w:p>
    <w:p>
      <w:pPr>
        <w:spacing w:after="100"/>
        <w:jc w:val="center"/>
      </w:pPr>
      <w:r>
        <w:rPr>
          <w:b/>
          <w:bCs/>
          <w:color w:val="2E75B6"/>
          <w:sz w:val="40"/>
          <w:szCs w:val="40"/>
        </w:rPr>
        <w:t xml:space="preserve">APPLICATION ARCHITECTURE</w:t>
      </w:r>
    </w:p>
    <w:p>
      <w:pPr>
        <w:spacing w:after="1200"/>
        <w:jc w:val="center"/>
      </w:pPr>
      <w:r>
        <w:rPr>
          <w:color w:val="595959"/>
          <w:sz w:val="22"/>
          <w:szCs w:val="22"/>
        </w:rPr>
        <w:t xml:space="preserve">Bounded Contexts - C4 Model - Module Dependencies - UML - Sequence Diagrams</w:t>
      </w:r>
    </w:p>
    <w:p>
      <w:pPr>
        <w:spacing w:before="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635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000"/>
            <w:shd w:fill="FFFFFF" w:val="clear"/>
            <w:tcMar>
              <w:top w:type="dxa" w:w="70"/>
              <w:left w:type="dxa" w:w="100"/>
              <w:bottom w:type="dxa" w:w="70"/>
              <w:right w:type="dxa" w:w="100"/>
            </w:tcMar>
          </w:tcPr>
          <w:p>
            <w:r>
              <w:rPr>
                <w:sz w:val="19"/>
                <w:szCs w:val="19"/>
              </w:rPr>
              <w:t xml:space="preserve">Document Status</w:t>
            </w:r>
          </w:p>
        </w:tc>
        <w:tc>
          <w:tcPr>
            <w:tcW w:type="dxa" w:w="6350"/>
            <w:shd w:fill="FFFFFF" w:val="clear"/>
            <w:tcMar>
              <w:top w:type="dxa" w:w="70"/>
              <w:left w:type="dxa" w:w="100"/>
              <w:bottom w:type="dxa" w:w="70"/>
              <w:right w:type="dxa" w:w="100"/>
            </w:tcMar>
          </w:tcPr>
          <w:p>
            <w:r>
              <w:rPr>
                <w:sz w:val="19"/>
                <w:szCs w:val="19"/>
              </w:rPr>
              <w:t xml:space="preserve">Draft - v0.1 - Phase 2 of 9</w:t>
            </w:r>
          </w:p>
        </w:tc>
      </w:tr>
      <w:tr>
        <w:tc>
          <w:tcPr>
            <w:tcW w:type="dxa" w:w="3000"/>
            <w:shd w:fill="DCE6F1" w:val="clear"/>
            <w:tcMar>
              <w:top w:type="dxa" w:w="70"/>
              <w:left w:type="dxa" w:w="100"/>
              <w:bottom w:type="dxa" w:w="70"/>
              <w:right w:type="dxa" w:w="100"/>
            </w:tcMar>
          </w:tcPr>
          <w:p>
            <w:r>
              <w:rPr>
                <w:sz w:val="19"/>
                <w:szCs w:val="19"/>
              </w:rPr>
              <w:t xml:space="preserve">Prepared For</w:t>
            </w:r>
          </w:p>
        </w:tc>
        <w:tc>
          <w:tcPr>
            <w:tcW w:type="dxa" w:w="6350"/>
            <w:shd w:fill="DCE6F1" w:val="clear"/>
            <w:tcMar>
              <w:top w:type="dxa" w:w="70"/>
              <w:left w:type="dxa" w:w="100"/>
              <w:bottom w:type="dxa" w:w="70"/>
              <w:right w:type="dxa" w:w="100"/>
            </w:tcMar>
          </w:tcPr>
          <w:p>
            <w:r>
              <w:rPr>
                <w:sz w:val="19"/>
                <w:szCs w:val="19"/>
              </w:rPr>
              <w:t xml:space="preserve">caldim</w:t>
            </w:r>
          </w:p>
        </w:tc>
      </w:tr>
      <w:tr>
        <w:tc>
          <w:tcPr>
            <w:tcW w:type="dxa" w:w="3000"/>
            <w:shd w:fill="FFFFFF" w:val="clear"/>
            <w:tcMar>
              <w:top w:type="dxa" w:w="70"/>
              <w:left w:type="dxa" w:w="100"/>
              <w:bottom w:type="dxa" w:w="70"/>
              <w:right w:type="dxa" w:w="100"/>
            </w:tcMar>
          </w:tcPr>
          <w:p>
            <w:r>
              <w:rPr>
                <w:sz w:val="19"/>
                <w:szCs w:val="19"/>
              </w:rPr>
              <w:t xml:space="preserve">Prepared By</w:t>
            </w:r>
          </w:p>
        </w:tc>
        <w:tc>
          <w:tcPr>
            <w:tcW w:type="dxa" w:w="6350"/>
            <w:shd w:fill="FFFFFF" w:val="clear"/>
            <w:tcMar>
              <w:top w:type="dxa" w:w="70"/>
              <w:left w:type="dxa" w:w="100"/>
              <w:bottom w:type="dxa" w:w="70"/>
              <w:right w:type="dxa" w:w="100"/>
            </w:tcMar>
          </w:tcPr>
          <w:p>
            <w:r>
              <w:rPr>
                <w:sz w:val="19"/>
                <w:szCs w:val="19"/>
              </w:rPr>
              <w:t xml:space="preserve">Claude (Enterprise Architecture Assistant)</w:t>
            </w:r>
          </w:p>
        </w:tc>
      </w:tr>
      <w:tr>
        <w:tc>
          <w:tcPr>
            <w:tcW w:type="dxa" w:w="3000"/>
            <w:shd w:fill="DCE6F1" w:val="clear"/>
            <w:tcMar>
              <w:top w:type="dxa" w:w="70"/>
              <w:left w:type="dxa" w:w="100"/>
              <w:bottom w:type="dxa" w:w="70"/>
              <w:right w:type="dxa" w:w="100"/>
            </w:tcMar>
          </w:tcPr>
          <w:p>
            <w:r>
              <w:rPr>
                <w:sz w:val="19"/>
                <w:szCs w:val="19"/>
              </w:rPr>
              <w:t xml:space="preserve">Date</w:t>
            </w:r>
          </w:p>
        </w:tc>
        <w:tc>
          <w:tcPr>
            <w:tcW w:type="dxa" w:w="6350"/>
            <w:shd w:fill="DCE6F1" w:val="clear"/>
            <w:tcMar>
              <w:top w:type="dxa" w:w="70"/>
              <w:left w:type="dxa" w:w="100"/>
              <w:bottom w:type="dxa" w:w="70"/>
              <w:right w:type="dxa" w:w="100"/>
            </w:tcMar>
          </w:tcPr>
          <w:p>
            <w:r>
              <w:rPr>
                <w:sz w:val="19"/>
                <w:szCs w:val="19"/>
              </w:rPr>
              <w:t xml:space="preserve">13 July 2026</w:t>
            </w:r>
          </w:p>
        </w:tc>
      </w:tr>
      <w:tr>
        <w:tc>
          <w:tcPr>
            <w:tcW w:type="dxa" w:w="3000"/>
            <w:shd w:fill="FFFFFF" w:val="clear"/>
            <w:tcMar>
              <w:top w:type="dxa" w:w="70"/>
              <w:left w:type="dxa" w:w="100"/>
              <w:bottom w:type="dxa" w:w="70"/>
              <w:right w:type="dxa" w:w="100"/>
            </w:tcMar>
          </w:tcPr>
          <w:p>
            <w:r>
              <w:rPr>
                <w:sz w:val="19"/>
                <w:szCs w:val="19"/>
              </w:rPr>
              <w:t xml:space="preserve">Classification</w:t>
            </w:r>
          </w:p>
        </w:tc>
        <w:tc>
          <w:tcPr>
            <w:tcW w:type="dxa" w:w="6350"/>
            <w:shd w:fill="FFFFFF" w:val="clear"/>
            <w:tcMar>
              <w:top w:type="dxa" w:w="70"/>
              <w:left w:type="dxa" w:w="100"/>
              <w:bottom w:type="dxa" w:w="70"/>
              <w:right w:type="dxa" w:w="100"/>
            </w:tcMar>
          </w:tcPr>
          <w:p>
            <w:r>
              <w:rPr>
                <w:sz w:val="19"/>
                <w:szCs w:val="19"/>
              </w:rPr>
              <w:t xml:space="preserve">Internal - Pre-Development Planning</w:t>
            </w:r>
          </w:p>
        </w:tc>
      </w:tr>
      <w:tr>
        <w:tc>
          <w:tcPr>
            <w:tcW w:type="dxa" w:w="3000"/>
            <w:shd w:fill="DCE6F1" w:val="clear"/>
            <w:tcMar>
              <w:top w:type="dxa" w:w="70"/>
              <w:left w:type="dxa" w:w="100"/>
              <w:bottom w:type="dxa" w:w="70"/>
              <w:right w:type="dxa" w:w="100"/>
            </w:tcMar>
          </w:tcPr>
          <w:p>
            <w:r>
              <w:rPr>
                <w:sz w:val="19"/>
                <w:szCs w:val="19"/>
              </w:rPr>
              <w:t xml:space="preserve">Upstream Dependency</w:t>
            </w:r>
          </w:p>
        </w:tc>
        <w:tc>
          <w:tcPr>
            <w:tcW w:type="dxa" w:w="6350"/>
            <w:shd w:fill="DCE6F1" w:val="clear"/>
            <w:tcMar>
              <w:top w:type="dxa" w:w="70"/>
              <w:left w:type="dxa" w:w="100"/>
              <w:bottom w:type="dxa" w:w="70"/>
              <w:right w:type="dxa" w:w="100"/>
            </w:tcMar>
          </w:tcPr>
          <w:p>
            <w:r>
              <w:rPr>
                <w:sz w:val="19"/>
                <w:szCs w:val="19"/>
              </w:rPr>
              <w:t xml:space="preserve">Vol. 1 Business Architecture (capability IDs BC-01...BC-21, personas PER-01...PER-12, value streams VS-01...VS-06)</w:t>
            </w:r>
          </w:p>
        </w:tc>
      </w:tr>
      <w:tr>
        <w:tc>
          <w:tcPr>
            <w:tcW w:type="dxa" w:w="3000"/>
            <w:shd w:fill="FFFFFF" w:val="clear"/>
            <w:tcMar>
              <w:top w:type="dxa" w:w="70"/>
              <w:left w:type="dxa" w:w="100"/>
              <w:bottom w:type="dxa" w:w="70"/>
              <w:right w:type="dxa" w:w="100"/>
            </w:tcMar>
          </w:tcPr>
          <w:p>
            <w:r>
              <w:rPr>
                <w:sz w:val="19"/>
                <w:szCs w:val="19"/>
              </w:rPr>
              <w:t xml:space="preserve">Downstream Volumes</w:t>
            </w:r>
          </w:p>
        </w:tc>
        <w:tc>
          <w:tcPr>
            <w:tcW w:type="dxa" w:w="6350"/>
            <w:shd w:fill="FFFFFF" w:val="clear"/>
            <w:tcMar>
              <w:top w:type="dxa" w:w="70"/>
              <w:left w:type="dxa" w:w="100"/>
              <w:bottom w:type="dxa" w:w="70"/>
              <w:right w:type="dxa" w:w="100"/>
            </w:tcMar>
          </w:tcPr>
          <w:p>
            <w:r>
              <w:rPr>
                <w:sz w:val="19"/>
                <w:szCs w:val="19"/>
              </w:rPr>
              <w:t xml:space="preserve">Vol. 3 Technical Architecture; Vol. 4 Data Architecture; Vol. 5 Integration Architecture; Vol. 6 Security Architecture; Vol. 7 Infrastructure &amp; Deployment; Vol. 8 Testing &amp; QA; Vol. 9 UI/UX &amp; API Design</w:t>
            </w:r>
          </w:p>
        </w:tc>
      </w:tr>
    </w:tbl>
    <w:p>
      <w:r>
        <w:br w:type="page"/>
      </w:r>
    </w:p>
    <w:p>
      <w:pPr>
        <w:pStyle w:val="Heading1"/>
        <w:spacing w:before="400" w:after="2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F3864"/>
          <w:sz w:val="32"/>
          <w:szCs w:val="32"/>
        </w:rPr>
        <w:t xml:space="preserve">1. Introduction &amp; Scope</w:t>
      </w:r>
    </w:p>
    <w:p>
      <w:pPr>
        <w:pStyle w:val="Heading2"/>
        <w:spacing w:before="300" w:after="150"/>
      </w:pPr>
      <w:r>
        <w:rPr>
          <w:b/>
          <w:bCs/>
          <w:color w:val="2E75B6"/>
          <w:sz w:val="26"/>
          <w:szCs w:val="26"/>
        </w:rPr>
        <w:t xml:space="preserve">1.1 Purpose</w:t>
      </w:r>
    </w:p>
    <w:p>
      <w:pPr>
        <w:spacing w:after="160" w:line="276"/>
      </w:pPr>
      <w:r>
        <w:rPr>
          <w:b w:val="false"/>
          <w:bCs w:val="false"/>
          <w:i w:val="false"/>
          <w:iCs w:val="false"/>
          <w:color w:val="1A1A1A"/>
          <w:sz w:val="22"/>
          <w:szCs w:val="22"/>
        </w:rPr>
        <w:t xml:space="preserve">This volume translates the 21 business capability domains (BC-01 through BC-21) and six value streams (VS-01 through VS-06) defined in Volume 1 into an application architecture: bounded contexts, service/module boundaries, the C4 model (context, container, and selected component diagrams), a module dependency graph, core domain UML, and the key cross-service sequence diagrams. Every bounded context defined here is traceable to one or more BC-xx capability IDs (Section 3.2); every downstream volume (data model in Vol. 4, API contracts in Vol. 9, security boundaries in Vol. 6) is expected to align to the same boundaries.</w:t>
      </w:r>
    </w:p>
    <w:p>
      <w:pPr>
        <w:pStyle w:val="Heading2"/>
        <w:spacing w:before="300" w:after="150"/>
      </w:pPr>
      <w:r>
        <w:rPr>
          <w:b/>
          <w:bCs/>
          <w:color w:val="2E75B6"/>
          <w:sz w:val="26"/>
          <w:szCs w:val="26"/>
        </w:rPr>
        <w:t xml:space="preserve">1.2 What This Volume Does Not Cover</w:t>
      </w:r>
    </w:p>
    <w:p>
      <w:pPr>
        <w:pStyle w:val="ListParagraph"/>
        <w:numPr>
          <w:ilvl w:val="0"/>
          <w:numId w:val="1"/>
        </w:numPr>
        <w:spacing w:after="80"/>
      </w:pPr>
      <w:r>
        <w:rPr>
          <w:sz w:val="22"/>
          <w:szCs w:val="22"/>
        </w:rPr>
        <w:t xml:space="preserve">Concrete technology stack, language, and framework choices - that is Volume 3 (Technical Architecture).</w:t>
      </w:r>
    </w:p>
    <w:p>
      <w:pPr>
        <w:pStyle w:val="ListParagraph"/>
        <w:numPr>
          <w:ilvl w:val="0"/>
          <w:numId w:val="1"/>
        </w:numPr>
        <w:spacing w:after="80"/>
      </w:pPr>
      <w:r>
        <w:rPr>
          <w:sz w:val="22"/>
          <w:szCs w:val="22"/>
        </w:rPr>
        <w:t xml:space="preserve">Physical database schema and ER diagrams - that is Volume 4 (Data Architecture), though this volume fixes the data ownership boundaries Volume 4 must respect.</w:t>
      </w:r>
    </w:p>
    <w:p>
      <w:pPr>
        <w:pStyle w:val="ListParagraph"/>
        <w:numPr>
          <w:ilvl w:val="0"/>
          <w:numId w:val="1"/>
        </w:numPr>
        <w:spacing w:after="80"/>
      </w:pPr>
      <w:r>
        <w:rPr>
          <w:sz w:val="22"/>
          <w:szCs w:val="22"/>
        </w:rPr>
        <w:t xml:space="preserve">Detailed REST/GraphQL endpoint contracts - that is Volume 9 (API Design Document); this volume only sketches the API surface at the bounded-context level (Section 9).</w:t>
      </w:r>
    </w:p>
    <w:p>
      <w:pPr>
        <w:pStyle w:val="ListParagraph"/>
        <w:numPr>
          <w:ilvl w:val="0"/>
          <w:numId w:val="1"/>
        </w:numPr>
        <w:spacing w:after="80"/>
      </w:pPr>
      <w:r>
        <w:rPr>
          <w:sz w:val="22"/>
          <w:szCs w:val="22"/>
        </w:rPr>
        <w:t xml:space="preserve">Deployment topology, scaling, and infrastructure sizing - that is Volume 7.</w:t>
      </w:r>
    </w:p>
    <w:p>
      <w:r>
        <w:br w:type="page"/>
      </w:r>
    </w:p>
    <w:p>
      <w:pPr>
        <w:pStyle w:val="Heading1"/>
        <w:spacing w:before="400" w:after="200"/>
      </w:pPr>
      <w:r>
        <w:rPr>
          <w:b/>
          <w:bCs/>
          <w:color w:val="1F3864"/>
          <w:sz w:val="32"/>
          <w:szCs w:val="32"/>
        </w:rPr>
        <w:t xml:space="preserve">2. Architectural Style Decision</w:t>
      </w:r>
    </w:p>
    <w:p>
      <w:pPr>
        <w:pStyle w:val="Heading2"/>
        <w:spacing w:before="300" w:after="150"/>
      </w:pPr>
      <w:r>
        <w:rPr>
          <w:b/>
          <w:bCs/>
          <w:color w:val="2E75B6"/>
          <w:sz w:val="26"/>
          <w:szCs w:val="26"/>
        </w:rPr>
        <w:t xml:space="preserve">2.1 Decision Record: Modular Monolith First, Service-Ready Boundaries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6950"/>
            <w:shd w:fill="1F3864" w:val="clear"/>
            <w:tcMar>
              <w:top w:type="dxa" w:w="80"/>
              <w:left w:type="dxa" w:w="100"/>
              <w:bottom w:type="dxa" w:w="80"/>
              <w:right w:type="dxa" w:w="100"/>
            </w:tcMar>
            <w:vAlign w:val="center"/>
          </w:tcPr>
          <w:p>
            <w:r>
              <w:rPr>
                <w:b/>
                <w:bCs/>
                <w:color w:val="FFFFFF"/>
                <w:sz w:val="19"/>
                <w:szCs w:val="19"/>
              </w:rPr>
              <w:t xml:space="preserve">Detail</w:t>
            </w:r>
          </w:p>
        </w:tc>
      </w:tr>
      <w:tr>
        <w:tc>
          <w:tcPr>
            <w:tcW w:type="dxa" w:w="2400"/>
            <w:shd w:fill="FFFFFF" w:val="clear"/>
            <w:tcMar>
              <w:top w:type="dxa" w:w="70"/>
              <w:left w:type="dxa" w:w="100"/>
              <w:bottom w:type="dxa" w:w="70"/>
              <w:right w:type="dxa" w:w="100"/>
            </w:tcMar>
          </w:tcPr>
          <w:p>
            <w:r>
              <w:rPr>
                <w:sz w:val="19"/>
                <w:szCs w:val="19"/>
              </w:rPr>
              <w:t xml:space="preserve">Status</w:t>
            </w:r>
          </w:p>
        </w:tc>
        <w:tc>
          <w:tcPr>
            <w:tcW w:type="dxa" w:w="6950"/>
            <w:shd w:fill="FFFFFF" w:val="clear"/>
            <w:tcMar>
              <w:top w:type="dxa" w:w="70"/>
              <w:left w:type="dxa" w:w="100"/>
              <w:bottom w:type="dxa" w:w="70"/>
              <w:right w:type="dxa" w:w="100"/>
            </w:tcMar>
          </w:tcPr>
          <w:p>
            <w:r>
              <w:rPr>
                <w:sz w:val="19"/>
                <w:szCs w:val="19"/>
              </w:rPr>
              <w:t xml:space="preserve">Accepted</w:t>
            </w:r>
          </w:p>
        </w:tc>
      </w:tr>
      <w:tr>
        <w:tc>
          <w:tcPr>
            <w:tcW w:type="dxa" w:w="2400"/>
            <w:shd w:fill="DCE6F1" w:val="clear"/>
            <w:tcMar>
              <w:top w:type="dxa" w:w="70"/>
              <w:left w:type="dxa" w:w="100"/>
              <w:bottom w:type="dxa" w:w="70"/>
              <w:right w:type="dxa" w:w="100"/>
            </w:tcMar>
          </w:tcPr>
          <w:p>
            <w:r>
              <w:rPr>
                <w:sz w:val="19"/>
                <w:szCs w:val="19"/>
              </w:rPr>
              <w:t xml:space="preserve">Context</w:t>
            </w:r>
          </w:p>
        </w:tc>
        <w:tc>
          <w:tcPr>
            <w:tcW w:type="dxa" w:w="6950"/>
            <w:shd w:fill="DCE6F1" w:val="clear"/>
            <w:tcMar>
              <w:top w:type="dxa" w:w="70"/>
              <w:left w:type="dxa" w:w="100"/>
              <w:bottom w:type="dxa" w:w="70"/>
              <w:right w:type="dxa" w:w="100"/>
            </w:tcMar>
          </w:tcPr>
          <w:p>
            <w:r>
              <w:rPr>
                <w:sz w:val="19"/>
                <w:szCs w:val="19"/>
              </w:rPr>
              <w:t xml:space="preserve">Vol. 1 requires independent testability/deployability in the medium term (Principle P2) and strict multi-tenancy (P1), but the team is starting from zero with an MVP scope (Vol. 1 Section 6). A pure microservices start adds operational overhead (service mesh, distributed transactions, N deployment pipelines) before there is traffic or team headcount to justify it.</w:t>
            </w:r>
          </w:p>
        </w:tc>
      </w:tr>
      <w:tr>
        <w:tc>
          <w:tcPr>
            <w:tcW w:type="dxa" w:w="2400"/>
            <w:shd w:fill="FFFFFF" w:val="clear"/>
            <w:tcMar>
              <w:top w:type="dxa" w:w="70"/>
              <w:left w:type="dxa" w:w="100"/>
              <w:bottom w:type="dxa" w:w="70"/>
              <w:right w:type="dxa" w:w="100"/>
            </w:tcMar>
          </w:tcPr>
          <w:p>
            <w:r>
              <w:rPr>
                <w:sz w:val="19"/>
                <w:szCs w:val="19"/>
              </w:rPr>
              <w:t xml:space="preserve">Decision</w:t>
            </w:r>
          </w:p>
        </w:tc>
        <w:tc>
          <w:tcPr>
            <w:tcW w:type="dxa" w:w="6950"/>
            <w:shd w:fill="FFFFFF" w:val="clear"/>
            <w:tcMar>
              <w:top w:type="dxa" w:w="70"/>
              <w:left w:type="dxa" w:w="100"/>
              <w:bottom w:type="dxa" w:w="70"/>
              <w:right w:type="dxa" w:w="100"/>
            </w:tcMar>
          </w:tcPr>
          <w:p>
            <w:r>
              <w:rPr>
                <w:sz w:val="19"/>
                <w:szCs w:val="19"/>
              </w:rPr>
              <w:t xml:space="preserve">Build a modular monolith for Release 1 (MVP), where each bounded context (Section 3) is a separate module with an enforced internal API boundary (no cross-module direct database access), a private schema/namespace (Vol. 4), and its own event-publishing contract. Deploy as one process initially. Extraction to an independently deployable service is a deployment change, not a re-architecture, because the boundaries are already correct.</w:t>
            </w:r>
          </w:p>
        </w:tc>
      </w:tr>
      <w:tr>
        <w:tc>
          <w:tcPr>
            <w:tcW w:type="dxa" w:w="2400"/>
            <w:shd w:fill="DCE6F1" w:val="clear"/>
            <w:tcMar>
              <w:top w:type="dxa" w:w="70"/>
              <w:left w:type="dxa" w:w="100"/>
              <w:bottom w:type="dxa" w:w="70"/>
              <w:right w:type="dxa" w:w="100"/>
            </w:tcMar>
          </w:tcPr>
          <w:p>
            <w:r>
              <w:rPr>
                <w:sz w:val="19"/>
                <w:szCs w:val="19"/>
              </w:rPr>
              <w:t xml:space="preserve">Consequences (positive)</w:t>
            </w:r>
          </w:p>
        </w:tc>
        <w:tc>
          <w:tcPr>
            <w:tcW w:type="dxa" w:w="6950"/>
            <w:shd w:fill="DCE6F1" w:val="clear"/>
            <w:tcMar>
              <w:top w:type="dxa" w:w="70"/>
              <w:left w:type="dxa" w:w="100"/>
              <w:bottom w:type="dxa" w:w="70"/>
              <w:right w:type="dxa" w:w="100"/>
            </w:tcMar>
          </w:tcPr>
          <w:p>
            <w:r>
              <w:rPr>
                <w:sz w:val="19"/>
                <w:szCs w:val="19"/>
              </w:rPr>
              <w:t xml:space="preserve">Faster MVP delivery; single deployment pipeline at first; easier local development and debugging; no distributed-transaction complexity for Release 1 cross-context flows (Section 8).</w:t>
            </w:r>
          </w:p>
        </w:tc>
      </w:tr>
      <w:tr>
        <w:tc>
          <w:tcPr>
            <w:tcW w:type="dxa" w:w="2400"/>
            <w:shd w:fill="FFFFFF" w:val="clear"/>
            <w:tcMar>
              <w:top w:type="dxa" w:w="70"/>
              <w:left w:type="dxa" w:w="100"/>
              <w:bottom w:type="dxa" w:w="70"/>
              <w:right w:type="dxa" w:w="100"/>
            </w:tcMar>
          </w:tcPr>
          <w:p>
            <w:r>
              <w:rPr>
                <w:sz w:val="19"/>
                <w:szCs w:val="19"/>
              </w:rPr>
              <w:t xml:space="preserve">Consequences (negative)</w:t>
            </w:r>
          </w:p>
        </w:tc>
        <w:tc>
          <w:tcPr>
            <w:tcW w:type="dxa" w:w="6950"/>
            <w:shd w:fill="FFFFFF" w:val="clear"/>
            <w:tcMar>
              <w:top w:type="dxa" w:w="70"/>
              <w:left w:type="dxa" w:w="100"/>
              <w:bottom w:type="dxa" w:w="70"/>
              <w:right w:type="dxa" w:w="100"/>
            </w:tcMar>
          </w:tcPr>
          <w:p>
            <w:r>
              <w:rPr>
                <w:sz w:val="19"/>
                <w:szCs w:val="19"/>
              </w:rPr>
              <w:t xml:space="preserve">Requires discipline to prevent modules from reaching into each other's data (enforced via Vol. 3 coding standards and Vol. 4 schema-per-module); a noisy-neighbor module can still affect the whole process's resource usage until extracted.</w:t>
            </w:r>
          </w:p>
        </w:tc>
      </w:tr>
      <w:tr>
        <w:tc>
          <w:tcPr>
            <w:tcW w:type="dxa" w:w="2400"/>
            <w:shd w:fill="DCE6F1" w:val="clear"/>
            <w:tcMar>
              <w:top w:type="dxa" w:w="70"/>
              <w:left w:type="dxa" w:w="100"/>
              <w:bottom w:type="dxa" w:w="70"/>
              <w:right w:type="dxa" w:w="100"/>
            </w:tcMar>
          </w:tcPr>
          <w:p>
            <w:r>
              <w:rPr>
                <w:sz w:val="19"/>
                <w:szCs w:val="19"/>
              </w:rPr>
              <w:t xml:space="preserve">Extraction Trigger Criteria</w:t>
            </w:r>
          </w:p>
        </w:tc>
        <w:tc>
          <w:tcPr>
            <w:tcW w:type="dxa" w:w="6950"/>
            <w:shd w:fill="DCE6F1" w:val="clear"/>
            <w:tcMar>
              <w:top w:type="dxa" w:w="70"/>
              <w:left w:type="dxa" w:w="100"/>
              <w:bottom w:type="dxa" w:w="70"/>
              <w:right w:type="dxa" w:w="100"/>
            </w:tcMar>
          </w:tcPr>
          <w:p>
            <w:r>
              <w:rPr>
                <w:sz w:val="19"/>
                <w:szCs w:val="19"/>
              </w:rPr>
              <w:t xml:space="preserve">A module is split out into its own deployable service when any of: (a) it needs independent scaling (e.g. Reporting under heavy query load), (b) it needs an independent release cadence (e.g. AI Assistant iterating faster than core Ledger), or (c) it becomes a reliability risk to co-locate (e.g. long-running Payroll batch jobs).</w:t>
            </w:r>
          </w:p>
        </w:tc>
      </w:tr>
    </w:tbl>
    <w:p>
      <w:pPr>
        <w:pStyle w:val="Heading2"/>
        <w:spacing w:before="300" w:after="150"/>
      </w:pPr>
      <w:r>
        <w:rPr>
          <w:b/>
          <w:bCs/>
          <w:color w:val="2E75B6"/>
          <w:sz w:val="26"/>
          <w:szCs w:val="26"/>
        </w:rPr>
        <w:t xml:space="preserve">2.2 Communication Style Between Bounded Contexts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Interaction Type</w:t>
            </w:r>
          </w:p>
        </w:tc>
        <w:tc>
          <w:tcPr>
            <w:tcW w:type="dxa" w:w="3200"/>
            <w:shd w:fill="1F3864" w:val="clear"/>
            <w:tcMar>
              <w:top w:type="dxa" w:w="80"/>
              <w:left w:type="dxa" w:w="100"/>
              <w:bottom w:type="dxa" w:w="80"/>
              <w:right w:type="dxa" w:w="100"/>
            </w:tcMar>
            <w:vAlign w:val="center"/>
          </w:tcPr>
          <w:p>
            <w:r>
              <w:rPr>
                <w:b/>
                <w:bCs/>
                <w:color w:val="FFFFFF"/>
                <w:sz w:val="19"/>
                <w:szCs w:val="19"/>
              </w:rPr>
              <w:t xml:space="preserve">Mechanism</w:t>
            </w:r>
          </w:p>
        </w:tc>
        <w:tc>
          <w:tcPr>
            <w:tcW w:type="dxa" w:w="2950"/>
            <w:shd w:fill="1F3864" w:val="clear"/>
            <w:tcMar>
              <w:top w:type="dxa" w:w="80"/>
              <w:left w:type="dxa" w:w="100"/>
              <w:bottom w:type="dxa" w:w="80"/>
              <w:right w:type="dxa" w:w="100"/>
            </w:tcMar>
            <w:vAlign w:val="center"/>
          </w:tcPr>
          <w:p>
            <w:r>
              <w:rPr>
                <w:b/>
                <w:bCs/>
                <w:color w:val="FFFFFF"/>
                <w:sz w:val="19"/>
                <w:szCs w:val="19"/>
              </w:rPr>
              <w:t xml:space="preserve">Example</w:t>
            </w:r>
          </w:p>
        </w:tc>
      </w:tr>
      <w:tr>
        <w:tc>
          <w:tcPr>
            <w:tcW w:type="dxa" w:w="3200"/>
            <w:shd w:fill="FFFFFF" w:val="clear"/>
            <w:tcMar>
              <w:top w:type="dxa" w:w="70"/>
              <w:left w:type="dxa" w:w="100"/>
              <w:bottom w:type="dxa" w:w="70"/>
              <w:right w:type="dxa" w:w="100"/>
            </w:tcMar>
          </w:tcPr>
          <w:p>
            <w:r>
              <w:rPr>
                <w:sz w:val="19"/>
                <w:szCs w:val="19"/>
              </w:rPr>
              <w:t xml:space="preserve">Command (synchronous, needs immediate result)</w:t>
            </w:r>
          </w:p>
        </w:tc>
        <w:tc>
          <w:tcPr>
            <w:tcW w:type="dxa" w:w="3200"/>
            <w:shd w:fill="FFFFFF" w:val="clear"/>
            <w:tcMar>
              <w:top w:type="dxa" w:w="70"/>
              <w:left w:type="dxa" w:w="100"/>
              <w:bottom w:type="dxa" w:w="70"/>
              <w:right w:type="dxa" w:w="100"/>
            </w:tcMar>
          </w:tcPr>
          <w:p>
            <w:r>
              <w:rPr>
                <w:sz w:val="19"/>
                <w:szCs w:val="19"/>
              </w:rPr>
              <w:t xml:space="preserve">In-process module API call (Release 1) -&gt; internal RPC once extracted</w:t>
            </w:r>
          </w:p>
        </w:tc>
        <w:tc>
          <w:tcPr>
            <w:tcW w:type="dxa" w:w="2950"/>
            <w:shd w:fill="FFFFFF" w:val="clear"/>
            <w:tcMar>
              <w:top w:type="dxa" w:w="70"/>
              <w:left w:type="dxa" w:w="100"/>
              <w:bottom w:type="dxa" w:w="70"/>
              <w:right w:type="dxa" w:w="100"/>
            </w:tcMar>
          </w:tcPr>
          <w:p>
            <w:r>
              <w:rPr>
                <w:sz w:val="19"/>
                <w:szCs w:val="19"/>
              </w:rPr>
              <w:t xml:space="preserve">Receivables asks Inventory "is this SKU in stock" before confirming a sales order</w:t>
            </w:r>
          </w:p>
        </w:tc>
      </w:tr>
      <w:tr>
        <w:tc>
          <w:tcPr>
            <w:tcW w:type="dxa" w:w="3200"/>
            <w:shd w:fill="DCE6F1" w:val="clear"/>
            <w:tcMar>
              <w:top w:type="dxa" w:w="70"/>
              <w:left w:type="dxa" w:w="100"/>
              <w:bottom w:type="dxa" w:w="70"/>
              <w:right w:type="dxa" w:w="100"/>
            </w:tcMar>
          </w:tcPr>
          <w:p>
            <w:r>
              <w:rPr>
                <w:sz w:val="19"/>
                <w:szCs w:val="19"/>
              </w:rPr>
              <w:t xml:space="preserve">Fact notification (other contexts may react, sender does not need a response)</w:t>
            </w:r>
          </w:p>
        </w:tc>
        <w:tc>
          <w:tcPr>
            <w:tcW w:type="dxa" w:w="3200"/>
            <w:shd w:fill="DCE6F1" w:val="clear"/>
            <w:tcMar>
              <w:top w:type="dxa" w:w="70"/>
              <w:left w:type="dxa" w:w="100"/>
              <w:bottom w:type="dxa" w:w="70"/>
              <w:right w:type="dxa" w:w="100"/>
            </w:tcMar>
          </w:tcPr>
          <w:p>
            <w:r>
              <w:rPr>
                <w:sz w:val="19"/>
                <w:szCs w:val="19"/>
              </w:rPr>
              <w:t xml:space="preserve">Domain event on the internal event bus (Section 7)</w:t>
            </w:r>
          </w:p>
        </w:tc>
        <w:tc>
          <w:tcPr>
            <w:tcW w:type="dxa" w:w="2950"/>
            <w:shd w:fill="DCE6F1" w:val="clear"/>
            <w:tcMar>
              <w:top w:type="dxa" w:w="70"/>
              <w:left w:type="dxa" w:w="100"/>
              <w:bottom w:type="dxa" w:w="70"/>
              <w:right w:type="dxa" w:w="100"/>
            </w:tcMar>
          </w:tcPr>
          <w:p>
            <w:r>
              <w:rPr>
                <w:sz w:val="19"/>
                <w:szCs w:val="19"/>
              </w:rPr>
              <w:t xml:space="preserve">Ledger publishes JournalPosted; Reporting and Analytics consume it</w:t>
            </w:r>
          </w:p>
        </w:tc>
      </w:tr>
      <w:tr>
        <w:tc>
          <w:tcPr>
            <w:tcW w:type="dxa" w:w="3200"/>
            <w:shd w:fill="FFFFFF" w:val="clear"/>
            <w:tcMar>
              <w:top w:type="dxa" w:w="70"/>
              <w:left w:type="dxa" w:w="100"/>
              <w:bottom w:type="dxa" w:w="70"/>
              <w:right w:type="dxa" w:w="100"/>
            </w:tcMar>
          </w:tcPr>
          <w:p>
            <w:r>
              <w:rPr>
                <w:sz w:val="19"/>
                <w:szCs w:val="19"/>
              </w:rPr>
              <w:t xml:space="preserve">Query across context for read models</w:t>
            </w:r>
          </w:p>
        </w:tc>
        <w:tc>
          <w:tcPr>
            <w:tcW w:type="dxa" w:w="3200"/>
            <w:shd w:fill="FFFFFF" w:val="clear"/>
            <w:tcMar>
              <w:top w:type="dxa" w:w="70"/>
              <w:left w:type="dxa" w:w="100"/>
              <w:bottom w:type="dxa" w:w="70"/>
              <w:right w:type="dxa" w:w="100"/>
            </w:tcMar>
          </w:tcPr>
          <w:p>
            <w:r>
              <w:rPr>
                <w:sz w:val="19"/>
                <w:szCs w:val="19"/>
              </w:rPr>
              <w:t xml:space="preserve">Context-owned read API, never direct DB read</w:t>
            </w:r>
          </w:p>
        </w:tc>
        <w:tc>
          <w:tcPr>
            <w:tcW w:type="dxa" w:w="2950"/>
            <w:shd w:fill="FFFFFF" w:val="clear"/>
            <w:tcMar>
              <w:top w:type="dxa" w:w="70"/>
              <w:left w:type="dxa" w:w="100"/>
              <w:bottom w:type="dxa" w:w="70"/>
              <w:right w:type="dxa" w:w="100"/>
            </w:tcMar>
          </w:tcPr>
          <w:p>
            <w:r>
              <w:rPr>
                <w:sz w:val="19"/>
                <w:szCs w:val="19"/>
              </w:rPr>
              <w:t xml:space="preserve">Reporting queries Receivables' read API for invoice aging, never reads Receivables' tables directly</w:t>
            </w:r>
          </w:p>
        </w:tc>
      </w:tr>
    </w:tbl>
    <w:p>
      <w:r>
        <w:br w:type="page"/>
      </w:r>
    </w:p>
    <w:p>
      <w:pPr>
        <w:pStyle w:val="Heading1"/>
        <w:spacing w:before="400" w:after="200"/>
      </w:pPr>
      <w:r>
        <w:rPr>
          <w:b/>
          <w:bCs/>
          <w:color w:val="1F3864"/>
          <w:sz w:val="32"/>
          <w:szCs w:val="32"/>
        </w:rPr>
        <w:t xml:space="preserve">3. Domain-Driven Design: Bounded Contexts</w:t>
      </w:r>
    </w:p>
    <w:p>
      <w:pPr>
        <w:pStyle w:val="Heading2"/>
        <w:spacing w:before="300" w:after="150"/>
      </w:pPr>
      <w:r>
        <w:rPr>
          <w:b/>
          <w:bCs/>
          <w:color w:val="2E75B6"/>
          <w:sz w:val="26"/>
          <w:szCs w:val="26"/>
        </w:rPr>
        <w:t xml:space="preserve">3.1 Context Consolidation Rationale</w:t>
      </w:r>
    </w:p>
    <w:p>
      <w:pPr>
        <w:spacing w:after="160" w:line="276"/>
      </w:pPr>
      <w:r>
        <w:rPr>
          <w:b w:val="false"/>
          <w:bCs w:val="false"/>
          <w:i w:val="false"/>
          <w:iCs w:val="false"/>
          <w:color w:val="1A1A1A"/>
          <w:sz w:val="22"/>
          <w:szCs w:val="22"/>
        </w:rPr>
        <w:t xml:space="preserve">The 21 capability domains from Vol. 1 are consolidated into 16 bounded contexts. Consolidation follows standard DDD guidance: capabilities that share a ubiquitous language, change for the same business reasons, and are usually modified together are merged (e.g. Expense Management folds into Payables since both represent money leaving the business); capabilities with genuinely distinct language and change cadence stay separate (e.g. Tax Compliance is distinct from Ledger even though both touch financial postings, because tax rules change on regulatory schedules, not accounting schedules).</w:t>
      </w:r>
    </w:p>
    <w:p>
      <w:pPr>
        <w:pStyle w:val="Heading2"/>
        <w:spacing w:before="300" w:after="150"/>
      </w:pPr>
      <w:r>
        <w:rPr>
          <w:b/>
          <w:bCs/>
          <w:color w:val="2E75B6"/>
          <w:sz w:val="26"/>
          <w:szCs w:val="26"/>
        </w:rPr>
        <w:t xml:space="preserve">3.2 Bounded Context Catalog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2200"/>
        <w:gridCol w:w="295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Context ID</w:t>
            </w:r>
          </w:p>
        </w:tc>
        <w:tc>
          <w:tcPr>
            <w:tcW w:type="dxa" w:w="2900"/>
            <w:shd w:fill="1F3864" w:val="clear"/>
            <w:tcMar>
              <w:top w:type="dxa" w:w="80"/>
              <w:left w:type="dxa" w:w="100"/>
              <w:bottom w:type="dxa" w:w="80"/>
              <w:right w:type="dxa" w:w="100"/>
            </w:tcMar>
            <w:vAlign w:val="center"/>
          </w:tcPr>
          <w:p>
            <w:r>
              <w:rPr>
                <w:b/>
                <w:bCs/>
                <w:color w:val="FFFFFF"/>
                <w:sz w:val="19"/>
                <w:szCs w:val="19"/>
              </w:rPr>
              <w:t xml:space="preserve">Bounded Context</w:t>
            </w:r>
          </w:p>
        </w:tc>
        <w:tc>
          <w:tcPr>
            <w:tcW w:type="dxa" w:w="2200"/>
            <w:shd w:fill="1F3864" w:val="clear"/>
            <w:tcMar>
              <w:top w:type="dxa" w:w="80"/>
              <w:left w:type="dxa" w:w="100"/>
              <w:bottom w:type="dxa" w:w="80"/>
              <w:right w:type="dxa" w:w="100"/>
            </w:tcMar>
            <w:vAlign w:val="center"/>
          </w:tcPr>
          <w:p>
            <w:r>
              <w:rPr>
                <w:b/>
                <w:bCs/>
                <w:color w:val="FFFFFF"/>
                <w:sz w:val="19"/>
                <w:szCs w:val="19"/>
              </w:rPr>
              <w:t xml:space="preserve">BC-xx Mapped</w:t>
            </w:r>
          </w:p>
        </w:tc>
        <w:tc>
          <w:tcPr>
            <w:tcW w:type="dxa" w:w="2950"/>
            <w:shd w:fill="1F3864" w:val="clear"/>
            <w:tcMar>
              <w:top w:type="dxa" w:w="80"/>
              <w:left w:type="dxa" w:w="100"/>
              <w:bottom w:type="dxa" w:w="80"/>
              <w:right w:type="dxa" w:w="100"/>
            </w:tcMar>
            <w:vAlign w:val="center"/>
          </w:tcPr>
          <w:p>
            <w:r>
              <w:rPr>
                <w:b/>
                <w:bCs/>
                <w:color w:val="FFFFFF"/>
                <w:sz w:val="19"/>
                <w:szCs w:val="19"/>
              </w:rPr>
              <w:t xml:space="preserve">Type</w:t>
            </w:r>
          </w:p>
        </w:tc>
      </w:tr>
      <w:tr>
        <w:tc>
          <w:tcPr>
            <w:tcW w:type="dxa" w:w="1300"/>
            <w:shd w:fill="FFFFFF" w:val="clear"/>
            <w:tcMar>
              <w:top w:type="dxa" w:w="70"/>
              <w:left w:type="dxa" w:w="100"/>
              <w:bottom w:type="dxa" w:w="70"/>
              <w:right w:type="dxa" w:w="100"/>
            </w:tcMar>
          </w:tcPr>
          <w:p>
            <w:r>
              <w:rPr>
                <w:sz w:val="19"/>
                <w:szCs w:val="19"/>
              </w:rPr>
              <w:t xml:space="preserve">CTX-01</w:t>
            </w:r>
          </w:p>
        </w:tc>
        <w:tc>
          <w:tcPr>
            <w:tcW w:type="dxa" w:w="2900"/>
            <w:shd w:fill="FFFFFF" w:val="clear"/>
            <w:tcMar>
              <w:top w:type="dxa" w:w="70"/>
              <w:left w:type="dxa" w:w="100"/>
              <w:bottom w:type="dxa" w:w="70"/>
              <w:right w:type="dxa" w:w="100"/>
            </w:tcMar>
          </w:tcPr>
          <w:p>
            <w:r>
              <w:rPr>
                <w:sz w:val="19"/>
                <w:szCs w:val="19"/>
              </w:rPr>
              <w:t xml:space="preserve">Identity &amp; Tenant</w:t>
            </w:r>
          </w:p>
        </w:tc>
        <w:tc>
          <w:tcPr>
            <w:tcW w:type="dxa" w:w="2200"/>
            <w:shd w:fill="FFFFFF" w:val="clear"/>
            <w:tcMar>
              <w:top w:type="dxa" w:w="70"/>
              <w:left w:type="dxa" w:w="100"/>
              <w:bottom w:type="dxa" w:w="70"/>
              <w:right w:type="dxa" w:w="100"/>
            </w:tcMar>
          </w:tcPr>
          <w:p>
            <w:r>
              <w:rPr>
                <w:sz w:val="19"/>
                <w:szCs w:val="19"/>
              </w:rPr>
              <w:t xml:space="preserve">BC-20, BC-21</w:t>
            </w:r>
          </w:p>
        </w:tc>
        <w:tc>
          <w:tcPr>
            <w:tcW w:type="dxa" w:w="2950"/>
            <w:shd w:fill="FFFFFF" w:val="clear"/>
            <w:tcMar>
              <w:top w:type="dxa" w:w="70"/>
              <w:left w:type="dxa" w:w="100"/>
              <w:bottom w:type="dxa" w:w="70"/>
              <w:right w:type="dxa" w:w="100"/>
            </w:tcMar>
          </w:tcPr>
          <w:p>
            <w:r>
              <w:rPr>
                <w:sz w:val="19"/>
                <w:szCs w:val="19"/>
              </w:rPr>
              <w:t xml:space="preserve">Foundational (Core)</w:t>
            </w:r>
          </w:p>
        </w:tc>
      </w:tr>
      <w:tr>
        <w:tc>
          <w:tcPr>
            <w:tcW w:type="dxa" w:w="1300"/>
            <w:shd w:fill="DCE6F1" w:val="clear"/>
            <w:tcMar>
              <w:top w:type="dxa" w:w="70"/>
              <w:left w:type="dxa" w:w="100"/>
              <w:bottom w:type="dxa" w:w="70"/>
              <w:right w:type="dxa" w:w="100"/>
            </w:tcMar>
          </w:tcPr>
          <w:p>
            <w:r>
              <w:rPr>
                <w:sz w:val="19"/>
                <w:szCs w:val="19"/>
              </w:rPr>
              <w:t xml:space="preserve">CTX-02</w:t>
            </w:r>
          </w:p>
        </w:tc>
        <w:tc>
          <w:tcPr>
            <w:tcW w:type="dxa" w:w="2900"/>
            <w:shd w:fill="DCE6F1" w:val="clear"/>
            <w:tcMar>
              <w:top w:type="dxa" w:w="70"/>
              <w:left w:type="dxa" w:w="100"/>
              <w:bottom w:type="dxa" w:w="70"/>
              <w:right w:type="dxa" w:w="100"/>
            </w:tcMar>
          </w:tcPr>
          <w:p>
            <w:r>
              <w:rPr>
                <w:sz w:val="19"/>
                <w:szCs w:val="19"/>
              </w:rPr>
              <w:t xml:space="preserve">Ledger</w:t>
            </w:r>
          </w:p>
        </w:tc>
        <w:tc>
          <w:tcPr>
            <w:tcW w:type="dxa" w:w="2200"/>
            <w:shd w:fill="DCE6F1" w:val="clear"/>
            <w:tcMar>
              <w:top w:type="dxa" w:w="70"/>
              <w:left w:type="dxa" w:w="100"/>
              <w:bottom w:type="dxa" w:w="70"/>
              <w:right w:type="dxa" w:w="100"/>
            </w:tcMar>
          </w:tcPr>
          <w:p>
            <w:r>
              <w:rPr>
                <w:sz w:val="19"/>
                <w:szCs w:val="19"/>
              </w:rPr>
              <w:t xml:space="preserve">BC-01, BC-08</w:t>
            </w:r>
          </w:p>
        </w:tc>
        <w:tc>
          <w:tcPr>
            <w:tcW w:type="dxa" w:w="2950"/>
            <w:shd w:fill="DCE6F1" w:val="clear"/>
            <w:tcMar>
              <w:top w:type="dxa" w:w="70"/>
              <w:left w:type="dxa" w:w="100"/>
              <w:bottom w:type="dxa" w:w="70"/>
              <w:right w:type="dxa" w:w="100"/>
            </w:tcMar>
          </w:tcPr>
          <w:p>
            <w:r>
              <w:rPr>
                <w:sz w:val="19"/>
                <w:szCs w:val="19"/>
              </w:rPr>
              <w:t xml:space="preserve">Core Domain</w:t>
            </w:r>
          </w:p>
        </w:tc>
      </w:tr>
      <w:tr>
        <w:tc>
          <w:tcPr>
            <w:tcW w:type="dxa" w:w="1300"/>
            <w:shd w:fill="FFFFFF" w:val="clear"/>
            <w:tcMar>
              <w:top w:type="dxa" w:w="70"/>
              <w:left w:type="dxa" w:w="100"/>
              <w:bottom w:type="dxa" w:w="70"/>
              <w:right w:type="dxa" w:w="100"/>
            </w:tcMar>
          </w:tcPr>
          <w:p>
            <w:r>
              <w:rPr>
                <w:sz w:val="19"/>
                <w:szCs w:val="19"/>
              </w:rPr>
              <w:t xml:space="preserve">CTX-03</w:t>
            </w:r>
          </w:p>
        </w:tc>
        <w:tc>
          <w:tcPr>
            <w:tcW w:type="dxa" w:w="2900"/>
            <w:shd w:fill="FFFFFF" w:val="clear"/>
            <w:tcMar>
              <w:top w:type="dxa" w:w="70"/>
              <w:left w:type="dxa" w:w="100"/>
              <w:bottom w:type="dxa" w:w="70"/>
              <w:right w:type="dxa" w:w="100"/>
            </w:tcMar>
          </w:tcPr>
          <w:p>
            <w:r>
              <w:rPr>
                <w:sz w:val="19"/>
                <w:szCs w:val="19"/>
              </w:rPr>
              <w:t xml:space="preserve">Receivables</w:t>
            </w:r>
          </w:p>
        </w:tc>
        <w:tc>
          <w:tcPr>
            <w:tcW w:type="dxa" w:w="2200"/>
            <w:shd w:fill="FFFFFF" w:val="clear"/>
            <w:tcMar>
              <w:top w:type="dxa" w:w="70"/>
              <w:left w:type="dxa" w:w="100"/>
              <w:bottom w:type="dxa" w:w="70"/>
              <w:right w:type="dxa" w:w="100"/>
            </w:tcMar>
          </w:tcPr>
          <w:p>
            <w:r>
              <w:rPr>
                <w:sz w:val="19"/>
                <w:szCs w:val="19"/>
              </w:rPr>
              <w:t xml:space="preserve">BC-02</w:t>
            </w:r>
          </w:p>
        </w:tc>
        <w:tc>
          <w:tcPr>
            <w:tcW w:type="dxa" w:w="2950"/>
            <w:shd w:fill="FFFFFF" w:val="clear"/>
            <w:tcMar>
              <w:top w:type="dxa" w:w="70"/>
              <w:left w:type="dxa" w:w="100"/>
              <w:bottom w:type="dxa" w:w="70"/>
              <w:right w:type="dxa" w:w="100"/>
            </w:tcMar>
          </w:tcPr>
          <w:p>
            <w:r>
              <w:rPr>
                <w:sz w:val="19"/>
                <w:szCs w:val="19"/>
              </w:rPr>
              <w:t xml:space="preserve">Core Domain</w:t>
            </w:r>
          </w:p>
        </w:tc>
      </w:tr>
      <w:tr>
        <w:tc>
          <w:tcPr>
            <w:tcW w:type="dxa" w:w="1300"/>
            <w:shd w:fill="DCE6F1" w:val="clear"/>
            <w:tcMar>
              <w:top w:type="dxa" w:w="70"/>
              <w:left w:type="dxa" w:w="100"/>
              <w:bottom w:type="dxa" w:w="70"/>
              <w:right w:type="dxa" w:w="100"/>
            </w:tcMar>
          </w:tcPr>
          <w:p>
            <w:r>
              <w:rPr>
                <w:sz w:val="19"/>
                <w:szCs w:val="19"/>
              </w:rPr>
              <w:t xml:space="preserve">CTX-04</w:t>
            </w:r>
          </w:p>
        </w:tc>
        <w:tc>
          <w:tcPr>
            <w:tcW w:type="dxa" w:w="2900"/>
            <w:shd w:fill="DCE6F1" w:val="clear"/>
            <w:tcMar>
              <w:top w:type="dxa" w:w="70"/>
              <w:left w:type="dxa" w:w="100"/>
              <w:bottom w:type="dxa" w:w="70"/>
              <w:right w:type="dxa" w:w="100"/>
            </w:tcMar>
          </w:tcPr>
          <w:p>
            <w:r>
              <w:rPr>
                <w:sz w:val="19"/>
                <w:szCs w:val="19"/>
              </w:rPr>
              <w:t xml:space="preserve">Payables</w:t>
            </w:r>
          </w:p>
        </w:tc>
        <w:tc>
          <w:tcPr>
            <w:tcW w:type="dxa" w:w="2200"/>
            <w:shd w:fill="DCE6F1" w:val="clear"/>
            <w:tcMar>
              <w:top w:type="dxa" w:w="70"/>
              <w:left w:type="dxa" w:w="100"/>
              <w:bottom w:type="dxa" w:w="70"/>
              <w:right w:type="dxa" w:w="100"/>
            </w:tcMar>
          </w:tcPr>
          <w:p>
            <w:r>
              <w:rPr>
                <w:sz w:val="19"/>
                <w:szCs w:val="19"/>
              </w:rPr>
              <w:t xml:space="preserve">BC-03, BC-04</w:t>
            </w:r>
          </w:p>
        </w:tc>
        <w:tc>
          <w:tcPr>
            <w:tcW w:type="dxa" w:w="2950"/>
            <w:shd w:fill="DCE6F1" w:val="clear"/>
            <w:tcMar>
              <w:top w:type="dxa" w:w="70"/>
              <w:left w:type="dxa" w:w="100"/>
              <w:bottom w:type="dxa" w:w="70"/>
              <w:right w:type="dxa" w:w="100"/>
            </w:tcMar>
          </w:tcPr>
          <w:p>
            <w:r>
              <w:rPr>
                <w:sz w:val="19"/>
                <w:szCs w:val="19"/>
              </w:rPr>
              <w:t xml:space="preserve">Core Domain</w:t>
            </w:r>
          </w:p>
        </w:tc>
      </w:tr>
      <w:tr>
        <w:tc>
          <w:tcPr>
            <w:tcW w:type="dxa" w:w="1300"/>
            <w:shd w:fill="FFFFFF" w:val="clear"/>
            <w:tcMar>
              <w:top w:type="dxa" w:w="70"/>
              <w:left w:type="dxa" w:w="100"/>
              <w:bottom w:type="dxa" w:w="70"/>
              <w:right w:type="dxa" w:w="100"/>
            </w:tcMar>
          </w:tcPr>
          <w:p>
            <w:r>
              <w:rPr>
                <w:sz w:val="19"/>
                <w:szCs w:val="19"/>
              </w:rPr>
              <w:t xml:space="preserve">CTX-05</w:t>
            </w:r>
          </w:p>
        </w:tc>
        <w:tc>
          <w:tcPr>
            <w:tcW w:type="dxa" w:w="2900"/>
            <w:shd w:fill="FFFFFF" w:val="clear"/>
            <w:tcMar>
              <w:top w:type="dxa" w:w="70"/>
              <w:left w:type="dxa" w:w="100"/>
              <w:bottom w:type="dxa" w:w="70"/>
              <w:right w:type="dxa" w:w="100"/>
            </w:tcMar>
          </w:tcPr>
          <w:p>
            <w:r>
              <w:rPr>
                <w:sz w:val="19"/>
                <w:szCs w:val="19"/>
              </w:rPr>
              <w:t xml:space="preserve">Banking</w:t>
            </w:r>
          </w:p>
        </w:tc>
        <w:tc>
          <w:tcPr>
            <w:tcW w:type="dxa" w:w="2200"/>
            <w:shd w:fill="FFFFFF" w:val="clear"/>
            <w:tcMar>
              <w:top w:type="dxa" w:w="70"/>
              <w:left w:type="dxa" w:w="100"/>
              <w:bottom w:type="dxa" w:w="70"/>
              <w:right w:type="dxa" w:w="100"/>
            </w:tcMar>
          </w:tcPr>
          <w:p>
            <w:r>
              <w:rPr>
                <w:sz w:val="19"/>
                <w:szCs w:val="19"/>
              </w:rPr>
              <w:t xml:space="preserve">BC-05</w:t>
            </w:r>
          </w:p>
        </w:tc>
        <w:tc>
          <w:tcPr>
            <w:tcW w:type="dxa" w:w="2950"/>
            <w:shd w:fill="FFFFFF" w:val="clear"/>
            <w:tcMar>
              <w:top w:type="dxa" w:w="70"/>
              <w:left w:type="dxa" w:w="100"/>
              <w:bottom w:type="dxa" w:w="70"/>
              <w:right w:type="dxa" w:w="100"/>
            </w:tcMar>
          </w:tcPr>
          <w:p>
            <w:r>
              <w:rPr>
                <w:sz w:val="19"/>
                <w:szCs w:val="19"/>
              </w:rPr>
              <w:t xml:space="preserve">Core Domain</w:t>
            </w:r>
          </w:p>
        </w:tc>
      </w:tr>
      <w:tr>
        <w:tc>
          <w:tcPr>
            <w:tcW w:type="dxa" w:w="1300"/>
            <w:shd w:fill="DCE6F1" w:val="clear"/>
            <w:tcMar>
              <w:top w:type="dxa" w:w="70"/>
              <w:left w:type="dxa" w:w="100"/>
              <w:bottom w:type="dxa" w:w="70"/>
              <w:right w:type="dxa" w:w="100"/>
            </w:tcMar>
          </w:tcPr>
          <w:p>
            <w:r>
              <w:rPr>
                <w:sz w:val="19"/>
                <w:szCs w:val="19"/>
              </w:rPr>
              <w:t xml:space="preserve">CTX-06</w:t>
            </w:r>
          </w:p>
        </w:tc>
        <w:tc>
          <w:tcPr>
            <w:tcW w:type="dxa" w:w="2900"/>
            <w:shd w:fill="DCE6F1" w:val="clear"/>
            <w:tcMar>
              <w:top w:type="dxa" w:w="70"/>
              <w:left w:type="dxa" w:w="100"/>
              <w:bottom w:type="dxa" w:w="70"/>
              <w:right w:type="dxa" w:w="100"/>
            </w:tcMar>
          </w:tcPr>
          <w:p>
            <w:r>
              <w:rPr>
                <w:sz w:val="19"/>
                <w:szCs w:val="19"/>
              </w:rPr>
              <w:t xml:space="preserve">Payments</w:t>
            </w:r>
          </w:p>
        </w:tc>
        <w:tc>
          <w:tcPr>
            <w:tcW w:type="dxa" w:w="2200"/>
            <w:shd w:fill="DCE6F1" w:val="clear"/>
            <w:tcMar>
              <w:top w:type="dxa" w:w="70"/>
              <w:left w:type="dxa" w:w="100"/>
              <w:bottom w:type="dxa" w:w="70"/>
              <w:right w:type="dxa" w:w="100"/>
            </w:tcMar>
          </w:tcPr>
          <w:p>
            <w:r>
              <w:rPr>
                <w:sz w:val="19"/>
                <w:szCs w:val="19"/>
              </w:rPr>
              <w:t xml:space="preserve">BC-06</w:t>
            </w:r>
          </w:p>
        </w:tc>
        <w:tc>
          <w:tcPr>
            <w:tcW w:type="dxa" w:w="2950"/>
            <w:shd w:fill="DCE6F1" w:val="clear"/>
            <w:tcMar>
              <w:top w:type="dxa" w:w="70"/>
              <w:left w:type="dxa" w:w="100"/>
              <w:bottom w:type="dxa" w:w="70"/>
              <w:right w:type="dxa" w:w="100"/>
            </w:tcMar>
          </w:tcPr>
          <w:p>
            <w:r>
              <w:rPr>
                <w:sz w:val="19"/>
                <w:szCs w:val="19"/>
              </w:rPr>
              <w:t xml:space="preserve">Supporting</w:t>
            </w:r>
          </w:p>
        </w:tc>
      </w:tr>
      <w:tr>
        <w:tc>
          <w:tcPr>
            <w:tcW w:type="dxa" w:w="1300"/>
            <w:shd w:fill="FFFFFF" w:val="clear"/>
            <w:tcMar>
              <w:top w:type="dxa" w:w="70"/>
              <w:left w:type="dxa" w:w="100"/>
              <w:bottom w:type="dxa" w:w="70"/>
              <w:right w:type="dxa" w:w="100"/>
            </w:tcMar>
          </w:tcPr>
          <w:p>
            <w:r>
              <w:rPr>
                <w:sz w:val="19"/>
                <w:szCs w:val="19"/>
              </w:rPr>
              <w:t xml:space="preserve">CTX-07</w:t>
            </w:r>
          </w:p>
        </w:tc>
        <w:tc>
          <w:tcPr>
            <w:tcW w:type="dxa" w:w="2900"/>
            <w:shd w:fill="FFFFFF" w:val="clear"/>
            <w:tcMar>
              <w:top w:type="dxa" w:w="70"/>
              <w:left w:type="dxa" w:w="100"/>
              <w:bottom w:type="dxa" w:w="70"/>
              <w:right w:type="dxa" w:w="100"/>
            </w:tcMar>
          </w:tcPr>
          <w:p>
            <w:r>
              <w:rPr>
                <w:sz w:val="19"/>
                <w:szCs w:val="19"/>
              </w:rPr>
              <w:t xml:space="preserve">Inventory</w:t>
            </w:r>
          </w:p>
        </w:tc>
        <w:tc>
          <w:tcPr>
            <w:tcW w:type="dxa" w:w="2200"/>
            <w:shd w:fill="FFFFFF" w:val="clear"/>
            <w:tcMar>
              <w:top w:type="dxa" w:w="70"/>
              <w:left w:type="dxa" w:w="100"/>
              <w:bottom w:type="dxa" w:w="70"/>
              <w:right w:type="dxa" w:w="100"/>
            </w:tcMar>
          </w:tcPr>
          <w:p>
            <w:r>
              <w:rPr>
                <w:sz w:val="19"/>
                <w:szCs w:val="19"/>
              </w:rPr>
              <w:t xml:space="preserve">BC-07</w:t>
            </w:r>
          </w:p>
        </w:tc>
        <w:tc>
          <w:tcPr>
            <w:tcW w:type="dxa" w:w="2950"/>
            <w:shd w:fill="FFFFFF" w:val="clear"/>
            <w:tcMar>
              <w:top w:type="dxa" w:w="70"/>
              <w:left w:type="dxa" w:w="100"/>
              <w:bottom w:type="dxa" w:w="70"/>
              <w:right w:type="dxa" w:w="100"/>
            </w:tcMar>
          </w:tcPr>
          <w:p>
            <w:r>
              <w:rPr>
                <w:sz w:val="19"/>
                <w:szCs w:val="19"/>
              </w:rPr>
              <w:t xml:space="preserve">Core Domain</w:t>
            </w:r>
          </w:p>
        </w:tc>
      </w:tr>
      <w:tr>
        <w:tc>
          <w:tcPr>
            <w:tcW w:type="dxa" w:w="1300"/>
            <w:shd w:fill="DCE6F1" w:val="clear"/>
            <w:tcMar>
              <w:top w:type="dxa" w:w="70"/>
              <w:left w:type="dxa" w:w="100"/>
              <w:bottom w:type="dxa" w:w="70"/>
              <w:right w:type="dxa" w:w="100"/>
            </w:tcMar>
          </w:tcPr>
          <w:p>
            <w:r>
              <w:rPr>
                <w:sz w:val="19"/>
                <w:szCs w:val="19"/>
              </w:rPr>
              <w:t xml:space="preserve">CTX-08</w:t>
            </w:r>
          </w:p>
        </w:tc>
        <w:tc>
          <w:tcPr>
            <w:tcW w:type="dxa" w:w="2900"/>
            <w:shd w:fill="DCE6F1" w:val="clear"/>
            <w:tcMar>
              <w:top w:type="dxa" w:w="70"/>
              <w:left w:type="dxa" w:w="100"/>
              <w:bottom w:type="dxa" w:w="70"/>
              <w:right w:type="dxa" w:w="100"/>
            </w:tcMar>
          </w:tcPr>
          <w:p>
            <w:r>
              <w:rPr>
                <w:sz w:val="19"/>
                <w:szCs w:val="19"/>
              </w:rPr>
              <w:t xml:space="preserve">Projects</w:t>
            </w:r>
          </w:p>
        </w:tc>
        <w:tc>
          <w:tcPr>
            <w:tcW w:type="dxa" w:w="2200"/>
            <w:shd w:fill="DCE6F1" w:val="clear"/>
            <w:tcMar>
              <w:top w:type="dxa" w:w="70"/>
              <w:left w:type="dxa" w:w="100"/>
              <w:bottom w:type="dxa" w:w="70"/>
              <w:right w:type="dxa" w:w="100"/>
            </w:tcMar>
          </w:tcPr>
          <w:p>
            <w:r>
              <w:rPr>
                <w:sz w:val="19"/>
                <w:szCs w:val="19"/>
              </w:rPr>
              <w:t xml:space="preserve">BC-09</w:t>
            </w:r>
          </w:p>
        </w:tc>
        <w:tc>
          <w:tcPr>
            <w:tcW w:type="dxa" w:w="2950"/>
            <w:shd w:fill="DCE6F1" w:val="clear"/>
            <w:tcMar>
              <w:top w:type="dxa" w:w="70"/>
              <w:left w:type="dxa" w:w="100"/>
              <w:bottom w:type="dxa" w:w="70"/>
              <w:right w:type="dxa" w:w="100"/>
            </w:tcMar>
          </w:tcPr>
          <w:p>
            <w:r>
              <w:rPr>
                <w:sz w:val="19"/>
                <w:szCs w:val="19"/>
              </w:rPr>
              <w:t xml:space="preserve">Supporting</w:t>
            </w:r>
          </w:p>
        </w:tc>
      </w:tr>
      <w:tr>
        <w:tc>
          <w:tcPr>
            <w:tcW w:type="dxa" w:w="1300"/>
            <w:shd w:fill="FFFFFF" w:val="clear"/>
            <w:tcMar>
              <w:top w:type="dxa" w:w="70"/>
              <w:left w:type="dxa" w:w="100"/>
              <w:bottom w:type="dxa" w:w="70"/>
              <w:right w:type="dxa" w:w="100"/>
            </w:tcMar>
          </w:tcPr>
          <w:p>
            <w:r>
              <w:rPr>
                <w:sz w:val="19"/>
                <w:szCs w:val="19"/>
              </w:rPr>
              <w:t xml:space="preserve">CTX-09</w:t>
            </w:r>
          </w:p>
        </w:tc>
        <w:tc>
          <w:tcPr>
            <w:tcW w:type="dxa" w:w="2900"/>
            <w:shd w:fill="FFFFFF" w:val="clear"/>
            <w:tcMar>
              <w:top w:type="dxa" w:w="70"/>
              <w:left w:type="dxa" w:w="100"/>
              <w:bottom w:type="dxa" w:w="70"/>
              <w:right w:type="dxa" w:w="100"/>
            </w:tcMar>
          </w:tcPr>
          <w:p>
            <w:r>
              <w:rPr>
                <w:sz w:val="19"/>
                <w:szCs w:val="19"/>
              </w:rPr>
              <w:t xml:space="preserve">Payroll</w:t>
            </w:r>
          </w:p>
        </w:tc>
        <w:tc>
          <w:tcPr>
            <w:tcW w:type="dxa" w:w="2200"/>
            <w:shd w:fill="FFFFFF" w:val="clear"/>
            <w:tcMar>
              <w:top w:type="dxa" w:w="70"/>
              <w:left w:type="dxa" w:w="100"/>
              <w:bottom w:type="dxa" w:w="70"/>
              <w:right w:type="dxa" w:w="100"/>
            </w:tcMar>
          </w:tcPr>
          <w:p>
            <w:r>
              <w:rPr>
                <w:sz w:val="19"/>
                <w:szCs w:val="19"/>
              </w:rPr>
              <w:t xml:space="preserve">BC-10</w:t>
            </w:r>
          </w:p>
        </w:tc>
        <w:tc>
          <w:tcPr>
            <w:tcW w:type="dxa" w:w="2950"/>
            <w:shd w:fill="FFFFFF" w:val="clear"/>
            <w:tcMar>
              <w:top w:type="dxa" w:w="70"/>
              <w:left w:type="dxa" w:w="100"/>
              <w:bottom w:type="dxa" w:w="70"/>
              <w:right w:type="dxa" w:w="100"/>
            </w:tcMar>
          </w:tcPr>
          <w:p>
            <w:r>
              <w:rPr>
                <w:sz w:val="19"/>
                <w:szCs w:val="19"/>
              </w:rPr>
              <w:t xml:space="preserve">Supporting (R3)</w:t>
            </w:r>
          </w:p>
        </w:tc>
      </w:tr>
      <w:tr>
        <w:tc>
          <w:tcPr>
            <w:tcW w:type="dxa" w:w="1300"/>
            <w:shd w:fill="DCE6F1" w:val="clear"/>
            <w:tcMar>
              <w:top w:type="dxa" w:w="70"/>
              <w:left w:type="dxa" w:w="100"/>
              <w:bottom w:type="dxa" w:w="70"/>
              <w:right w:type="dxa" w:w="100"/>
            </w:tcMar>
          </w:tcPr>
          <w:p>
            <w:r>
              <w:rPr>
                <w:sz w:val="19"/>
                <w:szCs w:val="19"/>
              </w:rPr>
              <w:t xml:space="preserve">CTX-10</w:t>
            </w:r>
          </w:p>
        </w:tc>
        <w:tc>
          <w:tcPr>
            <w:tcW w:type="dxa" w:w="2900"/>
            <w:shd w:fill="DCE6F1" w:val="clear"/>
            <w:tcMar>
              <w:top w:type="dxa" w:w="70"/>
              <w:left w:type="dxa" w:w="100"/>
              <w:bottom w:type="dxa" w:w="70"/>
              <w:right w:type="dxa" w:w="100"/>
            </w:tcMar>
          </w:tcPr>
          <w:p>
            <w:r>
              <w:rPr>
                <w:sz w:val="19"/>
                <w:szCs w:val="19"/>
              </w:rPr>
              <w:t xml:space="preserve">Tax &amp; Compliance</w:t>
            </w:r>
          </w:p>
        </w:tc>
        <w:tc>
          <w:tcPr>
            <w:tcW w:type="dxa" w:w="2200"/>
            <w:shd w:fill="DCE6F1" w:val="clear"/>
            <w:tcMar>
              <w:top w:type="dxa" w:w="70"/>
              <w:left w:type="dxa" w:w="100"/>
              <w:bottom w:type="dxa" w:w="70"/>
              <w:right w:type="dxa" w:w="100"/>
            </w:tcMar>
          </w:tcPr>
          <w:p>
            <w:r>
              <w:rPr>
                <w:sz w:val="19"/>
                <w:szCs w:val="19"/>
              </w:rPr>
              <w:t xml:space="preserve">BC-11, BC-12</w:t>
            </w:r>
          </w:p>
        </w:tc>
        <w:tc>
          <w:tcPr>
            <w:tcW w:type="dxa" w:w="2950"/>
            <w:shd w:fill="DCE6F1" w:val="clear"/>
            <w:tcMar>
              <w:top w:type="dxa" w:w="70"/>
              <w:left w:type="dxa" w:w="100"/>
              <w:bottom w:type="dxa" w:w="70"/>
              <w:right w:type="dxa" w:w="100"/>
            </w:tcMar>
          </w:tcPr>
          <w:p>
            <w:r>
              <w:rPr>
                <w:sz w:val="19"/>
                <w:szCs w:val="19"/>
              </w:rPr>
              <w:t xml:space="preserve">Supporting</w:t>
            </w:r>
          </w:p>
        </w:tc>
      </w:tr>
      <w:tr>
        <w:tc>
          <w:tcPr>
            <w:tcW w:type="dxa" w:w="1300"/>
            <w:shd w:fill="FFFFFF" w:val="clear"/>
            <w:tcMar>
              <w:top w:type="dxa" w:w="70"/>
              <w:left w:type="dxa" w:w="100"/>
              <w:bottom w:type="dxa" w:w="70"/>
              <w:right w:type="dxa" w:w="100"/>
            </w:tcMar>
          </w:tcPr>
          <w:p>
            <w:r>
              <w:rPr>
                <w:sz w:val="19"/>
                <w:szCs w:val="19"/>
              </w:rPr>
              <w:t xml:space="preserve">CTX-11</w:t>
            </w:r>
          </w:p>
        </w:tc>
        <w:tc>
          <w:tcPr>
            <w:tcW w:type="dxa" w:w="2900"/>
            <w:shd w:fill="FFFFFF" w:val="clear"/>
            <w:tcMar>
              <w:top w:type="dxa" w:w="70"/>
              <w:left w:type="dxa" w:w="100"/>
              <w:bottom w:type="dxa" w:w="70"/>
              <w:right w:type="dxa" w:w="100"/>
            </w:tcMar>
          </w:tcPr>
          <w:p>
            <w:r>
              <w:rPr>
                <w:sz w:val="19"/>
                <w:szCs w:val="19"/>
              </w:rPr>
              <w:t xml:space="preserve">Reporting &amp; Analytics</w:t>
            </w:r>
          </w:p>
        </w:tc>
        <w:tc>
          <w:tcPr>
            <w:tcW w:type="dxa" w:w="2200"/>
            <w:shd w:fill="FFFFFF" w:val="clear"/>
            <w:tcMar>
              <w:top w:type="dxa" w:w="70"/>
              <w:left w:type="dxa" w:w="100"/>
              <w:bottom w:type="dxa" w:w="70"/>
              <w:right w:type="dxa" w:w="100"/>
            </w:tcMar>
          </w:tcPr>
          <w:p>
            <w:r>
              <w:rPr>
                <w:sz w:val="19"/>
                <w:szCs w:val="19"/>
              </w:rPr>
              <w:t xml:space="preserve">BC-13</w:t>
            </w:r>
          </w:p>
        </w:tc>
        <w:tc>
          <w:tcPr>
            <w:tcW w:type="dxa" w:w="2950"/>
            <w:shd w:fill="FFFFFF" w:val="clear"/>
            <w:tcMar>
              <w:top w:type="dxa" w:w="70"/>
              <w:left w:type="dxa" w:w="100"/>
              <w:bottom w:type="dxa" w:w="70"/>
              <w:right w:type="dxa" w:w="100"/>
            </w:tcMar>
          </w:tcPr>
          <w:p>
            <w:r>
              <w:rPr>
                <w:sz w:val="19"/>
                <w:szCs w:val="19"/>
              </w:rPr>
              <w:t xml:space="preserve">Supporting (read-only aggregator)</w:t>
            </w:r>
          </w:p>
        </w:tc>
      </w:tr>
      <w:tr>
        <w:tc>
          <w:tcPr>
            <w:tcW w:type="dxa" w:w="1300"/>
            <w:shd w:fill="DCE6F1" w:val="clear"/>
            <w:tcMar>
              <w:top w:type="dxa" w:w="70"/>
              <w:left w:type="dxa" w:w="100"/>
              <w:bottom w:type="dxa" w:w="70"/>
              <w:right w:type="dxa" w:w="100"/>
            </w:tcMar>
          </w:tcPr>
          <w:p>
            <w:r>
              <w:rPr>
                <w:sz w:val="19"/>
                <w:szCs w:val="19"/>
              </w:rPr>
              <w:t xml:space="preserve">CTX-12</w:t>
            </w:r>
          </w:p>
        </w:tc>
        <w:tc>
          <w:tcPr>
            <w:tcW w:type="dxa" w:w="2900"/>
            <w:shd w:fill="DCE6F1" w:val="clear"/>
            <w:tcMar>
              <w:top w:type="dxa" w:w="70"/>
              <w:left w:type="dxa" w:w="100"/>
              <w:bottom w:type="dxa" w:w="70"/>
              <w:right w:type="dxa" w:w="100"/>
            </w:tcMar>
          </w:tcPr>
          <w:p>
            <w:r>
              <w:rPr>
                <w:sz w:val="19"/>
                <w:szCs w:val="19"/>
              </w:rPr>
              <w:t xml:space="preserve">Documents</w:t>
            </w:r>
          </w:p>
        </w:tc>
        <w:tc>
          <w:tcPr>
            <w:tcW w:type="dxa" w:w="2200"/>
            <w:shd w:fill="DCE6F1" w:val="clear"/>
            <w:tcMar>
              <w:top w:type="dxa" w:w="70"/>
              <w:left w:type="dxa" w:w="100"/>
              <w:bottom w:type="dxa" w:w="70"/>
              <w:right w:type="dxa" w:w="100"/>
            </w:tcMar>
          </w:tcPr>
          <w:p>
            <w:r>
              <w:rPr>
                <w:sz w:val="19"/>
                <w:szCs w:val="19"/>
              </w:rPr>
              <w:t xml:space="preserve">BC-14</w:t>
            </w:r>
          </w:p>
        </w:tc>
        <w:tc>
          <w:tcPr>
            <w:tcW w:type="dxa" w:w="2950"/>
            <w:shd w:fill="DCE6F1" w:val="clear"/>
            <w:tcMar>
              <w:top w:type="dxa" w:w="70"/>
              <w:left w:type="dxa" w:w="100"/>
              <w:bottom w:type="dxa" w:w="70"/>
              <w:right w:type="dxa" w:w="100"/>
            </w:tcMar>
          </w:tcPr>
          <w:p>
            <w:r>
              <w:rPr>
                <w:sz w:val="19"/>
                <w:szCs w:val="19"/>
              </w:rPr>
              <w:t xml:space="preserve">Generic</w:t>
            </w:r>
          </w:p>
        </w:tc>
      </w:tr>
      <w:tr>
        <w:tc>
          <w:tcPr>
            <w:tcW w:type="dxa" w:w="1300"/>
            <w:shd w:fill="FFFFFF" w:val="clear"/>
            <w:tcMar>
              <w:top w:type="dxa" w:w="70"/>
              <w:left w:type="dxa" w:w="100"/>
              <w:bottom w:type="dxa" w:w="70"/>
              <w:right w:type="dxa" w:w="100"/>
            </w:tcMar>
          </w:tcPr>
          <w:p>
            <w:r>
              <w:rPr>
                <w:sz w:val="19"/>
                <w:szCs w:val="19"/>
              </w:rPr>
              <w:t xml:space="preserve">CTX-13</w:t>
            </w:r>
          </w:p>
        </w:tc>
        <w:tc>
          <w:tcPr>
            <w:tcW w:type="dxa" w:w="2900"/>
            <w:shd w:fill="FFFFFF" w:val="clear"/>
            <w:tcMar>
              <w:top w:type="dxa" w:w="70"/>
              <w:left w:type="dxa" w:w="100"/>
              <w:bottom w:type="dxa" w:w="70"/>
              <w:right w:type="dxa" w:w="100"/>
            </w:tcMar>
          </w:tcPr>
          <w:p>
            <w:r>
              <w:rPr>
                <w:sz w:val="19"/>
                <w:szCs w:val="19"/>
              </w:rPr>
              <w:t xml:space="preserve">Collaboration &amp; Portals</w:t>
            </w:r>
          </w:p>
        </w:tc>
        <w:tc>
          <w:tcPr>
            <w:tcW w:type="dxa" w:w="2200"/>
            <w:shd w:fill="FFFFFF" w:val="clear"/>
            <w:tcMar>
              <w:top w:type="dxa" w:w="70"/>
              <w:left w:type="dxa" w:w="100"/>
              <w:bottom w:type="dxa" w:w="70"/>
              <w:right w:type="dxa" w:w="100"/>
            </w:tcMar>
          </w:tcPr>
          <w:p>
            <w:r>
              <w:rPr>
                <w:sz w:val="19"/>
                <w:szCs w:val="19"/>
              </w:rPr>
              <w:t xml:space="preserve">BC-15</w:t>
            </w:r>
          </w:p>
        </w:tc>
        <w:tc>
          <w:tcPr>
            <w:tcW w:type="dxa" w:w="2950"/>
            <w:shd w:fill="FFFFFF" w:val="clear"/>
            <w:tcMar>
              <w:top w:type="dxa" w:w="70"/>
              <w:left w:type="dxa" w:w="100"/>
              <w:bottom w:type="dxa" w:w="70"/>
              <w:right w:type="dxa" w:w="100"/>
            </w:tcMar>
          </w:tcPr>
          <w:p>
            <w:r>
              <w:rPr>
                <w:sz w:val="19"/>
                <w:szCs w:val="19"/>
              </w:rPr>
              <w:t xml:space="preserve">Supporting</w:t>
            </w:r>
          </w:p>
        </w:tc>
      </w:tr>
      <w:tr>
        <w:tc>
          <w:tcPr>
            <w:tcW w:type="dxa" w:w="1300"/>
            <w:shd w:fill="DCE6F1" w:val="clear"/>
            <w:tcMar>
              <w:top w:type="dxa" w:w="70"/>
              <w:left w:type="dxa" w:w="100"/>
              <w:bottom w:type="dxa" w:w="70"/>
              <w:right w:type="dxa" w:w="100"/>
            </w:tcMar>
          </w:tcPr>
          <w:p>
            <w:r>
              <w:rPr>
                <w:sz w:val="19"/>
                <w:szCs w:val="19"/>
              </w:rPr>
              <w:t xml:space="preserve">CTX-14</w:t>
            </w:r>
          </w:p>
        </w:tc>
        <w:tc>
          <w:tcPr>
            <w:tcW w:type="dxa" w:w="2900"/>
            <w:shd w:fill="DCE6F1" w:val="clear"/>
            <w:tcMar>
              <w:top w:type="dxa" w:w="70"/>
              <w:left w:type="dxa" w:w="100"/>
              <w:bottom w:type="dxa" w:w="70"/>
              <w:right w:type="dxa" w:w="100"/>
            </w:tcMar>
          </w:tcPr>
          <w:p>
            <w:r>
              <w:rPr>
                <w:sz w:val="19"/>
                <w:szCs w:val="19"/>
              </w:rPr>
              <w:t xml:space="preserve">Automation &amp; Customization</w:t>
            </w:r>
          </w:p>
        </w:tc>
        <w:tc>
          <w:tcPr>
            <w:tcW w:type="dxa" w:w="2200"/>
            <w:shd w:fill="DCE6F1" w:val="clear"/>
            <w:tcMar>
              <w:top w:type="dxa" w:w="70"/>
              <w:left w:type="dxa" w:w="100"/>
              <w:bottom w:type="dxa" w:w="70"/>
              <w:right w:type="dxa" w:w="100"/>
            </w:tcMar>
          </w:tcPr>
          <w:p>
            <w:r>
              <w:rPr>
                <w:sz w:val="19"/>
                <w:szCs w:val="19"/>
              </w:rPr>
              <w:t xml:space="preserve">BC-16, BC-17</w:t>
            </w:r>
          </w:p>
        </w:tc>
        <w:tc>
          <w:tcPr>
            <w:tcW w:type="dxa" w:w="2950"/>
            <w:shd w:fill="DCE6F1" w:val="clear"/>
            <w:tcMar>
              <w:top w:type="dxa" w:w="70"/>
              <w:left w:type="dxa" w:w="100"/>
              <w:bottom w:type="dxa" w:w="70"/>
              <w:right w:type="dxa" w:w="100"/>
            </w:tcMar>
          </w:tcPr>
          <w:p>
            <w:r>
              <w:rPr>
                <w:sz w:val="19"/>
                <w:szCs w:val="19"/>
              </w:rPr>
              <w:t xml:space="preserve">Supporting</w:t>
            </w:r>
          </w:p>
        </w:tc>
      </w:tr>
      <w:tr>
        <w:tc>
          <w:tcPr>
            <w:tcW w:type="dxa" w:w="1300"/>
            <w:shd w:fill="FFFFFF" w:val="clear"/>
            <w:tcMar>
              <w:top w:type="dxa" w:w="70"/>
              <w:left w:type="dxa" w:w="100"/>
              <w:bottom w:type="dxa" w:w="70"/>
              <w:right w:type="dxa" w:w="100"/>
            </w:tcMar>
          </w:tcPr>
          <w:p>
            <w:r>
              <w:rPr>
                <w:sz w:val="19"/>
                <w:szCs w:val="19"/>
              </w:rPr>
              <w:t xml:space="preserve">CTX-15</w:t>
            </w:r>
          </w:p>
        </w:tc>
        <w:tc>
          <w:tcPr>
            <w:tcW w:type="dxa" w:w="2900"/>
            <w:shd w:fill="FFFFFF" w:val="clear"/>
            <w:tcMar>
              <w:top w:type="dxa" w:w="70"/>
              <w:left w:type="dxa" w:w="100"/>
              <w:bottom w:type="dxa" w:w="70"/>
              <w:right w:type="dxa" w:w="100"/>
            </w:tcMar>
          </w:tcPr>
          <w:p>
            <w:r>
              <w:rPr>
                <w:sz w:val="19"/>
                <w:szCs w:val="19"/>
              </w:rPr>
              <w:t xml:space="preserve">AI Assistant</w:t>
            </w:r>
          </w:p>
        </w:tc>
        <w:tc>
          <w:tcPr>
            <w:tcW w:type="dxa" w:w="2200"/>
            <w:shd w:fill="FFFFFF" w:val="clear"/>
            <w:tcMar>
              <w:top w:type="dxa" w:w="70"/>
              <w:left w:type="dxa" w:w="100"/>
              <w:bottom w:type="dxa" w:w="70"/>
              <w:right w:type="dxa" w:w="100"/>
            </w:tcMar>
          </w:tcPr>
          <w:p>
            <w:r>
              <w:rPr>
                <w:sz w:val="19"/>
                <w:szCs w:val="19"/>
              </w:rPr>
              <w:t xml:space="preserve">BC-18</w:t>
            </w:r>
          </w:p>
        </w:tc>
        <w:tc>
          <w:tcPr>
            <w:tcW w:type="dxa" w:w="2950"/>
            <w:shd w:fill="FFFFFF" w:val="clear"/>
            <w:tcMar>
              <w:top w:type="dxa" w:w="70"/>
              <w:left w:type="dxa" w:w="100"/>
              <w:bottom w:type="dxa" w:w="70"/>
              <w:right w:type="dxa" w:w="100"/>
            </w:tcMar>
          </w:tcPr>
          <w:p>
            <w:r>
              <w:rPr>
                <w:sz w:val="19"/>
                <w:szCs w:val="19"/>
              </w:rPr>
              <w:t xml:space="preserve">Supporting (R2/R3)</w:t>
            </w:r>
          </w:p>
        </w:tc>
      </w:tr>
      <w:tr>
        <w:tc>
          <w:tcPr>
            <w:tcW w:type="dxa" w:w="1300"/>
            <w:shd w:fill="DCE6F1" w:val="clear"/>
            <w:tcMar>
              <w:top w:type="dxa" w:w="70"/>
              <w:left w:type="dxa" w:w="100"/>
              <w:bottom w:type="dxa" w:w="70"/>
              <w:right w:type="dxa" w:w="100"/>
            </w:tcMar>
          </w:tcPr>
          <w:p>
            <w:r>
              <w:rPr>
                <w:sz w:val="19"/>
                <w:szCs w:val="19"/>
              </w:rPr>
              <w:t xml:space="preserve">CTX-16</w:t>
            </w:r>
          </w:p>
        </w:tc>
        <w:tc>
          <w:tcPr>
            <w:tcW w:type="dxa" w:w="2900"/>
            <w:shd w:fill="DCE6F1" w:val="clear"/>
            <w:tcMar>
              <w:top w:type="dxa" w:w="70"/>
              <w:left w:type="dxa" w:w="100"/>
              <w:bottom w:type="dxa" w:w="70"/>
              <w:right w:type="dxa" w:w="100"/>
            </w:tcMar>
          </w:tcPr>
          <w:p>
            <w:r>
              <w:rPr>
                <w:sz w:val="19"/>
                <w:szCs w:val="19"/>
              </w:rPr>
              <w:t xml:space="preserve">Integration Gateway</w:t>
            </w:r>
          </w:p>
        </w:tc>
        <w:tc>
          <w:tcPr>
            <w:tcW w:type="dxa" w:w="2200"/>
            <w:shd w:fill="DCE6F1" w:val="clear"/>
            <w:tcMar>
              <w:top w:type="dxa" w:w="70"/>
              <w:left w:type="dxa" w:w="100"/>
              <w:bottom w:type="dxa" w:w="70"/>
              <w:right w:type="dxa" w:w="100"/>
            </w:tcMar>
          </w:tcPr>
          <w:p>
            <w:r>
              <w:rPr>
                <w:sz w:val="19"/>
                <w:szCs w:val="19"/>
              </w:rPr>
              <w:t xml:space="preserve">BC-19</w:t>
            </w:r>
          </w:p>
        </w:tc>
        <w:tc>
          <w:tcPr>
            <w:tcW w:type="dxa" w:w="2950"/>
            <w:shd w:fill="DCE6F1" w:val="clear"/>
            <w:tcMar>
              <w:top w:type="dxa" w:w="70"/>
              <w:left w:type="dxa" w:w="100"/>
              <w:bottom w:type="dxa" w:w="70"/>
              <w:right w:type="dxa" w:w="100"/>
            </w:tcMar>
          </w:tcPr>
          <w:p>
            <w:r>
              <w:rPr>
                <w:sz w:val="19"/>
                <w:szCs w:val="19"/>
              </w:rPr>
              <w:t xml:space="preserve">Generic</w:t>
            </w:r>
          </w:p>
        </w:tc>
      </w:tr>
    </w:tbl>
    <w:p>
      <w:pPr>
        <w:pStyle w:val="Heading2"/>
        <w:spacing w:before="300" w:after="150"/>
      </w:pPr>
      <w:r>
        <w:rPr>
          <w:b/>
          <w:bCs/>
          <w:color w:val="2E75B6"/>
          <w:sz w:val="26"/>
          <w:szCs w:val="26"/>
        </w:rPr>
        <w:t xml:space="preserve">3.3 Context Map</w:t>
      </w:r>
    </w:p>
    <w:p>
      <w:pPr>
        <w:spacing w:before="200" w:after="60"/>
      </w:pPr>
      <w:r>
        <w:rPr>
          <w:b/>
          <w:bCs/>
          <w:i/>
          <w:iCs/>
          <w:color w:val="2E75B6"/>
          <w:sz w:val="20"/>
          <w:szCs w:val="20"/>
        </w:rPr>
        <w:t xml:space="preserve">Diagram: Context map - relationships between bounded contexts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TB</w:t>
            </w:r>
          </w:p>
          <w:p>
            <w:r>
              <w:rPr>
                <w:color w:val="333333"/>
                <w:sz w:val="18"/>
                <w:szCs w:val="18"/>
                <w:rFonts w:ascii="Consolas" w:cs="Consolas" w:eastAsia="Consolas" w:hAnsi="Consolas"/>
              </w:rPr>
              <w:t xml:space="preserve">    Identity[CTX-01 Identity &amp; Tenant]</w:t>
            </w:r>
          </w:p>
          <w:p>
            <w:r>
              <w:rPr>
                <w:color w:val="333333"/>
                <w:sz w:val="18"/>
                <w:szCs w:val="18"/>
                <w:rFonts w:ascii="Consolas" w:cs="Consolas" w:eastAsia="Consolas" w:hAnsi="Consolas"/>
              </w:rPr>
              <w:t xml:space="preserve">    Ledger[CTX-02 Ledger]</w:t>
            </w:r>
          </w:p>
          <w:p>
            <w:r>
              <w:rPr>
                <w:color w:val="333333"/>
                <w:sz w:val="18"/>
                <w:szCs w:val="18"/>
                <w:rFonts w:ascii="Consolas" w:cs="Consolas" w:eastAsia="Consolas" w:hAnsi="Consolas"/>
              </w:rPr>
              <w:t xml:space="preserve">    Receivables[CTX-03 Receivables]</w:t>
            </w:r>
          </w:p>
          <w:p>
            <w:r>
              <w:rPr>
                <w:color w:val="333333"/>
                <w:sz w:val="18"/>
                <w:szCs w:val="18"/>
                <w:rFonts w:ascii="Consolas" w:cs="Consolas" w:eastAsia="Consolas" w:hAnsi="Consolas"/>
              </w:rPr>
              <w:t xml:space="preserve">    Payables[CTX-04 Payables]</w:t>
            </w:r>
          </w:p>
          <w:p>
            <w:r>
              <w:rPr>
                <w:color w:val="333333"/>
                <w:sz w:val="18"/>
                <w:szCs w:val="18"/>
                <w:rFonts w:ascii="Consolas" w:cs="Consolas" w:eastAsia="Consolas" w:hAnsi="Consolas"/>
              </w:rPr>
              <w:t xml:space="preserve">    Banking[CTX-05 Banking]</w:t>
            </w:r>
          </w:p>
          <w:p>
            <w:r>
              <w:rPr>
                <w:color w:val="333333"/>
                <w:sz w:val="18"/>
                <w:szCs w:val="18"/>
                <w:rFonts w:ascii="Consolas" w:cs="Consolas" w:eastAsia="Consolas" w:hAnsi="Consolas"/>
              </w:rPr>
              <w:t xml:space="preserve">    Payments[CTX-06 Payments]</w:t>
            </w:r>
          </w:p>
          <w:p>
            <w:r>
              <w:rPr>
                <w:color w:val="333333"/>
                <w:sz w:val="18"/>
                <w:szCs w:val="18"/>
                <w:rFonts w:ascii="Consolas" w:cs="Consolas" w:eastAsia="Consolas" w:hAnsi="Consolas"/>
              </w:rPr>
              <w:t xml:space="preserve">    Inventory[CTX-07 Inventory]</w:t>
            </w:r>
          </w:p>
          <w:p>
            <w:r>
              <w:rPr>
                <w:color w:val="333333"/>
                <w:sz w:val="18"/>
                <w:szCs w:val="18"/>
                <w:rFonts w:ascii="Consolas" w:cs="Consolas" w:eastAsia="Consolas" w:hAnsi="Consolas"/>
              </w:rPr>
              <w:t xml:space="preserve">    Projects[CTX-08 Projects]</w:t>
            </w:r>
          </w:p>
          <w:p>
            <w:r>
              <w:rPr>
                <w:color w:val="333333"/>
                <w:sz w:val="18"/>
                <w:szCs w:val="18"/>
                <w:rFonts w:ascii="Consolas" w:cs="Consolas" w:eastAsia="Consolas" w:hAnsi="Consolas"/>
              </w:rPr>
              <w:t xml:space="preserve">    Payroll[CTX-09 Payroll]</w:t>
            </w:r>
          </w:p>
          <w:p>
            <w:r>
              <w:rPr>
                <w:color w:val="333333"/>
                <w:sz w:val="18"/>
                <w:szCs w:val="18"/>
                <w:rFonts w:ascii="Consolas" w:cs="Consolas" w:eastAsia="Consolas" w:hAnsi="Consolas"/>
              </w:rPr>
              <w:t xml:space="preserve">    Tax[CTX-10 Tax &amp; Compliance]</w:t>
            </w:r>
          </w:p>
          <w:p>
            <w:r>
              <w:rPr>
                <w:color w:val="333333"/>
                <w:sz w:val="18"/>
                <w:szCs w:val="18"/>
                <w:rFonts w:ascii="Consolas" w:cs="Consolas" w:eastAsia="Consolas" w:hAnsi="Consolas"/>
              </w:rPr>
              <w:t xml:space="preserve">    Reporting[CTX-11 Reporting &amp; Analytics]</w:t>
            </w:r>
          </w:p>
          <w:p>
            <w:r>
              <w:rPr>
                <w:color w:val="333333"/>
                <w:sz w:val="18"/>
                <w:szCs w:val="18"/>
                <w:rFonts w:ascii="Consolas" w:cs="Consolas" w:eastAsia="Consolas" w:hAnsi="Consolas"/>
              </w:rPr>
              <w:t xml:space="preserve">    Documents[CTX-12 Documents]</w:t>
            </w:r>
          </w:p>
          <w:p>
            <w:r>
              <w:rPr>
                <w:color w:val="333333"/>
                <w:sz w:val="18"/>
                <w:szCs w:val="18"/>
                <w:rFonts w:ascii="Consolas" w:cs="Consolas" w:eastAsia="Consolas" w:hAnsi="Consolas"/>
              </w:rPr>
              <w:t xml:space="preserve">    Collab[CTX-13 Collaboration &amp; Portals]</w:t>
            </w:r>
          </w:p>
          <w:p>
            <w:r>
              <w:rPr>
                <w:color w:val="333333"/>
                <w:sz w:val="18"/>
                <w:szCs w:val="18"/>
                <w:rFonts w:ascii="Consolas" w:cs="Consolas" w:eastAsia="Consolas" w:hAnsi="Consolas"/>
              </w:rPr>
              <w:t xml:space="preserve">    Automation[CTX-14 Automation &amp; Customization]</w:t>
            </w:r>
          </w:p>
          <w:p>
            <w:r>
              <w:rPr>
                <w:color w:val="333333"/>
                <w:sz w:val="18"/>
                <w:szCs w:val="18"/>
                <w:rFonts w:ascii="Consolas" w:cs="Consolas" w:eastAsia="Consolas" w:hAnsi="Consolas"/>
              </w:rPr>
              <w:t xml:space="preserve">    AI[CTX-15 AI Assistant]</w:t>
            </w:r>
          </w:p>
          <w:p>
            <w:r>
              <w:rPr>
                <w:color w:val="333333"/>
                <w:sz w:val="18"/>
                <w:szCs w:val="18"/>
                <w:rFonts w:ascii="Consolas" w:cs="Consolas" w:eastAsia="Consolas" w:hAnsi="Consolas"/>
              </w:rPr>
              <w:t xml:space="preserve">    Integration[CTX-16 Integration Gateway]</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Identity -.shared kernel.-&gt; Ledger</w:t>
            </w:r>
          </w:p>
          <w:p>
            <w:r>
              <w:rPr>
                <w:color w:val="333333"/>
                <w:sz w:val="18"/>
                <w:szCs w:val="18"/>
                <w:rFonts w:ascii="Consolas" w:cs="Consolas" w:eastAsia="Consolas" w:hAnsi="Consolas"/>
              </w:rPr>
              <w:t xml:space="preserve">    Identity -.shared kernel.-&gt; Receivables</w:t>
            </w:r>
          </w:p>
          <w:p>
            <w:r>
              <w:rPr>
                <w:color w:val="333333"/>
                <w:sz w:val="18"/>
                <w:szCs w:val="18"/>
                <w:rFonts w:ascii="Consolas" w:cs="Consolas" w:eastAsia="Consolas" w:hAnsi="Consolas"/>
              </w:rPr>
              <w:t xml:space="preserve">    Identity -.shared kernel.-&gt; Payables</w:t>
            </w:r>
          </w:p>
          <w:p>
            <w:r>
              <w:rPr>
                <w:color w:val="333333"/>
                <w:sz w:val="18"/>
                <w:szCs w:val="18"/>
                <w:rFonts w:ascii="Consolas" w:cs="Consolas" w:eastAsia="Consolas" w:hAnsi="Consolas"/>
              </w:rPr>
              <w:t xml:space="preserve">    Identity -.shared kernel.-&gt; Inventory</w:t>
            </w:r>
          </w:p>
          <w:p>
            <w:r>
              <w:rPr>
                <w:color w:val="333333"/>
                <w:sz w:val="18"/>
                <w:szCs w:val="18"/>
                <w:rFonts w:ascii="Consolas" w:cs="Consolas" w:eastAsia="Consolas" w:hAnsi="Consolas"/>
              </w:rPr>
              <w:t xml:space="preserve">    Receivables --&gt;|customer/upstream| Ledger</w:t>
            </w:r>
          </w:p>
          <w:p>
            <w:r>
              <w:rPr>
                <w:color w:val="333333"/>
                <w:sz w:val="18"/>
                <w:szCs w:val="18"/>
                <w:rFonts w:ascii="Consolas" w:cs="Consolas" w:eastAsia="Consolas" w:hAnsi="Consolas"/>
              </w:rPr>
              <w:t xml:space="preserve">    Payables --&gt;|customer/upstream| Ledger</w:t>
            </w:r>
          </w:p>
          <w:p>
            <w:r>
              <w:rPr>
                <w:color w:val="333333"/>
                <w:sz w:val="18"/>
                <w:szCs w:val="18"/>
                <w:rFonts w:ascii="Consolas" w:cs="Consolas" w:eastAsia="Consolas" w:hAnsi="Consolas"/>
              </w:rPr>
              <w:t xml:space="preserve">    Payroll --&gt;|customer/upstream| Ledger</w:t>
            </w:r>
          </w:p>
          <w:p>
            <w:r>
              <w:rPr>
                <w:color w:val="333333"/>
                <w:sz w:val="18"/>
                <w:szCs w:val="18"/>
                <w:rFonts w:ascii="Consolas" w:cs="Consolas" w:eastAsia="Consolas" w:hAnsi="Consolas"/>
              </w:rPr>
              <w:t xml:space="preserve">    Projects --&gt;|customer/upstream| Receivables</w:t>
            </w:r>
          </w:p>
          <w:p>
            <w:r>
              <w:rPr>
                <w:color w:val="333333"/>
                <w:sz w:val="18"/>
                <w:szCs w:val="18"/>
                <w:rFonts w:ascii="Consolas" w:cs="Consolas" w:eastAsia="Consolas" w:hAnsi="Consolas"/>
              </w:rPr>
              <w:t xml:space="preserve">    Receivables --&gt;|conformist| Inventory</w:t>
            </w:r>
          </w:p>
          <w:p>
            <w:r>
              <w:rPr>
                <w:color w:val="333333"/>
                <w:sz w:val="18"/>
                <w:szCs w:val="18"/>
                <w:rFonts w:ascii="Consolas" w:cs="Consolas" w:eastAsia="Consolas" w:hAnsi="Consolas"/>
              </w:rPr>
              <w:t xml:space="preserve">    Payables --&gt;|conformist| Inventory</w:t>
            </w:r>
          </w:p>
          <w:p>
            <w:r>
              <w:rPr>
                <w:color w:val="333333"/>
                <w:sz w:val="18"/>
                <w:szCs w:val="18"/>
                <w:rFonts w:ascii="Consolas" w:cs="Consolas" w:eastAsia="Consolas" w:hAnsi="Consolas"/>
              </w:rPr>
              <w:t xml:space="preserve">    Receivables --&gt;|conformist| Payments</w:t>
            </w:r>
          </w:p>
          <w:p>
            <w:r>
              <w:rPr>
                <w:color w:val="333333"/>
                <w:sz w:val="18"/>
                <w:szCs w:val="18"/>
                <w:rFonts w:ascii="Consolas" w:cs="Consolas" w:eastAsia="Consolas" w:hAnsi="Consolas"/>
              </w:rPr>
              <w:t xml:space="preserve">    Payables --&gt;|conformist| Banking</w:t>
            </w:r>
          </w:p>
          <w:p>
            <w:r>
              <w:rPr>
                <w:color w:val="333333"/>
                <w:sz w:val="18"/>
                <w:szCs w:val="18"/>
                <w:rFonts w:ascii="Consolas" w:cs="Consolas" w:eastAsia="Consolas" w:hAnsi="Consolas"/>
              </w:rPr>
              <w:t xml:space="preserve">    Receivables --&gt;|conformist| Banking</w:t>
            </w:r>
          </w:p>
          <w:p>
            <w:r>
              <w:rPr>
                <w:color w:val="333333"/>
                <w:sz w:val="18"/>
                <w:szCs w:val="18"/>
                <w:rFonts w:ascii="Consolas" w:cs="Consolas" w:eastAsia="Consolas" w:hAnsi="Consolas"/>
              </w:rPr>
              <w:t xml:space="preserve">    Tax --&gt;|open host service| Receivables</w:t>
            </w:r>
          </w:p>
          <w:p>
            <w:r>
              <w:rPr>
                <w:color w:val="333333"/>
                <w:sz w:val="18"/>
                <w:szCs w:val="18"/>
                <w:rFonts w:ascii="Consolas" w:cs="Consolas" w:eastAsia="Consolas" w:hAnsi="Consolas"/>
              </w:rPr>
              <w:t xml:space="preserve">    Tax --&gt;|open host service| Payables</w:t>
            </w:r>
          </w:p>
          <w:p>
            <w:r>
              <w:rPr>
                <w:color w:val="333333"/>
                <w:sz w:val="18"/>
                <w:szCs w:val="18"/>
                <w:rFonts w:ascii="Consolas" w:cs="Consolas" w:eastAsia="Consolas" w:hAnsi="Consolas"/>
              </w:rPr>
              <w:t xml:space="preserve">    Reporting --&gt;|downstream, read-only| Ledger</w:t>
            </w:r>
          </w:p>
          <w:p>
            <w:r>
              <w:rPr>
                <w:color w:val="333333"/>
                <w:sz w:val="18"/>
                <w:szCs w:val="18"/>
                <w:rFonts w:ascii="Consolas" w:cs="Consolas" w:eastAsia="Consolas" w:hAnsi="Consolas"/>
              </w:rPr>
              <w:t xml:space="preserve">    Reporting --&gt;|downstream, read-only| Receivables</w:t>
            </w:r>
          </w:p>
          <w:p>
            <w:r>
              <w:rPr>
                <w:color w:val="333333"/>
                <w:sz w:val="18"/>
                <w:szCs w:val="18"/>
                <w:rFonts w:ascii="Consolas" w:cs="Consolas" w:eastAsia="Consolas" w:hAnsi="Consolas"/>
              </w:rPr>
              <w:t xml:space="preserve">    Reporting --&gt;|downstream, read-only| Payables</w:t>
            </w:r>
          </w:p>
          <w:p>
            <w:r>
              <w:rPr>
                <w:color w:val="333333"/>
                <w:sz w:val="18"/>
                <w:szCs w:val="18"/>
                <w:rFonts w:ascii="Consolas" w:cs="Consolas" w:eastAsia="Consolas" w:hAnsi="Consolas"/>
              </w:rPr>
              <w:t xml:space="preserve">    Reporting --&gt;|downstream, read-only| Inventory</w:t>
            </w:r>
          </w:p>
          <w:p>
            <w:r>
              <w:rPr>
                <w:color w:val="333333"/>
                <w:sz w:val="18"/>
                <w:szCs w:val="18"/>
                <w:rFonts w:ascii="Consolas" w:cs="Consolas" w:eastAsia="Consolas" w:hAnsi="Consolas"/>
              </w:rPr>
              <w:t xml:space="preserve">    Automation --&gt;|anti-corruption layer| Receivables</w:t>
            </w:r>
          </w:p>
          <w:p>
            <w:r>
              <w:rPr>
                <w:color w:val="333333"/>
                <w:sz w:val="18"/>
                <w:szCs w:val="18"/>
                <w:rFonts w:ascii="Consolas" w:cs="Consolas" w:eastAsia="Consolas" w:hAnsi="Consolas"/>
              </w:rPr>
              <w:t xml:space="preserve">    Automation --&gt;|anti-corruption layer| Payables</w:t>
            </w:r>
          </w:p>
          <w:p>
            <w:r>
              <w:rPr>
                <w:color w:val="333333"/>
                <w:sz w:val="18"/>
                <w:szCs w:val="18"/>
                <w:rFonts w:ascii="Consolas" w:cs="Consolas" w:eastAsia="Consolas" w:hAnsi="Consolas"/>
              </w:rPr>
              <w:t xml:space="preserve">    AI --&gt;|downstream, read-only| Reporting</w:t>
            </w:r>
          </w:p>
          <w:p>
            <w:r>
              <w:rPr>
                <w:color w:val="333333"/>
                <w:sz w:val="18"/>
                <w:szCs w:val="18"/>
                <w:rFonts w:ascii="Consolas" w:cs="Consolas" w:eastAsia="Consolas" w:hAnsi="Consolas"/>
              </w:rPr>
              <w:t xml:space="preserve">    Integration --&gt;|anti-corruption layer| Banking</w:t>
            </w:r>
          </w:p>
          <w:p>
            <w:r>
              <w:rPr>
                <w:color w:val="333333"/>
                <w:sz w:val="18"/>
                <w:szCs w:val="18"/>
                <w:rFonts w:ascii="Consolas" w:cs="Consolas" w:eastAsia="Consolas" w:hAnsi="Consolas"/>
              </w:rPr>
              <w:t xml:space="preserve">    Integration --&gt;|anti-corruption layer| Payments</w:t>
            </w:r>
          </w:p>
          <w:p>
            <w:r>
              <w:rPr>
                <w:color w:val="333333"/>
                <w:sz w:val="18"/>
                <w:szCs w:val="18"/>
                <w:rFonts w:ascii="Consolas" w:cs="Consolas" w:eastAsia="Consolas" w:hAnsi="Consolas"/>
              </w:rPr>
              <w:t xml:space="preserve">    Integration --&gt;|anti-corruption layer| Inventory</w:t>
            </w:r>
          </w:p>
          <w:p>
            <w:r>
              <w:rPr>
                <w:color w:val="333333"/>
                <w:sz w:val="18"/>
                <w:szCs w:val="18"/>
                <w:rFonts w:ascii="Consolas" w:cs="Consolas" w:eastAsia="Consolas" w:hAnsi="Consolas"/>
              </w:rPr>
              <w:t xml:space="preserve">    Collab --&gt;|conformist| Receivables</w:t>
            </w:r>
          </w:p>
          <w:p>
            <w:r>
              <w:rPr>
                <w:color w:val="333333"/>
                <w:sz w:val="18"/>
                <w:szCs w:val="18"/>
                <w:rFonts w:ascii="Consolas" w:cs="Consolas" w:eastAsia="Consolas" w:hAnsi="Consolas"/>
              </w:rPr>
              <w:t xml:space="preserve">    Collab --&gt;|conformist| Payables</w:t>
            </w:r>
          </w:p>
          <w:p>
            <w:r>
              <w:rPr>
                <w:color w:val="333333"/>
                <w:sz w:val="18"/>
                <w:szCs w:val="18"/>
                <w:rFonts w:ascii="Consolas" w:cs="Consolas" w:eastAsia="Consolas" w:hAnsi="Consolas"/>
              </w:rPr>
              <w:t xml:space="preserve">    Documents -.generic subdomain.-&gt; Receivables</w:t>
            </w:r>
          </w:p>
          <w:p>
            <w:r>
              <w:rPr>
                <w:color w:val="333333"/>
                <w:sz w:val="18"/>
                <w:szCs w:val="18"/>
                <w:rFonts w:ascii="Consolas" w:cs="Consolas" w:eastAsia="Consolas" w:hAnsi="Consolas"/>
              </w:rPr>
              <w:t xml:space="preserve">    Documents -.generic subdomain.-&gt; Payables</w:t>
            </w:r>
          </w:p>
        </w:tc>
      </w:tr>
    </w:tbl>
    <w:p>
      <w:pPr>
        <w:spacing w:after="200"/>
      </w:pPr>
      <w:r>
        <w:rPr>
          <w:sz w:val="10"/>
          <w:szCs w:val="10"/>
        </w:rPr>
      </w:r>
    </w:p>
    <w:p>
      <w:pPr>
        <w:spacing w:after="160" w:line="276"/>
      </w:pPr>
      <w:r>
        <w:rPr>
          <w:b w:val="false"/>
          <w:bCs w:val="false"/>
          <w:i w:val="false"/>
          <w:iCs w:val="false"/>
          <w:color w:val="1A1A1A"/>
          <w:sz w:val="22"/>
          <w:szCs w:val="22"/>
        </w:rPr>
        <w:t xml:space="preserve">Relationship legend: "shared kernel" = every context depends on Identity &amp; Tenant for auth/tenancy context (cannot function without it). "customer/upstream" = the pointing context is upstream and the arrow target adapts to it (e.g. Receivables posts journal entries in the shape Ledger dictates). "conformist" = the dependent context accepts the upstream context's model as-is rather than translating it. "open host service" = Tax publishes a stable public interface multiple contexts call. "anti-corruption layer" = a translation layer isolates the context from an external or volatile model (third-party bank/payment APIs, or user-defined automation rules).</w:t>
      </w:r>
    </w:p>
    <w:p>
      <w:r>
        <w:br w:type="page"/>
      </w:r>
    </w:p>
    <w:p>
      <w:pPr>
        <w:pStyle w:val="Heading1"/>
        <w:spacing w:before="400" w:after="200"/>
      </w:pPr>
      <w:r>
        <w:rPr>
          <w:b/>
          <w:bCs/>
          <w:color w:val="1F3864"/>
          <w:sz w:val="32"/>
          <w:szCs w:val="32"/>
        </w:rPr>
        <w:t xml:space="preserve">4. C4 Model - Level 1: System Context</w:t>
      </w:r>
    </w:p>
    <w:p>
      <w:pPr>
        <w:spacing w:after="160" w:line="276"/>
      </w:pPr>
      <w:r>
        <w:rPr>
          <w:b w:val="false"/>
          <w:bCs w:val="false"/>
          <w:i w:val="false"/>
          <w:iCs w:val="false"/>
          <w:color w:val="1A1A1A"/>
          <w:sz w:val="22"/>
          <w:szCs w:val="22"/>
        </w:rPr>
        <w:t xml:space="preserve">The system context diagram shows the platform as a single box, its human actors (from Vol. 1 Section 4 personas), and the external systems it must integrate with (from Vol. 1 BC-19 and BC-05/06/11).</w:t>
      </w:r>
    </w:p>
    <w:p>
      <w:pPr>
        <w:spacing w:before="200" w:after="60"/>
      </w:pPr>
      <w:r>
        <w:rPr>
          <w:b/>
          <w:bCs/>
          <w:i/>
          <w:iCs/>
          <w:color w:val="2E75B6"/>
          <w:sz w:val="20"/>
          <w:szCs w:val="20"/>
        </w:rPr>
        <w:t xml:space="preserve">Diagram: C4 Level 1 - System Context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TB</w:t>
            </w:r>
          </w:p>
          <w:p>
            <w:r>
              <w:rPr>
                <w:color w:val="333333"/>
                <w:sz w:val="18"/>
                <w:szCs w:val="18"/>
                <w:rFonts w:ascii="Consolas" w:cs="Consolas" w:eastAsia="Consolas" w:hAnsi="Consolas"/>
              </w:rPr>
              <w:t xml:space="preserve">    Owner((PER-01 Business Owner))</w:t>
            </w:r>
          </w:p>
          <w:p>
            <w:r>
              <w:rPr>
                <w:color w:val="333333"/>
                <w:sz w:val="18"/>
                <w:szCs w:val="18"/>
                <w:rFonts w:ascii="Consolas" w:cs="Consolas" w:eastAsia="Consolas" w:hAnsi="Consolas"/>
              </w:rPr>
              <w:t xml:space="preserve">    Book((PER-02 Bookkeeper))</w:t>
            </w:r>
          </w:p>
          <w:p>
            <w:r>
              <w:rPr>
                <w:color w:val="333333"/>
                <w:sz w:val="18"/>
                <w:szCs w:val="18"/>
                <w:rFonts w:ascii="Consolas" w:cs="Consolas" w:eastAsia="Consolas" w:hAnsi="Consolas"/>
              </w:rPr>
              <w:t xml:space="preserve">    ExtAcc((PER-03 External Accountant))</w:t>
            </w:r>
          </w:p>
          <w:p>
            <w:r>
              <w:rPr>
                <w:color w:val="333333"/>
                <w:sz w:val="18"/>
                <w:szCs w:val="18"/>
                <w:rFonts w:ascii="Consolas" w:cs="Consolas" w:eastAsia="Consolas" w:hAnsi="Consolas"/>
              </w:rPr>
              <w:t xml:space="preserve">    Sales((PER-04 Sales Clerk))</w:t>
            </w:r>
          </w:p>
          <w:p>
            <w:r>
              <w:rPr>
                <w:color w:val="333333"/>
                <w:sz w:val="18"/>
                <w:szCs w:val="18"/>
                <w:rFonts w:ascii="Consolas" w:cs="Consolas" w:eastAsia="Consolas" w:hAnsi="Consolas"/>
              </w:rPr>
              <w:t xml:space="preserve">    Purch((PER-05 AP Clerk))</w:t>
            </w:r>
          </w:p>
          <w:p>
            <w:r>
              <w:rPr>
                <w:color w:val="333333"/>
                <w:sz w:val="18"/>
                <w:szCs w:val="18"/>
                <w:rFonts w:ascii="Consolas" w:cs="Consolas" w:eastAsia="Consolas" w:hAnsi="Consolas"/>
              </w:rPr>
              <w:t xml:space="preserve">    Whse((PER-06 Inventory Mgr))</w:t>
            </w:r>
          </w:p>
          <w:p>
            <w:r>
              <w:rPr>
                <w:color w:val="333333"/>
                <w:sz w:val="18"/>
                <w:szCs w:val="18"/>
                <w:rFonts w:ascii="Consolas" w:cs="Consolas" w:eastAsia="Consolas" w:hAnsi="Consolas"/>
              </w:rPr>
              <w:t xml:space="preserve">    PM((PER-07 Project Manager))</w:t>
            </w:r>
          </w:p>
          <w:p>
            <w:r>
              <w:rPr>
                <w:color w:val="333333"/>
                <w:sz w:val="18"/>
                <w:szCs w:val="18"/>
                <w:rFonts w:ascii="Consolas" w:cs="Consolas" w:eastAsia="Consolas" w:hAnsi="Consolas"/>
              </w:rPr>
              <w:t xml:space="preserve">    Payr((PER-08 Payroll Admin))</w:t>
            </w:r>
          </w:p>
          <w:p>
            <w:r>
              <w:rPr>
                <w:color w:val="333333"/>
                <w:sz w:val="18"/>
                <w:szCs w:val="18"/>
                <w:rFonts w:ascii="Consolas" w:cs="Consolas" w:eastAsia="Consolas" w:hAnsi="Consolas"/>
              </w:rPr>
              <w:t xml:space="preserve">    Cust((PER-09 Customer))</w:t>
            </w:r>
          </w:p>
          <w:p>
            <w:r>
              <w:rPr>
                <w:color w:val="333333"/>
                <w:sz w:val="18"/>
                <w:szCs w:val="18"/>
                <w:rFonts w:ascii="Consolas" w:cs="Consolas" w:eastAsia="Consolas" w:hAnsi="Consolas"/>
              </w:rPr>
              <w:t xml:space="preserve">    Vend((PER-10 Vendor))</w:t>
            </w:r>
          </w:p>
          <w:p>
            <w:r>
              <w:rPr>
                <w:color w:val="333333"/>
                <w:sz w:val="18"/>
                <w:szCs w:val="18"/>
                <w:rFonts w:ascii="Consolas" w:cs="Consolas" w:eastAsia="Consolas" w:hAnsi="Consolas"/>
              </w:rPr>
              <w:t xml:space="preserve">    Admin((PER-11 System Admin))</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subgraph SYS[Ledger Platform - Cloud Accounting &amp; Business Management System]</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BankAPI[[Bank Feed Providers - e.g. Plaid/Yodlee-class]]</w:t>
            </w:r>
          </w:p>
          <w:p>
            <w:r>
              <w:rPr>
                <w:color w:val="333333"/>
                <w:sz w:val="18"/>
                <w:szCs w:val="18"/>
                <w:rFonts w:ascii="Consolas" w:cs="Consolas" w:eastAsia="Consolas" w:hAnsi="Consolas"/>
              </w:rPr>
              <w:t xml:space="preserve">    PayGW[[Payment Gateways - Stripe/Razorpay-class]]</w:t>
            </w:r>
          </w:p>
          <w:p>
            <w:r>
              <w:rPr>
                <w:color w:val="333333"/>
                <w:sz w:val="18"/>
                <w:szCs w:val="18"/>
                <w:rFonts w:ascii="Consolas" w:cs="Consolas" w:eastAsia="Consolas" w:hAnsi="Consolas"/>
              </w:rPr>
              <w:t xml:space="preserve">    TaxSvc[[Tax/E-filing Services - e.g. IRS IRIS, GST portals]]</w:t>
            </w:r>
          </w:p>
          <w:p>
            <w:r>
              <w:rPr>
                <w:color w:val="333333"/>
                <w:sz w:val="18"/>
                <w:szCs w:val="18"/>
                <w:rFonts w:ascii="Consolas" w:cs="Consolas" w:eastAsia="Consolas" w:hAnsi="Consolas"/>
              </w:rPr>
              <w:t xml:space="preserve">    Ecom[[E-commerce Channels - Shopify, Amazon, Walmart]]</w:t>
            </w:r>
          </w:p>
          <w:p>
            <w:r>
              <w:rPr>
                <w:color w:val="333333"/>
                <w:sz w:val="18"/>
                <w:szCs w:val="18"/>
                <w:rFonts w:ascii="Consolas" w:cs="Consolas" w:eastAsia="Consolas" w:hAnsi="Consolas"/>
              </w:rPr>
              <w:t xml:space="preserve">    EmailSvc[[Transactional Email/SMS Provider]]</w:t>
            </w:r>
          </w:p>
          <w:p>
            <w:r>
              <w:rPr>
                <w:color w:val="333333"/>
                <w:sz w:val="18"/>
                <w:szCs w:val="18"/>
                <w:rFonts w:ascii="Consolas" w:cs="Consolas" w:eastAsia="Consolas" w:hAnsi="Consolas"/>
              </w:rPr>
              <w:t xml:space="preserve">    IdP[[External Identity Provider - SSO/SAML]]</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Owner --&gt; SYS</w:t>
            </w:r>
          </w:p>
          <w:p>
            <w:r>
              <w:rPr>
                <w:color w:val="333333"/>
                <w:sz w:val="18"/>
                <w:szCs w:val="18"/>
                <w:rFonts w:ascii="Consolas" w:cs="Consolas" w:eastAsia="Consolas" w:hAnsi="Consolas"/>
              </w:rPr>
              <w:t xml:space="preserve">    Book --&gt; SYS</w:t>
            </w:r>
          </w:p>
          <w:p>
            <w:r>
              <w:rPr>
                <w:color w:val="333333"/>
                <w:sz w:val="18"/>
                <w:szCs w:val="18"/>
                <w:rFonts w:ascii="Consolas" w:cs="Consolas" w:eastAsia="Consolas" w:hAnsi="Consolas"/>
              </w:rPr>
              <w:t xml:space="preserve">    ExtAcc --&gt; SYS</w:t>
            </w:r>
          </w:p>
          <w:p>
            <w:r>
              <w:rPr>
                <w:color w:val="333333"/>
                <w:sz w:val="18"/>
                <w:szCs w:val="18"/>
                <w:rFonts w:ascii="Consolas" w:cs="Consolas" w:eastAsia="Consolas" w:hAnsi="Consolas"/>
              </w:rPr>
              <w:t xml:space="preserve">    Sales --&gt; SYS</w:t>
            </w:r>
          </w:p>
          <w:p>
            <w:r>
              <w:rPr>
                <w:color w:val="333333"/>
                <w:sz w:val="18"/>
                <w:szCs w:val="18"/>
                <w:rFonts w:ascii="Consolas" w:cs="Consolas" w:eastAsia="Consolas" w:hAnsi="Consolas"/>
              </w:rPr>
              <w:t xml:space="preserve">    Purch --&gt; SYS</w:t>
            </w:r>
          </w:p>
          <w:p>
            <w:r>
              <w:rPr>
                <w:color w:val="333333"/>
                <w:sz w:val="18"/>
                <w:szCs w:val="18"/>
                <w:rFonts w:ascii="Consolas" w:cs="Consolas" w:eastAsia="Consolas" w:hAnsi="Consolas"/>
              </w:rPr>
              <w:t xml:space="preserve">    Whse --&gt; SYS</w:t>
            </w:r>
          </w:p>
          <w:p>
            <w:r>
              <w:rPr>
                <w:color w:val="333333"/>
                <w:sz w:val="18"/>
                <w:szCs w:val="18"/>
                <w:rFonts w:ascii="Consolas" w:cs="Consolas" w:eastAsia="Consolas" w:hAnsi="Consolas"/>
              </w:rPr>
              <w:t xml:space="preserve">    PM --&gt; SYS</w:t>
            </w:r>
          </w:p>
          <w:p>
            <w:r>
              <w:rPr>
                <w:color w:val="333333"/>
                <w:sz w:val="18"/>
                <w:szCs w:val="18"/>
                <w:rFonts w:ascii="Consolas" w:cs="Consolas" w:eastAsia="Consolas" w:hAnsi="Consolas"/>
              </w:rPr>
              <w:t xml:space="preserve">    Payr --&gt; SYS</w:t>
            </w:r>
          </w:p>
          <w:p>
            <w:r>
              <w:rPr>
                <w:color w:val="333333"/>
                <w:sz w:val="18"/>
                <w:szCs w:val="18"/>
                <w:rFonts w:ascii="Consolas" w:cs="Consolas" w:eastAsia="Consolas" w:hAnsi="Consolas"/>
              </w:rPr>
              <w:t xml:space="preserve">    Admin --&gt; SYS</w:t>
            </w:r>
          </w:p>
          <w:p>
            <w:r>
              <w:rPr>
                <w:color w:val="333333"/>
                <w:sz w:val="18"/>
                <w:szCs w:val="18"/>
                <w:rFonts w:ascii="Consolas" w:cs="Consolas" w:eastAsia="Consolas" w:hAnsi="Consolas"/>
              </w:rPr>
              <w:t xml:space="preserve">    Cust --&gt;|customer portal| SYS</w:t>
            </w:r>
          </w:p>
          <w:p>
            <w:r>
              <w:rPr>
                <w:color w:val="333333"/>
                <w:sz w:val="18"/>
                <w:szCs w:val="18"/>
                <w:rFonts w:ascii="Consolas" w:cs="Consolas" w:eastAsia="Consolas" w:hAnsi="Consolas"/>
              </w:rPr>
              <w:t xml:space="preserve">    Vend --&gt;|vendor portal| SYS</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SYS &lt;--&gt; BankAPI</w:t>
            </w:r>
          </w:p>
          <w:p>
            <w:r>
              <w:rPr>
                <w:color w:val="333333"/>
                <w:sz w:val="18"/>
                <w:szCs w:val="18"/>
                <w:rFonts w:ascii="Consolas" w:cs="Consolas" w:eastAsia="Consolas" w:hAnsi="Consolas"/>
              </w:rPr>
              <w:t xml:space="preserve">    SYS &lt;--&gt; PayGW</w:t>
            </w:r>
          </w:p>
          <w:p>
            <w:r>
              <w:rPr>
                <w:color w:val="333333"/>
                <w:sz w:val="18"/>
                <w:szCs w:val="18"/>
                <w:rFonts w:ascii="Consolas" w:cs="Consolas" w:eastAsia="Consolas" w:hAnsi="Consolas"/>
              </w:rPr>
              <w:t xml:space="preserve">    SYS &lt;--&gt; TaxSvc</w:t>
            </w:r>
          </w:p>
          <w:p>
            <w:r>
              <w:rPr>
                <w:color w:val="333333"/>
                <w:sz w:val="18"/>
                <w:szCs w:val="18"/>
                <w:rFonts w:ascii="Consolas" w:cs="Consolas" w:eastAsia="Consolas" w:hAnsi="Consolas"/>
              </w:rPr>
              <w:t xml:space="preserve">    SYS &lt;--&gt; Ecom</w:t>
            </w:r>
          </w:p>
          <w:p>
            <w:r>
              <w:rPr>
                <w:color w:val="333333"/>
                <w:sz w:val="18"/>
                <w:szCs w:val="18"/>
                <w:rFonts w:ascii="Consolas" w:cs="Consolas" w:eastAsia="Consolas" w:hAnsi="Consolas"/>
              </w:rPr>
              <w:t xml:space="preserve">    SYS --&gt; EmailSvc</w:t>
            </w:r>
          </w:p>
          <w:p>
            <w:r>
              <w:rPr>
                <w:color w:val="333333"/>
                <w:sz w:val="18"/>
                <w:szCs w:val="18"/>
                <w:rFonts w:ascii="Consolas" w:cs="Consolas" w:eastAsia="Consolas" w:hAnsi="Consolas"/>
              </w:rPr>
              <w:t xml:space="preserve">    SYS &lt;--&gt; IdP</w:t>
            </w:r>
          </w:p>
        </w:tc>
      </w:tr>
    </w:tbl>
    <w:p>
      <w:pPr>
        <w:spacing w:after="200"/>
      </w:pPr>
      <w:r>
        <w:rPr>
          <w:sz w:val="10"/>
          <w:szCs w:val="10"/>
        </w:rPr>
      </w:r>
    </w:p>
    <w:p>
      <w:r>
        <w:br w:type="page"/>
      </w:r>
    </w:p>
    <w:p>
      <w:pPr>
        <w:pStyle w:val="Heading1"/>
        <w:spacing w:before="400" w:after="200"/>
      </w:pPr>
      <w:r>
        <w:rPr>
          <w:b/>
          <w:bCs/>
          <w:color w:val="1F3864"/>
          <w:sz w:val="32"/>
          <w:szCs w:val="32"/>
        </w:rPr>
        <w:t xml:space="preserve">5. C4 Model - Level 2: Container Diagram</w:t>
      </w:r>
    </w:p>
    <w:p>
      <w:pPr>
        <w:spacing w:after="160" w:line="276"/>
      </w:pPr>
      <w:r>
        <w:rPr>
          <w:b w:val="false"/>
          <w:bCs w:val="false"/>
          <w:i w:val="false"/>
          <w:iCs w:val="false"/>
          <w:color w:val="1A1A1A"/>
          <w:sz w:val="22"/>
          <w:szCs w:val="22"/>
        </w:rPr>
        <w:t xml:space="preserve">Containers represent the deployable/runnable units. Consistent with the Section 2 decision, most business-logic containers are modules within a single "Core Application" process at Release 1, while client apps, the API gateway, event bus, and data stores are always separate containers.</w:t>
      </w:r>
    </w:p>
    <w:p>
      <w:pPr>
        <w:spacing w:before="200" w:after="60"/>
      </w:pPr>
      <w:r>
        <w:rPr>
          <w:b/>
          <w:bCs/>
          <w:i/>
          <w:iCs/>
          <w:color w:val="2E75B6"/>
          <w:sz w:val="20"/>
          <w:szCs w:val="20"/>
        </w:rPr>
        <w:t xml:space="preserve">Diagram: C4 Level 2 - Container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TB</w:t>
            </w:r>
          </w:p>
          <w:p>
            <w:r>
              <w:rPr>
                <w:color w:val="333333"/>
                <w:sz w:val="18"/>
                <w:szCs w:val="18"/>
                <w:rFonts w:ascii="Consolas" w:cs="Consolas" w:eastAsia="Consolas" w:hAnsi="Consolas"/>
              </w:rPr>
              <w:t xml:space="preserve">    WebApp[Web App - SPA]</w:t>
            </w:r>
          </w:p>
          <w:p>
            <w:r>
              <w:rPr>
                <w:color w:val="333333"/>
                <w:sz w:val="18"/>
                <w:szCs w:val="18"/>
                <w:rFonts w:ascii="Consolas" w:cs="Consolas" w:eastAsia="Consolas" w:hAnsi="Consolas"/>
              </w:rPr>
              <w:t xml:space="preserve">    MobileApp[Mobile App]</w:t>
            </w:r>
          </w:p>
          <w:p>
            <w:r>
              <w:rPr>
                <w:color w:val="333333"/>
                <w:sz w:val="18"/>
                <w:szCs w:val="18"/>
                <w:rFonts w:ascii="Consolas" w:cs="Consolas" w:eastAsia="Consolas" w:hAnsi="Consolas"/>
              </w:rPr>
              <w:t xml:space="preserve">    DesktopApp[Desktop App - R3]</w:t>
            </w:r>
          </w:p>
          <w:p>
            <w:r>
              <w:rPr>
                <w:color w:val="333333"/>
                <w:sz w:val="18"/>
                <w:szCs w:val="18"/>
                <w:rFonts w:ascii="Consolas" w:cs="Consolas" w:eastAsia="Consolas" w:hAnsi="Consolas"/>
              </w:rPr>
              <w:t xml:space="preserve">    PortalApp[Customer/Vendor Portal - SPA]</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Gateway[[API Gateway / BFF]]</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subgraph Core[Core Application Process - Modular Monolith, Release 1]</w:t>
            </w:r>
          </w:p>
          <w:p>
            <w:r>
              <w:rPr>
                <w:color w:val="333333"/>
                <w:sz w:val="18"/>
                <w:szCs w:val="18"/>
                <w:rFonts w:ascii="Consolas" w:cs="Consolas" w:eastAsia="Consolas" w:hAnsi="Consolas"/>
              </w:rPr>
              <w:t xml:space="preserve">        M1[CTX-01 Identity &amp; Tenant Module]</w:t>
            </w:r>
          </w:p>
          <w:p>
            <w:r>
              <w:rPr>
                <w:color w:val="333333"/>
                <w:sz w:val="18"/>
                <w:szCs w:val="18"/>
                <w:rFonts w:ascii="Consolas" w:cs="Consolas" w:eastAsia="Consolas" w:hAnsi="Consolas"/>
              </w:rPr>
              <w:t xml:space="preserve">        M2[CTX-02 Ledger Module]</w:t>
            </w:r>
          </w:p>
          <w:p>
            <w:r>
              <w:rPr>
                <w:color w:val="333333"/>
                <w:sz w:val="18"/>
                <w:szCs w:val="18"/>
                <w:rFonts w:ascii="Consolas" w:cs="Consolas" w:eastAsia="Consolas" w:hAnsi="Consolas"/>
              </w:rPr>
              <w:t xml:space="preserve">        M3[CTX-03 Receivables Module]</w:t>
            </w:r>
          </w:p>
          <w:p>
            <w:r>
              <w:rPr>
                <w:color w:val="333333"/>
                <w:sz w:val="18"/>
                <w:szCs w:val="18"/>
                <w:rFonts w:ascii="Consolas" w:cs="Consolas" w:eastAsia="Consolas" w:hAnsi="Consolas"/>
              </w:rPr>
              <w:t xml:space="preserve">        M4[CTX-04 Payables Module]</w:t>
            </w:r>
          </w:p>
          <w:p>
            <w:r>
              <w:rPr>
                <w:color w:val="333333"/>
                <w:sz w:val="18"/>
                <w:szCs w:val="18"/>
                <w:rFonts w:ascii="Consolas" w:cs="Consolas" w:eastAsia="Consolas" w:hAnsi="Consolas"/>
              </w:rPr>
              <w:t xml:space="preserve">        M5[CTX-05 Banking Module]</w:t>
            </w:r>
          </w:p>
          <w:p>
            <w:r>
              <w:rPr>
                <w:color w:val="333333"/>
                <w:sz w:val="18"/>
                <w:szCs w:val="18"/>
                <w:rFonts w:ascii="Consolas" w:cs="Consolas" w:eastAsia="Consolas" w:hAnsi="Consolas"/>
              </w:rPr>
              <w:t xml:space="preserve">        M6[CTX-07 Inventory Module]</w:t>
            </w:r>
          </w:p>
          <w:p>
            <w:r>
              <w:rPr>
                <w:color w:val="333333"/>
                <w:sz w:val="18"/>
                <w:szCs w:val="18"/>
                <w:rFonts w:ascii="Consolas" w:cs="Consolas" w:eastAsia="Consolas" w:hAnsi="Consolas"/>
              </w:rPr>
              <w:t xml:space="preserve">        M7[CTX-10 Tax Module]</w:t>
            </w:r>
          </w:p>
          <w:p>
            <w:r>
              <w:rPr>
                <w:color w:val="333333"/>
                <w:sz w:val="18"/>
                <w:szCs w:val="18"/>
                <w:rFonts w:ascii="Consolas" w:cs="Consolas" w:eastAsia="Consolas" w:hAnsi="Consolas"/>
              </w:rPr>
              <w:t xml:space="preserve">        M8[CTX-11 Reporting Module]</w:t>
            </w:r>
          </w:p>
          <w:p>
            <w:r>
              <w:rPr>
                <w:color w:val="333333"/>
                <w:sz w:val="18"/>
                <w:szCs w:val="18"/>
                <w:rFonts w:ascii="Consolas" w:cs="Consolas" w:eastAsia="Consolas" w:hAnsi="Consolas"/>
              </w:rPr>
              <w:t xml:space="preserve">        M9[CTX-14 Automation Module]</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EventBus{{Event Bus / Message Broker}}</w:t>
            </w:r>
          </w:p>
          <w:p>
            <w:r>
              <w:rPr>
                <w:color w:val="333333"/>
                <w:sz w:val="18"/>
                <w:szCs w:val="18"/>
                <w:rFonts w:ascii="Consolas" w:cs="Consolas" w:eastAsia="Consolas" w:hAnsi="Consolas"/>
              </w:rPr>
              <w:t xml:space="preserve">    Cache[(Cache - Redis-class)]</w:t>
            </w:r>
          </w:p>
          <w:p>
            <w:r>
              <w:rPr>
                <w:color w:val="333333"/>
                <w:sz w:val="18"/>
                <w:szCs w:val="18"/>
                <w:rFonts w:ascii="Consolas" w:cs="Consolas" w:eastAsia="Consolas" w:hAnsi="Consolas"/>
              </w:rPr>
              <w:t xml:space="preserve">    PrimaryDB[(Primary Datastore - per-tenant schema, Vol.4)]</w:t>
            </w:r>
          </w:p>
          <w:p>
            <w:r>
              <w:rPr>
                <w:color w:val="333333"/>
                <w:sz w:val="18"/>
                <w:szCs w:val="18"/>
                <w:rFonts w:ascii="Consolas" w:cs="Consolas" w:eastAsia="Consolas" w:hAnsi="Consolas"/>
              </w:rPr>
              <w:t xml:space="preserve">    SearchIdx[(Search Index)]</w:t>
            </w:r>
          </w:p>
          <w:p>
            <w:r>
              <w:rPr>
                <w:color w:val="333333"/>
                <w:sz w:val="18"/>
                <w:szCs w:val="18"/>
                <w:rFonts w:ascii="Consolas" w:cs="Consolas" w:eastAsia="Consolas" w:hAnsi="Consolas"/>
              </w:rPr>
              <w:t xml:space="preserve">    FileStore[(Object/File Storage)]</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IntegrationSvc[Integration Gateway Service - CTX-16]</w:t>
            </w:r>
          </w:p>
          <w:p>
            <w:r>
              <w:rPr>
                <w:color w:val="333333"/>
                <w:sz w:val="18"/>
                <w:szCs w:val="18"/>
                <w:rFonts w:ascii="Consolas" w:cs="Consolas" w:eastAsia="Consolas" w:hAnsi="Consolas"/>
              </w:rPr>
              <w:t xml:space="preserve">    PaymentsSvc[Payments Service - CTX-06]</w:t>
            </w:r>
          </w:p>
          <w:p>
            <w:r>
              <w:rPr>
                <w:color w:val="333333"/>
                <w:sz w:val="18"/>
                <w:szCs w:val="18"/>
                <w:rFonts w:ascii="Consolas" w:cs="Consolas" w:eastAsia="Consolas" w:hAnsi="Consolas"/>
              </w:rPr>
              <w:t xml:space="preserve">    AISvc[AI Assistant Service - CTX-15, R2/R3]</w:t>
            </w:r>
          </w:p>
          <w:p>
            <w:r>
              <w:rPr>
                <w:color w:val="333333"/>
                <w:sz w:val="18"/>
                <w:szCs w:val="18"/>
                <w:rFonts w:ascii="Consolas" w:cs="Consolas" w:eastAsia="Consolas" w:hAnsi="Consolas"/>
              </w:rPr>
              <w:t xml:space="preserve">    PayrollSvc[Payroll Service - CTX-09, R3]</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WebApp --&gt; Gateway</w:t>
            </w:r>
          </w:p>
          <w:p>
            <w:r>
              <w:rPr>
                <w:color w:val="333333"/>
                <w:sz w:val="18"/>
                <w:szCs w:val="18"/>
                <w:rFonts w:ascii="Consolas" w:cs="Consolas" w:eastAsia="Consolas" w:hAnsi="Consolas"/>
              </w:rPr>
              <w:t xml:space="preserve">    MobileApp --&gt; Gateway</w:t>
            </w:r>
          </w:p>
          <w:p>
            <w:r>
              <w:rPr>
                <w:color w:val="333333"/>
                <w:sz w:val="18"/>
                <w:szCs w:val="18"/>
                <w:rFonts w:ascii="Consolas" w:cs="Consolas" w:eastAsia="Consolas" w:hAnsi="Consolas"/>
              </w:rPr>
              <w:t xml:space="preserve">    DesktopApp --&gt; Gateway</w:t>
            </w:r>
          </w:p>
          <w:p>
            <w:r>
              <w:rPr>
                <w:color w:val="333333"/>
                <w:sz w:val="18"/>
                <w:szCs w:val="18"/>
                <w:rFonts w:ascii="Consolas" w:cs="Consolas" w:eastAsia="Consolas" w:hAnsi="Consolas"/>
              </w:rPr>
              <w:t xml:space="preserve">    PortalApp --&gt; Gateway</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Gateway --&gt; Core</w:t>
            </w:r>
          </w:p>
          <w:p>
            <w:r>
              <w:rPr>
                <w:color w:val="333333"/>
                <w:sz w:val="18"/>
                <w:szCs w:val="18"/>
                <w:rFonts w:ascii="Consolas" w:cs="Consolas" w:eastAsia="Consolas" w:hAnsi="Consolas"/>
              </w:rPr>
              <w:t xml:space="preserve">    Gateway --&gt; IntegrationSvc</w:t>
            </w:r>
          </w:p>
          <w:p>
            <w:r>
              <w:rPr>
                <w:color w:val="333333"/>
                <w:sz w:val="18"/>
                <w:szCs w:val="18"/>
                <w:rFonts w:ascii="Consolas" w:cs="Consolas" w:eastAsia="Consolas" w:hAnsi="Consolas"/>
              </w:rPr>
              <w:t xml:space="preserve">    Gateway --&gt; PaymentsSvc</w:t>
            </w:r>
          </w:p>
          <w:p>
            <w:r>
              <w:rPr>
                <w:color w:val="333333"/>
                <w:sz w:val="18"/>
                <w:szCs w:val="18"/>
                <w:rFonts w:ascii="Consolas" w:cs="Consolas" w:eastAsia="Consolas" w:hAnsi="Consolas"/>
              </w:rPr>
              <w:t xml:space="preserve">    Gateway --&gt; AISvc</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Core --&gt; PrimaryDB</w:t>
            </w:r>
          </w:p>
          <w:p>
            <w:r>
              <w:rPr>
                <w:color w:val="333333"/>
                <w:sz w:val="18"/>
                <w:szCs w:val="18"/>
                <w:rFonts w:ascii="Consolas" w:cs="Consolas" w:eastAsia="Consolas" w:hAnsi="Consolas"/>
              </w:rPr>
              <w:t xml:space="preserve">    Core --&gt; Cache</w:t>
            </w:r>
          </w:p>
          <w:p>
            <w:r>
              <w:rPr>
                <w:color w:val="333333"/>
                <w:sz w:val="18"/>
                <w:szCs w:val="18"/>
                <w:rFonts w:ascii="Consolas" w:cs="Consolas" w:eastAsia="Consolas" w:hAnsi="Consolas"/>
              </w:rPr>
              <w:t xml:space="preserve">    Core --&gt; EventBus</w:t>
            </w:r>
          </w:p>
          <w:p>
            <w:r>
              <w:rPr>
                <w:color w:val="333333"/>
                <w:sz w:val="18"/>
                <w:szCs w:val="18"/>
                <w:rFonts w:ascii="Consolas" w:cs="Consolas" w:eastAsia="Consolas" w:hAnsi="Consolas"/>
              </w:rPr>
              <w:t xml:space="preserve">    Core --&gt; FileStore</w:t>
            </w:r>
          </w:p>
          <w:p>
            <w:r>
              <w:rPr>
                <w:color w:val="333333"/>
                <w:sz w:val="18"/>
                <w:szCs w:val="18"/>
                <w:rFonts w:ascii="Consolas" w:cs="Consolas" w:eastAsia="Consolas" w:hAnsi="Consolas"/>
              </w:rPr>
              <w:t xml:space="preserve">    M8 --&gt; SearchIdx</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EventBus --&gt; IntegrationSvc</w:t>
            </w:r>
          </w:p>
          <w:p>
            <w:r>
              <w:rPr>
                <w:color w:val="333333"/>
                <w:sz w:val="18"/>
                <w:szCs w:val="18"/>
                <w:rFonts w:ascii="Consolas" w:cs="Consolas" w:eastAsia="Consolas" w:hAnsi="Consolas"/>
              </w:rPr>
              <w:t xml:space="preserve">    EventBus --&gt; PaymentsSvc</w:t>
            </w:r>
          </w:p>
          <w:p>
            <w:r>
              <w:rPr>
                <w:color w:val="333333"/>
                <w:sz w:val="18"/>
                <w:szCs w:val="18"/>
                <w:rFonts w:ascii="Consolas" w:cs="Consolas" w:eastAsia="Consolas" w:hAnsi="Consolas"/>
              </w:rPr>
              <w:t xml:space="preserve">    EventBus --&gt; AISvc</w:t>
            </w:r>
          </w:p>
          <w:p>
            <w:r>
              <w:rPr>
                <w:color w:val="333333"/>
                <w:sz w:val="18"/>
                <w:szCs w:val="18"/>
                <w:rFonts w:ascii="Consolas" w:cs="Consolas" w:eastAsia="Consolas" w:hAnsi="Consolas"/>
              </w:rPr>
              <w:t xml:space="preserve">    EventBus --&gt; PayrollSvc</w:t>
            </w:r>
          </w:p>
          <w:p>
            <w:r>
              <w:rPr>
                <w:color w:val="333333"/>
                <w:sz w:val="18"/>
                <w:szCs w:val="18"/>
                <w:rFonts w:ascii="Consolas" w:cs="Consolas" w:eastAsia="Consolas" w:hAnsi="Consolas"/>
              </w:rPr>
              <w:t xml:space="preserve">    PayrollSvc --&gt; PrimaryDB</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IntegrationSvc --&gt;|external calls| BankAPIandGateways[External Systems - see C4 L1]</w:t>
            </w:r>
          </w:p>
        </w:tc>
      </w:tr>
    </w:tbl>
    <w:p>
      <w:pPr>
        <w:spacing w:after="200"/>
      </w:pPr>
      <w:r>
        <w:rPr>
          <w:sz w:val="10"/>
          <w:szCs w:val="10"/>
        </w:rPr>
      </w:r>
    </w:p>
    <w:p>
      <w:r>
        <w:br w:type="page"/>
      </w:r>
    </w:p>
    <w:p>
      <w:pPr>
        <w:pStyle w:val="Heading1"/>
        <w:spacing w:before="400" w:after="200"/>
      </w:pPr>
      <w:r>
        <w:rPr>
          <w:b/>
          <w:bCs/>
          <w:color w:val="1F3864"/>
          <w:sz w:val="32"/>
          <w:szCs w:val="32"/>
        </w:rPr>
        <w:t xml:space="preserve">6. C4 Model - Level 3: Component Diagrams</w:t>
      </w:r>
    </w:p>
    <w:p>
      <w:pPr>
        <w:spacing w:after="160" w:line="276"/>
      </w:pPr>
      <w:r>
        <w:rPr>
          <w:b w:val="false"/>
          <w:bCs w:val="false"/>
          <w:i w:val="false"/>
          <w:iCs w:val="false"/>
          <w:color w:val="1A1A1A"/>
          <w:sz w:val="22"/>
          <w:szCs w:val="22"/>
        </w:rPr>
        <w:t xml:space="preserve">Component-level detail is shown for the two highest-risk modules identified in Vol. 1 Section 8: Receivables (invoice lifecycle) and Ledger (financial source of truth). Other modules follow the same internal layering (API/Controller -&gt; Domain Service -&gt; Repository -&gt; Event Publisher) and are not separately diagrammed here to avoid redundancy; Volume 9 will detail their API surface.</w:t>
      </w:r>
    </w:p>
    <w:p>
      <w:pPr>
        <w:pStyle w:val="Heading2"/>
        <w:spacing w:before="300" w:after="150"/>
      </w:pPr>
      <w:r>
        <w:rPr>
          <w:b/>
          <w:bCs/>
          <w:color w:val="2E75B6"/>
          <w:sz w:val="26"/>
          <w:szCs w:val="26"/>
        </w:rPr>
        <w:t xml:space="preserve">6.1 Receivables Module - Components</w:t>
      </w:r>
    </w:p>
    <w:p>
      <w:pPr>
        <w:spacing w:before="200" w:after="60"/>
      </w:pPr>
      <w:r>
        <w:rPr>
          <w:b/>
          <w:bCs/>
          <w:i/>
          <w:iCs/>
          <w:color w:val="2E75B6"/>
          <w:sz w:val="20"/>
          <w:szCs w:val="20"/>
        </w:rPr>
        <w:t xml:space="preserve">Diagram: C4 Level 3 - Receivables Module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TB</w:t>
            </w:r>
          </w:p>
          <w:p>
            <w:r>
              <w:rPr>
                <w:color w:val="333333"/>
                <w:sz w:val="18"/>
                <w:szCs w:val="18"/>
                <w:rFonts w:ascii="Consolas" w:cs="Consolas" w:eastAsia="Consolas" w:hAnsi="Consolas"/>
              </w:rPr>
              <w:t xml:space="preserve">    subgraph Receivables[CTX-03 Receivables Module]</w:t>
            </w:r>
          </w:p>
          <w:p>
            <w:r>
              <w:rPr>
                <w:color w:val="333333"/>
                <w:sz w:val="18"/>
                <w:szCs w:val="18"/>
                <w:rFonts w:ascii="Consolas" w:cs="Consolas" w:eastAsia="Consolas" w:hAnsi="Consolas"/>
              </w:rPr>
              <w:t xml:space="preserve">        API[Invoice/Quote/SalesOrder API Layer]</w:t>
            </w:r>
          </w:p>
          <w:p>
            <w:r>
              <w:rPr>
                <w:color w:val="333333"/>
                <w:sz w:val="18"/>
                <w:szCs w:val="18"/>
                <w:rFonts w:ascii="Consolas" w:cs="Consolas" w:eastAsia="Consolas" w:hAnsi="Consolas"/>
              </w:rPr>
              <w:t xml:space="preserve">        DomSvc[Receivables Domain Service - invoice lifecycle, revenue recognition rules]</w:t>
            </w:r>
          </w:p>
          <w:p>
            <w:r>
              <w:rPr>
                <w:color w:val="333333"/>
                <w:sz w:val="18"/>
                <w:szCs w:val="18"/>
                <w:rFonts w:ascii="Consolas" w:cs="Consolas" w:eastAsia="Consolas" w:hAnsi="Consolas"/>
              </w:rPr>
              <w:t xml:space="preserve">        ApprovalEngine[Sales Approval Rule Evaluator]</w:t>
            </w:r>
          </w:p>
          <w:p>
            <w:r>
              <w:rPr>
                <w:color w:val="333333"/>
                <w:sz w:val="18"/>
                <w:szCs w:val="18"/>
                <w:rFonts w:ascii="Consolas" w:cs="Consolas" w:eastAsia="Consolas" w:hAnsi="Consolas"/>
              </w:rPr>
              <w:t xml:space="preserve">        RecurEngine[Recurring Invoice Scheduler]</w:t>
            </w:r>
          </w:p>
          <w:p>
            <w:r>
              <w:rPr>
                <w:color w:val="333333"/>
                <w:sz w:val="18"/>
                <w:szCs w:val="18"/>
                <w:rFonts w:ascii="Consolas" w:cs="Consolas" w:eastAsia="Consolas" w:hAnsi="Consolas"/>
              </w:rPr>
              <w:t xml:space="preserve">        Repo[Receivables Repository]</w:t>
            </w:r>
          </w:p>
          <w:p>
            <w:r>
              <w:rPr>
                <w:color w:val="333333"/>
                <w:sz w:val="18"/>
                <w:szCs w:val="18"/>
                <w:rFonts w:ascii="Consolas" w:cs="Consolas" w:eastAsia="Consolas" w:hAnsi="Consolas"/>
              </w:rPr>
              <w:t xml:space="preserve">        Publisher[Domain Event Publisher]</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API --&gt; DomSvc</w:t>
            </w:r>
          </w:p>
          <w:p>
            <w:r>
              <w:rPr>
                <w:color w:val="333333"/>
                <w:sz w:val="18"/>
                <w:szCs w:val="18"/>
                <w:rFonts w:ascii="Consolas" w:cs="Consolas" w:eastAsia="Consolas" w:hAnsi="Consolas"/>
              </w:rPr>
              <w:t xml:space="preserve">    DomSvc --&gt; ApprovalEngine</w:t>
            </w:r>
          </w:p>
          <w:p>
            <w:r>
              <w:rPr>
                <w:color w:val="333333"/>
                <w:sz w:val="18"/>
                <w:szCs w:val="18"/>
                <w:rFonts w:ascii="Consolas" w:cs="Consolas" w:eastAsia="Consolas" w:hAnsi="Consolas"/>
              </w:rPr>
              <w:t xml:space="preserve">    DomSvc --&gt; RecurEngine</w:t>
            </w:r>
          </w:p>
          <w:p>
            <w:r>
              <w:rPr>
                <w:color w:val="333333"/>
                <w:sz w:val="18"/>
                <w:szCs w:val="18"/>
                <w:rFonts w:ascii="Consolas" w:cs="Consolas" w:eastAsia="Consolas" w:hAnsi="Consolas"/>
              </w:rPr>
              <w:t xml:space="preserve">    DomSvc --&gt; Repo</w:t>
            </w:r>
          </w:p>
          <w:p>
            <w:r>
              <w:rPr>
                <w:color w:val="333333"/>
                <w:sz w:val="18"/>
                <w:szCs w:val="18"/>
                <w:rFonts w:ascii="Consolas" w:cs="Consolas" w:eastAsia="Consolas" w:hAnsi="Consolas"/>
              </w:rPr>
              <w:t xml:space="preserve">    DomSvc --&gt; Publisher</w:t>
            </w:r>
          </w:p>
          <w:p>
            <w:r>
              <w:rPr>
                <w:color w:val="333333"/>
                <w:sz w:val="18"/>
                <w:szCs w:val="18"/>
                <w:rFonts w:ascii="Consolas" w:cs="Consolas" w:eastAsia="Consolas" w:hAnsi="Consolas"/>
              </w:rPr>
              <w:t xml:space="preserve">    Repo --&gt; DB[(Receivables Schema)]</w:t>
            </w:r>
          </w:p>
          <w:p>
            <w:r>
              <w:rPr>
                <w:color w:val="333333"/>
                <w:sz w:val="18"/>
                <w:szCs w:val="18"/>
                <w:rFonts w:ascii="Consolas" w:cs="Consolas" w:eastAsia="Consolas" w:hAnsi="Consolas"/>
              </w:rPr>
              <w:t xml:space="preserve">    Publisher --&gt; Bus{{Event Bus}}</w:t>
            </w:r>
          </w:p>
          <w:p>
            <w:r>
              <w:rPr>
                <w:color w:val="333333"/>
                <w:sz w:val="18"/>
                <w:szCs w:val="18"/>
                <w:rFonts w:ascii="Consolas" w:cs="Consolas" w:eastAsia="Consolas" w:hAnsi="Consolas"/>
              </w:rPr>
              <w:t xml:space="preserve">    DomSvc -.calls.-&gt; InventoryAPI[[Inventory Module API]]</w:t>
            </w:r>
          </w:p>
          <w:p>
            <w:r>
              <w:rPr>
                <w:color w:val="333333"/>
                <w:sz w:val="18"/>
                <w:szCs w:val="18"/>
                <w:rFonts w:ascii="Consolas" w:cs="Consolas" w:eastAsia="Consolas" w:hAnsi="Consolas"/>
              </w:rPr>
              <w:t xml:space="preserve">    DomSvc -.calls.-&gt; LedgerAPI[[Ledger Module API]]</w:t>
            </w:r>
          </w:p>
          <w:p>
            <w:r>
              <w:rPr>
                <w:color w:val="333333"/>
                <w:sz w:val="18"/>
                <w:szCs w:val="18"/>
                <w:rFonts w:ascii="Consolas" w:cs="Consolas" w:eastAsia="Consolas" w:hAnsi="Consolas"/>
              </w:rPr>
              <w:t xml:space="preserve">    DomSvc -.calls.-&gt; TaxAPI[[Tax Module API]]</w:t>
            </w:r>
          </w:p>
        </w:tc>
      </w:tr>
    </w:tbl>
    <w:p>
      <w:pPr>
        <w:spacing w:after="200"/>
      </w:pPr>
      <w:r>
        <w:rPr>
          <w:sz w:val="10"/>
          <w:szCs w:val="10"/>
        </w:rPr>
      </w:r>
    </w:p>
    <w:p>
      <w:pPr>
        <w:pStyle w:val="Heading2"/>
        <w:spacing w:before="300" w:after="150"/>
      </w:pPr>
      <w:r>
        <w:rPr>
          <w:b/>
          <w:bCs/>
          <w:color w:val="2E75B6"/>
          <w:sz w:val="26"/>
          <w:szCs w:val="26"/>
        </w:rPr>
        <w:t xml:space="preserve">6.2 Ledger Module - Components</w:t>
      </w:r>
    </w:p>
    <w:p>
      <w:pPr>
        <w:spacing w:before="200" w:after="60"/>
      </w:pPr>
      <w:r>
        <w:rPr>
          <w:b/>
          <w:bCs/>
          <w:i/>
          <w:iCs/>
          <w:color w:val="2E75B6"/>
          <w:sz w:val="20"/>
          <w:szCs w:val="20"/>
        </w:rPr>
        <w:t xml:space="preserve">Diagram: C4 Level 3 - Ledger Module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TB</w:t>
            </w:r>
          </w:p>
          <w:p>
            <w:r>
              <w:rPr>
                <w:color w:val="333333"/>
                <w:sz w:val="18"/>
                <w:szCs w:val="18"/>
                <w:rFonts w:ascii="Consolas" w:cs="Consolas" w:eastAsia="Consolas" w:hAnsi="Consolas"/>
              </w:rPr>
              <w:t xml:space="preserve">    subgraph Ledger[CTX-02 Ledger Module]</w:t>
            </w:r>
          </w:p>
          <w:p>
            <w:r>
              <w:rPr>
                <w:color w:val="333333"/>
                <w:sz w:val="18"/>
                <w:szCs w:val="18"/>
                <w:rFonts w:ascii="Consolas" w:cs="Consolas" w:eastAsia="Consolas" w:hAnsi="Consolas"/>
              </w:rPr>
              <w:t xml:space="preserve">        API[Journal/Account API Layer]</w:t>
            </w:r>
          </w:p>
          <w:p>
            <w:r>
              <w:rPr>
                <w:color w:val="333333"/>
                <w:sz w:val="18"/>
                <w:szCs w:val="18"/>
                <w:rFonts w:ascii="Consolas" w:cs="Consolas" w:eastAsia="Consolas" w:hAnsi="Consolas"/>
              </w:rPr>
              <w:t xml:space="preserve">        Posting[Posting Engine - double-entry validation]</w:t>
            </w:r>
          </w:p>
          <w:p>
            <w:r>
              <w:rPr>
                <w:color w:val="333333"/>
                <w:sz w:val="18"/>
                <w:szCs w:val="18"/>
                <w:rFonts w:ascii="Consolas" w:cs="Consolas" w:eastAsia="Consolas" w:hAnsi="Consolas"/>
              </w:rPr>
              <w:t xml:space="preserve">        COA[Chart of Accounts Manager]</w:t>
            </w:r>
          </w:p>
          <w:p>
            <w:r>
              <w:rPr>
                <w:color w:val="333333"/>
                <w:sz w:val="18"/>
                <w:szCs w:val="18"/>
                <w:rFonts w:ascii="Consolas" w:cs="Consolas" w:eastAsia="Consolas" w:hAnsi="Consolas"/>
              </w:rPr>
              <w:t xml:space="preserve">        Lock[Period Lock Enforcer]</w:t>
            </w:r>
          </w:p>
          <w:p>
            <w:r>
              <w:rPr>
                <w:color w:val="333333"/>
                <w:sz w:val="18"/>
                <w:szCs w:val="18"/>
                <w:rFonts w:ascii="Consolas" w:cs="Consolas" w:eastAsia="Consolas" w:hAnsi="Consolas"/>
              </w:rPr>
              <w:t xml:space="preserve">        FX[Base Currency Revaluation Service]</w:t>
            </w:r>
          </w:p>
          <w:p>
            <w:r>
              <w:rPr>
                <w:color w:val="333333"/>
                <w:sz w:val="18"/>
                <w:szCs w:val="18"/>
                <w:rFonts w:ascii="Consolas" w:cs="Consolas" w:eastAsia="Consolas" w:hAnsi="Consolas"/>
              </w:rPr>
              <w:t xml:space="preserve">        Repo[Ledger Repository - append-only journal store]</w:t>
            </w:r>
          </w:p>
          <w:p>
            <w:r>
              <w:rPr>
                <w:color w:val="333333"/>
                <w:sz w:val="18"/>
                <w:szCs w:val="18"/>
                <w:rFonts w:ascii="Consolas" w:cs="Consolas" w:eastAsia="Consolas" w:hAnsi="Consolas"/>
              </w:rPr>
              <w:t xml:space="preserve">        Publisher[Domain Event Publisher]</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API --&gt; Posting</w:t>
            </w:r>
          </w:p>
          <w:p>
            <w:r>
              <w:rPr>
                <w:color w:val="333333"/>
                <w:sz w:val="18"/>
                <w:szCs w:val="18"/>
                <w:rFonts w:ascii="Consolas" w:cs="Consolas" w:eastAsia="Consolas" w:hAnsi="Consolas"/>
              </w:rPr>
              <w:t xml:space="preserve">    Posting --&gt; COA</w:t>
            </w:r>
          </w:p>
          <w:p>
            <w:r>
              <w:rPr>
                <w:color w:val="333333"/>
                <w:sz w:val="18"/>
                <w:szCs w:val="18"/>
                <w:rFonts w:ascii="Consolas" w:cs="Consolas" w:eastAsia="Consolas" w:hAnsi="Consolas"/>
              </w:rPr>
              <w:t xml:space="preserve">    Posting --&gt; Lock</w:t>
            </w:r>
          </w:p>
          <w:p>
            <w:r>
              <w:rPr>
                <w:color w:val="333333"/>
                <w:sz w:val="18"/>
                <w:szCs w:val="18"/>
                <w:rFonts w:ascii="Consolas" w:cs="Consolas" w:eastAsia="Consolas" w:hAnsi="Consolas"/>
              </w:rPr>
              <w:t xml:space="preserve">    Posting --&gt; Repo</w:t>
            </w:r>
          </w:p>
          <w:p>
            <w:r>
              <w:rPr>
                <w:color w:val="333333"/>
                <w:sz w:val="18"/>
                <w:szCs w:val="18"/>
                <w:rFonts w:ascii="Consolas" w:cs="Consolas" w:eastAsia="Consolas" w:hAnsi="Consolas"/>
              </w:rPr>
              <w:t xml:space="preserve">    FX --&gt; Repo</w:t>
            </w:r>
          </w:p>
          <w:p>
            <w:r>
              <w:rPr>
                <w:color w:val="333333"/>
                <w:sz w:val="18"/>
                <w:szCs w:val="18"/>
                <w:rFonts w:ascii="Consolas" w:cs="Consolas" w:eastAsia="Consolas" w:hAnsi="Consolas"/>
              </w:rPr>
              <w:t xml:space="preserve">    Posting --&gt; Publisher</w:t>
            </w:r>
          </w:p>
          <w:p>
            <w:r>
              <w:rPr>
                <w:color w:val="333333"/>
                <w:sz w:val="18"/>
                <w:szCs w:val="18"/>
                <w:rFonts w:ascii="Consolas" w:cs="Consolas" w:eastAsia="Consolas" w:hAnsi="Consolas"/>
              </w:rPr>
              <w:t xml:space="preserve">    Publisher --&gt; Bus{{Event Bus}}</w:t>
            </w:r>
          </w:p>
          <w:p>
            <w:r>
              <w:rPr>
                <w:color w:val="333333"/>
                <w:sz w:val="18"/>
                <w:szCs w:val="18"/>
                <w:rFonts w:ascii="Consolas" w:cs="Consolas" w:eastAsia="Consolas" w:hAnsi="Consolas"/>
              </w:rPr>
              <w:t xml:space="preserve">    Repo --&gt; DB[(Ledger Schema - append-only)]</w:t>
            </w:r>
          </w:p>
          <w:p>
            <w:r>
              <w:rPr>
                <w:color w:val="333333"/>
                <w:sz w:val="18"/>
                <w:szCs w:val="18"/>
                <w:rFonts w:ascii="Consolas" w:cs="Consolas" w:eastAsia="Consolas" w:hAnsi="Consolas"/>
              </w:rPr>
              <w:t xml:space="preserve">    Bus -.consumed by.-&gt; Reporting[[Reporting Module]]</w:t>
            </w:r>
          </w:p>
        </w:tc>
      </w:tr>
    </w:tbl>
    <w:p>
      <w:pPr>
        <w:spacing w:after="200"/>
      </w:pPr>
      <w:r>
        <w:rPr>
          <w:sz w:val="10"/>
          <w:szCs w:val="10"/>
        </w:rPr>
      </w:r>
    </w:p>
    <w:p>
      <w:r>
        <w:br w:type="page"/>
      </w:r>
    </w:p>
    <w:p>
      <w:pPr>
        <w:pStyle w:val="Heading1"/>
        <w:spacing w:before="400" w:after="200"/>
      </w:pPr>
      <w:r>
        <w:rPr>
          <w:b/>
          <w:bCs/>
          <w:color w:val="1F3864"/>
          <w:sz w:val="32"/>
          <w:szCs w:val="32"/>
        </w:rPr>
        <w:t xml:space="preserve">7. Module Dependency Diagram</w:t>
      </w:r>
    </w:p>
    <w:p>
      <w:pPr>
        <w:spacing w:after="160" w:line="276"/>
      </w:pPr>
      <w:r>
        <w:rPr>
          <w:b w:val="false"/>
          <w:bCs w:val="false"/>
          <w:i w:val="false"/>
          <w:iCs w:val="false"/>
          <w:color w:val="1A1A1A"/>
          <w:sz w:val="22"/>
          <w:szCs w:val="22"/>
        </w:rPr>
        <w:t xml:space="preserve">This is the authoritative dependency graph for build order and for enforcing "no upward dependency" rules in Volume 3's coding standards (a lower-layer module must never import from a higher-layer module). Layering is derived directly from Section 3's context map.</w:t>
      </w:r>
    </w:p>
    <w:p>
      <w:pPr>
        <w:spacing w:before="200" w:after="60"/>
      </w:pPr>
      <w:r>
        <w:rPr>
          <w:b/>
          <w:bCs/>
          <w:i/>
          <w:iCs/>
          <w:color w:val="2E75B6"/>
          <w:sz w:val="20"/>
          <w:szCs w:val="20"/>
        </w:rPr>
        <w:t xml:space="preserve">Diagram: Module dependency graph (layered)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BT</w:t>
            </w:r>
          </w:p>
          <w:p>
            <w:r>
              <w:rPr>
                <w:color w:val="333333"/>
                <w:sz w:val="18"/>
                <w:szCs w:val="18"/>
                <w:rFonts w:ascii="Consolas" w:cs="Consolas" w:eastAsia="Consolas" w:hAnsi="Consolas"/>
              </w:rPr>
              <w:t xml:space="preserve">    subgraph L0[Layer 0 - Foundational]</w:t>
            </w:r>
          </w:p>
          <w:p>
            <w:r>
              <w:rPr>
                <w:color w:val="333333"/>
                <w:sz w:val="18"/>
                <w:szCs w:val="18"/>
                <w:rFonts w:ascii="Consolas" w:cs="Consolas" w:eastAsia="Consolas" w:hAnsi="Consolas"/>
              </w:rPr>
              <w:t xml:space="preserve">        Identity[CTX-01 Identity &amp; Tenant]</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subgraph L1[Layer 1 - Core Domain]</w:t>
            </w:r>
          </w:p>
          <w:p>
            <w:r>
              <w:rPr>
                <w:color w:val="333333"/>
                <w:sz w:val="18"/>
                <w:szCs w:val="18"/>
                <w:rFonts w:ascii="Consolas" w:cs="Consolas" w:eastAsia="Consolas" w:hAnsi="Consolas"/>
              </w:rPr>
              <w:t xml:space="preserve">        Ledger[CTX-02 Ledger]</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subgraph L2[Layer 2 - Core Business Modules]</w:t>
            </w:r>
          </w:p>
          <w:p>
            <w:r>
              <w:rPr>
                <w:color w:val="333333"/>
                <w:sz w:val="18"/>
                <w:szCs w:val="18"/>
                <w:rFonts w:ascii="Consolas" w:cs="Consolas" w:eastAsia="Consolas" w:hAnsi="Consolas"/>
              </w:rPr>
              <w:t xml:space="preserve">        Receivables[CTX-03 Receivables]</w:t>
            </w:r>
          </w:p>
          <w:p>
            <w:r>
              <w:rPr>
                <w:color w:val="333333"/>
                <w:sz w:val="18"/>
                <w:szCs w:val="18"/>
                <w:rFonts w:ascii="Consolas" w:cs="Consolas" w:eastAsia="Consolas" w:hAnsi="Consolas"/>
              </w:rPr>
              <w:t xml:space="preserve">        Payables[CTX-04 Payables]</w:t>
            </w:r>
          </w:p>
          <w:p>
            <w:r>
              <w:rPr>
                <w:color w:val="333333"/>
                <w:sz w:val="18"/>
                <w:szCs w:val="18"/>
                <w:rFonts w:ascii="Consolas" w:cs="Consolas" w:eastAsia="Consolas" w:hAnsi="Consolas"/>
              </w:rPr>
              <w:t xml:space="preserve">        Inventory[CTX-07 Inventory]</w:t>
            </w:r>
          </w:p>
          <w:p>
            <w:r>
              <w:rPr>
                <w:color w:val="333333"/>
                <w:sz w:val="18"/>
                <w:szCs w:val="18"/>
                <w:rFonts w:ascii="Consolas" w:cs="Consolas" w:eastAsia="Consolas" w:hAnsi="Consolas"/>
              </w:rPr>
              <w:t xml:space="preserve">        Banking[CTX-05 Banking]</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subgraph L3[Layer 3 - Supporting Modules]</w:t>
            </w:r>
          </w:p>
          <w:p>
            <w:r>
              <w:rPr>
                <w:color w:val="333333"/>
                <w:sz w:val="18"/>
                <w:szCs w:val="18"/>
                <w:rFonts w:ascii="Consolas" w:cs="Consolas" w:eastAsia="Consolas" w:hAnsi="Consolas"/>
              </w:rPr>
              <w:t xml:space="preserve">        Payments[CTX-06 Payments]</w:t>
            </w:r>
          </w:p>
          <w:p>
            <w:r>
              <w:rPr>
                <w:color w:val="333333"/>
                <w:sz w:val="18"/>
                <w:szCs w:val="18"/>
                <w:rFonts w:ascii="Consolas" w:cs="Consolas" w:eastAsia="Consolas" w:hAnsi="Consolas"/>
              </w:rPr>
              <w:t xml:space="preserve">        Projects[CTX-08 Projects]</w:t>
            </w:r>
          </w:p>
          <w:p>
            <w:r>
              <w:rPr>
                <w:color w:val="333333"/>
                <w:sz w:val="18"/>
                <w:szCs w:val="18"/>
                <w:rFonts w:ascii="Consolas" w:cs="Consolas" w:eastAsia="Consolas" w:hAnsi="Consolas"/>
              </w:rPr>
              <w:t xml:space="preserve">        Tax[CTX-10 Tax &amp; Compliance]</w:t>
            </w:r>
          </w:p>
          <w:p>
            <w:r>
              <w:rPr>
                <w:color w:val="333333"/>
                <w:sz w:val="18"/>
                <w:szCs w:val="18"/>
                <w:rFonts w:ascii="Consolas" w:cs="Consolas" w:eastAsia="Consolas" w:hAnsi="Consolas"/>
              </w:rPr>
              <w:t xml:space="preserve">        Documents[CTX-12 Documents]</w:t>
            </w:r>
          </w:p>
          <w:p>
            <w:r>
              <w:rPr>
                <w:color w:val="333333"/>
                <w:sz w:val="18"/>
                <w:szCs w:val="18"/>
                <w:rFonts w:ascii="Consolas" w:cs="Consolas" w:eastAsia="Consolas" w:hAnsi="Consolas"/>
              </w:rPr>
              <w:t xml:space="preserve">        Collab[CTX-13 Collaboration &amp; Portals]</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subgraph L4[Layer 4 - Cross-Cutting / Aggregating]</w:t>
            </w:r>
          </w:p>
          <w:p>
            <w:r>
              <w:rPr>
                <w:color w:val="333333"/>
                <w:sz w:val="18"/>
                <w:szCs w:val="18"/>
                <w:rFonts w:ascii="Consolas" w:cs="Consolas" w:eastAsia="Consolas" w:hAnsi="Consolas"/>
              </w:rPr>
              <w:t xml:space="preserve">        Reporting[CTX-11 Reporting &amp; Analytics]</w:t>
            </w:r>
          </w:p>
          <w:p>
            <w:r>
              <w:rPr>
                <w:color w:val="333333"/>
                <w:sz w:val="18"/>
                <w:szCs w:val="18"/>
                <w:rFonts w:ascii="Consolas" w:cs="Consolas" w:eastAsia="Consolas" w:hAnsi="Consolas"/>
              </w:rPr>
              <w:t xml:space="preserve">        Automation[CTX-14 Automation &amp; Customization]</w:t>
            </w:r>
          </w:p>
          <w:p>
            <w:r>
              <w:rPr>
                <w:color w:val="333333"/>
                <w:sz w:val="18"/>
                <w:szCs w:val="18"/>
                <w:rFonts w:ascii="Consolas" w:cs="Consolas" w:eastAsia="Consolas" w:hAnsi="Consolas"/>
              </w:rPr>
              <w:t xml:space="preserve">        AI[CTX-15 AI Assistant]</w:t>
            </w:r>
          </w:p>
          <w:p>
            <w:r>
              <w:rPr>
                <w:color w:val="333333"/>
                <w:sz w:val="18"/>
                <w:szCs w:val="18"/>
                <w:rFonts w:ascii="Consolas" w:cs="Consolas" w:eastAsia="Consolas" w:hAnsi="Consolas"/>
              </w:rPr>
              <w:t xml:space="preserve">        Integration[CTX-16 Integration Gateway]</w:t>
            </w:r>
          </w:p>
          <w:p>
            <w:r>
              <w:rPr>
                <w:color w:val="333333"/>
                <w:sz w:val="18"/>
                <w:szCs w:val="18"/>
                <w:rFonts w:ascii="Consolas" w:cs="Consolas" w:eastAsia="Consolas" w:hAnsi="Consolas"/>
              </w:rPr>
              <w:t xml:space="preserve">        Payroll[CTX-09 Payroll]</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Ledger --&gt; Identity</w:t>
            </w:r>
          </w:p>
          <w:p>
            <w:r>
              <w:rPr>
                <w:color w:val="333333"/>
                <w:sz w:val="18"/>
                <w:szCs w:val="18"/>
                <w:rFonts w:ascii="Consolas" w:cs="Consolas" w:eastAsia="Consolas" w:hAnsi="Consolas"/>
              </w:rPr>
              <w:t xml:space="preserve">    Receivables --&gt; Identity</w:t>
            </w:r>
          </w:p>
          <w:p>
            <w:r>
              <w:rPr>
                <w:color w:val="333333"/>
                <w:sz w:val="18"/>
                <w:szCs w:val="18"/>
                <w:rFonts w:ascii="Consolas" w:cs="Consolas" w:eastAsia="Consolas" w:hAnsi="Consolas"/>
              </w:rPr>
              <w:t xml:space="preserve">    Receivables --&gt; Ledger</w:t>
            </w:r>
          </w:p>
          <w:p>
            <w:r>
              <w:rPr>
                <w:color w:val="333333"/>
                <w:sz w:val="18"/>
                <w:szCs w:val="18"/>
                <w:rFonts w:ascii="Consolas" w:cs="Consolas" w:eastAsia="Consolas" w:hAnsi="Consolas"/>
              </w:rPr>
              <w:t xml:space="preserve">    Payables --&gt; Identity</w:t>
            </w:r>
          </w:p>
          <w:p>
            <w:r>
              <w:rPr>
                <w:color w:val="333333"/>
                <w:sz w:val="18"/>
                <w:szCs w:val="18"/>
                <w:rFonts w:ascii="Consolas" w:cs="Consolas" w:eastAsia="Consolas" w:hAnsi="Consolas"/>
              </w:rPr>
              <w:t xml:space="preserve">    Payables --&gt; Ledger</w:t>
            </w:r>
          </w:p>
          <w:p>
            <w:r>
              <w:rPr>
                <w:color w:val="333333"/>
                <w:sz w:val="18"/>
                <w:szCs w:val="18"/>
                <w:rFonts w:ascii="Consolas" w:cs="Consolas" w:eastAsia="Consolas" w:hAnsi="Consolas"/>
              </w:rPr>
              <w:t xml:space="preserve">    Inventory --&gt; Identity</w:t>
            </w:r>
          </w:p>
          <w:p>
            <w:r>
              <w:rPr>
                <w:color w:val="333333"/>
                <w:sz w:val="18"/>
                <w:szCs w:val="18"/>
                <w:rFonts w:ascii="Consolas" w:cs="Consolas" w:eastAsia="Consolas" w:hAnsi="Consolas"/>
              </w:rPr>
              <w:t xml:space="preserve">    Banking --&gt; Identity</w:t>
            </w:r>
          </w:p>
          <w:p>
            <w:r>
              <w:rPr>
                <w:color w:val="333333"/>
                <w:sz w:val="18"/>
                <w:szCs w:val="18"/>
                <w:rFonts w:ascii="Consolas" w:cs="Consolas" w:eastAsia="Consolas" w:hAnsi="Consolas"/>
              </w:rPr>
              <w:t xml:space="preserve">    Banking --&gt; Ledger</w:t>
            </w:r>
          </w:p>
          <w:p>
            <w:r>
              <w:rPr>
                <w:color w:val="333333"/>
                <w:sz w:val="18"/>
                <w:szCs w:val="18"/>
                <w:rFonts w:ascii="Consolas" w:cs="Consolas" w:eastAsia="Consolas" w:hAnsi="Consolas"/>
              </w:rPr>
              <w:t xml:space="preserve">    Payments --&gt; Identity</w:t>
            </w:r>
          </w:p>
          <w:p>
            <w:r>
              <w:rPr>
                <w:color w:val="333333"/>
                <w:sz w:val="18"/>
                <w:szCs w:val="18"/>
                <w:rFonts w:ascii="Consolas" w:cs="Consolas" w:eastAsia="Consolas" w:hAnsi="Consolas"/>
              </w:rPr>
              <w:t xml:space="preserve">    Payments --&gt; Receivables</w:t>
            </w:r>
          </w:p>
          <w:p>
            <w:r>
              <w:rPr>
                <w:color w:val="333333"/>
                <w:sz w:val="18"/>
                <w:szCs w:val="18"/>
                <w:rFonts w:ascii="Consolas" w:cs="Consolas" w:eastAsia="Consolas" w:hAnsi="Consolas"/>
              </w:rPr>
              <w:t xml:space="preserve">    Projects --&gt; Receivables</w:t>
            </w:r>
          </w:p>
          <w:p>
            <w:r>
              <w:rPr>
                <w:color w:val="333333"/>
                <w:sz w:val="18"/>
                <w:szCs w:val="18"/>
                <w:rFonts w:ascii="Consolas" w:cs="Consolas" w:eastAsia="Consolas" w:hAnsi="Consolas"/>
              </w:rPr>
              <w:t xml:space="preserve">    Tax --&gt; Identity</w:t>
            </w:r>
          </w:p>
          <w:p>
            <w:r>
              <w:rPr>
                <w:color w:val="333333"/>
                <w:sz w:val="18"/>
                <w:szCs w:val="18"/>
                <w:rFonts w:ascii="Consolas" w:cs="Consolas" w:eastAsia="Consolas" w:hAnsi="Consolas"/>
              </w:rPr>
              <w:t xml:space="preserve">    Documents --&gt; Identity</w:t>
            </w:r>
          </w:p>
          <w:p>
            <w:r>
              <w:rPr>
                <w:color w:val="333333"/>
                <w:sz w:val="18"/>
                <w:szCs w:val="18"/>
                <w:rFonts w:ascii="Consolas" w:cs="Consolas" w:eastAsia="Consolas" w:hAnsi="Consolas"/>
              </w:rPr>
              <w:t xml:space="preserve">    Collab --&gt; Receivables</w:t>
            </w:r>
          </w:p>
          <w:p>
            <w:r>
              <w:rPr>
                <w:color w:val="333333"/>
                <w:sz w:val="18"/>
                <w:szCs w:val="18"/>
                <w:rFonts w:ascii="Consolas" w:cs="Consolas" w:eastAsia="Consolas" w:hAnsi="Consolas"/>
              </w:rPr>
              <w:t xml:space="preserve">    Collab --&gt; Payables</w:t>
            </w:r>
          </w:p>
          <w:p>
            <w:r>
              <w:rPr>
                <w:color w:val="333333"/>
                <w:sz w:val="18"/>
                <w:szCs w:val="18"/>
                <w:rFonts w:ascii="Consolas" w:cs="Consolas" w:eastAsia="Consolas" w:hAnsi="Consolas"/>
              </w:rPr>
              <w:t xml:space="preserve">    Reporting --&gt; Ledger</w:t>
            </w:r>
          </w:p>
          <w:p>
            <w:r>
              <w:rPr>
                <w:color w:val="333333"/>
                <w:sz w:val="18"/>
                <w:szCs w:val="18"/>
                <w:rFonts w:ascii="Consolas" w:cs="Consolas" w:eastAsia="Consolas" w:hAnsi="Consolas"/>
              </w:rPr>
              <w:t xml:space="preserve">    Reporting --&gt; Receivables</w:t>
            </w:r>
          </w:p>
          <w:p>
            <w:r>
              <w:rPr>
                <w:color w:val="333333"/>
                <w:sz w:val="18"/>
                <w:szCs w:val="18"/>
                <w:rFonts w:ascii="Consolas" w:cs="Consolas" w:eastAsia="Consolas" w:hAnsi="Consolas"/>
              </w:rPr>
              <w:t xml:space="preserve">    Reporting --&gt; Payables</w:t>
            </w:r>
          </w:p>
          <w:p>
            <w:r>
              <w:rPr>
                <w:color w:val="333333"/>
                <w:sz w:val="18"/>
                <w:szCs w:val="18"/>
                <w:rFonts w:ascii="Consolas" w:cs="Consolas" w:eastAsia="Consolas" w:hAnsi="Consolas"/>
              </w:rPr>
              <w:t xml:space="preserve">    Reporting --&gt; Inventory</w:t>
            </w:r>
          </w:p>
          <w:p>
            <w:r>
              <w:rPr>
                <w:color w:val="333333"/>
                <w:sz w:val="18"/>
                <w:szCs w:val="18"/>
                <w:rFonts w:ascii="Consolas" w:cs="Consolas" w:eastAsia="Consolas" w:hAnsi="Consolas"/>
              </w:rPr>
              <w:t xml:space="preserve">    Automation --&gt; Receivables</w:t>
            </w:r>
          </w:p>
          <w:p>
            <w:r>
              <w:rPr>
                <w:color w:val="333333"/>
                <w:sz w:val="18"/>
                <w:szCs w:val="18"/>
                <w:rFonts w:ascii="Consolas" w:cs="Consolas" w:eastAsia="Consolas" w:hAnsi="Consolas"/>
              </w:rPr>
              <w:t xml:space="preserve">    Automation --&gt; Payables</w:t>
            </w:r>
          </w:p>
          <w:p>
            <w:r>
              <w:rPr>
                <w:color w:val="333333"/>
                <w:sz w:val="18"/>
                <w:szCs w:val="18"/>
                <w:rFonts w:ascii="Consolas" w:cs="Consolas" w:eastAsia="Consolas" w:hAnsi="Consolas"/>
              </w:rPr>
              <w:t xml:space="preserve">    AI --&gt; Reporting</w:t>
            </w:r>
          </w:p>
          <w:p>
            <w:r>
              <w:rPr>
                <w:color w:val="333333"/>
                <w:sz w:val="18"/>
                <w:szCs w:val="18"/>
                <w:rFonts w:ascii="Consolas" w:cs="Consolas" w:eastAsia="Consolas" w:hAnsi="Consolas"/>
              </w:rPr>
              <w:t xml:space="preserve">    Integration --&gt; Banking</w:t>
            </w:r>
          </w:p>
          <w:p>
            <w:r>
              <w:rPr>
                <w:color w:val="333333"/>
                <w:sz w:val="18"/>
                <w:szCs w:val="18"/>
                <w:rFonts w:ascii="Consolas" w:cs="Consolas" w:eastAsia="Consolas" w:hAnsi="Consolas"/>
              </w:rPr>
              <w:t xml:space="preserve">    Integration --&gt; Payments</w:t>
            </w:r>
          </w:p>
          <w:p>
            <w:r>
              <w:rPr>
                <w:color w:val="333333"/>
                <w:sz w:val="18"/>
                <w:szCs w:val="18"/>
                <w:rFonts w:ascii="Consolas" w:cs="Consolas" w:eastAsia="Consolas" w:hAnsi="Consolas"/>
              </w:rPr>
              <w:t xml:space="preserve">    Integration --&gt; Inventory</w:t>
            </w:r>
          </w:p>
          <w:p>
            <w:r>
              <w:rPr>
                <w:color w:val="333333"/>
                <w:sz w:val="18"/>
                <w:szCs w:val="18"/>
                <w:rFonts w:ascii="Consolas" w:cs="Consolas" w:eastAsia="Consolas" w:hAnsi="Consolas"/>
              </w:rPr>
              <w:t xml:space="preserve">    Payroll --&gt; Ledger</w:t>
            </w:r>
          </w:p>
          <w:p>
            <w:r>
              <w:rPr>
                <w:color w:val="333333"/>
                <w:sz w:val="18"/>
                <w:szCs w:val="18"/>
                <w:rFonts w:ascii="Consolas" w:cs="Consolas" w:eastAsia="Consolas" w:hAnsi="Consolas"/>
              </w:rPr>
              <w:t xml:space="preserve">    Payroll --&gt; Identity</w:t>
            </w:r>
          </w:p>
        </w:tc>
      </w:tr>
    </w:tbl>
    <w:p>
      <w:pPr>
        <w:spacing w:after="200"/>
      </w:pPr>
      <w:r>
        <w:rPr>
          <w:sz w:val="10"/>
          <w:szCs w:val="10"/>
        </w:rPr>
      </w:r>
    </w:p>
    <w:p>
      <w:pPr>
        <w:spacing w:after="160" w:line="276"/>
      </w:pPr>
      <w:r>
        <w:rPr>
          <w:b w:val="false"/>
          <w:bCs w:val="false"/>
          <w:i w:val="false"/>
          <w:iCs w:val="false"/>
          <w:color w:val="1A1A1A"/>
          <w:sz w:val="22"/>
          <w:szCs w:val="22"/>
        </w:rPr>
        <w:t xml:space="preserve">Rule of thumb enforced by this diagram: a module in Layer N may depend on any module in Layer 0..N-1, and may communicate with modules in the same layer only via domain events (never direct calls), to avoid layer-internal circular dependencies. Reporting (Layer 4) is read-only against every module it points to - it never writes back into Ledger, Receivables, Payables, or Inventory.</w:t>
      </w:r>
    </w:p>
    <w:p>
      <w:r>
        <w:br w:type="page"/>
      </w:r>
    </w:p>
    <w:p>
      <w:pPr>
        <w:pStyle w:val="Heading1"/>
        <w:spacing w:before="400" w:after="200"/>
      </w:pPr>
      <w:r>
        <w:rPr>
          <w:b/>
          <w:bCs/>
          <w:color w:val="1F3864"/>
          <w:sz w:val="32"/>
          <w:szCs w:val="32"/>
        </w:rPr>
        <w:t xml:space="preserve">8. UML Domain Model (Class Diagrams)</w:t>
      </w:r>
    </w:p>
    <w:p>
      <w:pPr>
        <w:spacing w:after="160" w:line="276"/>
      </w:pPr>
      <w:r>
        <w:rPr>
          <w:b w:val="false"/>
          <w:bCs w:val="false"/>
          <w:i w:val="false"/>
          <w:iCs w:val="false"/>
          <w:color w:val="1A1A1A"/>
          <w:sz w:val="22"/>
          <w:szCs w:val="22"/>
        </w:rPr>
        <w:t xml:space="preserve">These class diagrams define the canonical domain vocabulary that Volume 4 (Data Architecture) will turn into schema, and that Volume 9 (API Design) will turn into request/response payloads. Associations shown are domain relationships, not foreign keys - Volume 4 owns the physical implementation, including any denormalization for performance.</w:t>
      </w:r>
    </w:p>
    <w:p>
      <w:pPr>
        <w:pStyle w:val="Heading2"/>
        <w:spacing w:before="300" w:after="150"/>
      </w:pPr>
      <w:r>
        <w:rPr>
          <w:b/>
          <w:bCs/>
          <w:color w:val="2E75B6"/>
          <w:sz w:val="26"/>
          <w:szCs w:val="26"/>
        </w:rPr>
        <w:t xml:space="preserve">8.1 Ledger Core Domain</w:t>
      </w:r>
    </w:p>
    <w:p>
      <w:pPr>
        <w:spacing w:before="200" w:after="60"/>
      </w:pPr>
      <w:r>
        <w:rPr>
          <w:b/>
          <w:bCs/>
          <w:i/>
          <w:iCs/>
          <w:color w:val="2E75B6"/>
          <w:sz w:val="20"/>
          <w:szCs w:val="20"/>
        </w:rPr>
        <w:t xml:space="preserve">Diagram: UML class diagram - Ledger core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classDiagram</w:t>
            </w:r>
          </w:p>
          <w:p>
            <w:r>
              <w:rPr>
                <w:color w:val="333333"/>
                <w:sz w:val="18"/>
                <w:szCs w:val="18"/>
                <w:rFonts w:ascii="Consolas" w:cs="Consolas" w:eastAsia="Consolas" w:hAnsi="Consolas"/>
              </w:rPr>
              <w:t xml:space="preserve">    class Account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+String code</w:t>
            </w:r>
          </w:p>
          <w:p>
            <w:r>
              <w:rPr>
                <w:color w:val="333333"/>
                <w:sz w:val="18"/>
                <w:szCs w:val="18"/>
                <w:rFonts w:ascii="Consolas" w:cs="Consolas" w:eastAsia="Consolas" w:hAnsi="Consolas"/>
              </w:rPr>
              <w:t xml:space="preserve">        +String name</w:t>
            </w:r>
          </w:p>
          <w:p>
            <w:r>
              <w:rPr>
                <w:color w:val="333333"/>
                <w:sz w:val="18"/>
                <w:szCs w:val="18"/>
                <w:rFonts w:ascii="Consolas" w:cs="Consolas" w:eastAsia="Consolas" w:hAnsi="Consolas"/>
              </w:rPr>
              <w:t xml:space="preserve">        +AccountType type</w:t>
            </w:r>
          </w:p>
          <w:p>
            <w:r>
              <w:rPr>
                <w:color w:val="333333"/>
                <w:sz w:val="18"/>
                <w:szCs w:val="18"/>
                <w:rFonts w:ascii="Consolas" w:cs="Consolas" w:eastAsia="Consolas" w:hAnsi="Consolas"/>
              </w:rPr>
              <w:t xml:space="preserve">        +UUID parentAccountId</w:t>
            </w:r>
          </w:p>
          <w:p>
            <w:r>
              <w:rPr>
                <w:color w:val="333333"/>
                <w:sz w:val="18"/>
                <w:szCs w:val="18"/>
                <w:rFonts w:ascii="Consolas" w:cs="Consolas" w:eastAsia="Consolas" w:hAnsi="Consolas"/>
              </w:rPr>
              <w:t xml:space="preserve">        +Boolean isSystemDefined</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JournalEntry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+Date entryDate</w:t>
            </w:r>
          </w:p>
          <w:p>
            <w:r>
              <w:rPr>
                <w:color w:val="333333"/>
                <w:sz w:val="18"/>
                <w:szCs w:val="18"/>
                <w:rFonts w:ascii="Consolas" w:cs="Consolas" w:eastAsia="Consolas" w:hAnsi="Consolas"/>
              </w:rPr>
              <w:t xml:space="preserve">        +String reference</w:t>
            </w:r>
          </w:p>
          <w:p>
            <w:r>
              <w:rPr>
                <w:color w:val="333333"/>
                <w:sz w:val="18"/>
                <w:szCs w:val="18"/>
                <w:rFonts w:ascii="Consolas" w:cs="Consolas" w:eastAsia="Consolas" w:hAnsi="Consolas"/>
              </w:rPr>
              <w:t xml:space="preserve">        +JournalSource source</w:t>
            </w:r>
          </w:p>
          <w:p>
            <w:r>
              <w:rPr>
                <w:color w:val="333333"/>
                <w:sz w:val="18"/>
                <w:szCs w:val="18"/>
                <w:rFonts w:ascii="Consolas" w:cs="Consolas" w:eastAsia="Consolas" w:hAnsi="Consolas"/>
              </w:rPr>
              <w:t xml:space="preserve">        +Boolean isLocked</w:t>
            </w:r>
          </w:p>
          <w:p>
            <w:r>
              <w:rPr>
                <w:color w:val="333333"/>
                <w:sz w:val="18"/>
                <w:szCs w:val="18"/>
                <w:rFonts w:ascii="Consolas" w:cs="Consolas" w:eastAsia="Consolas" w:hAnsi="Consolas"/>
              </w:rPr>
              <w:t xml:space="preserve">        +postLines()</w:t>
            </w:r>
          </w:p>
          <w:p>
            <w:r>
              <w:rPr>
                <w:color w:val="333333"/>
                <w:sz w:val="18"/>
                <w:szCs w:val="18"/>
                <w:rFonts w:ascii="Consolas" w:cs="Consolas" w:eastAsia="Consolas" w:hAnsi="Consolas"/>
              </w:rPr>
              <w:t xml:space="preserve">        +reverse()</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JournalLine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+UUID accountId</w:t>
            </w:r>
          </w:p>
          <w:p>
            <w:r>
              <w:rPr>
                <w:color w:val="333333"/>
                <w:sz w:val="18"/>
                <w:szCs w:val="18"/>
                <w:rFonts w:ascii="Consolas" w:cs="Consolas" w:eastAsia="Consolas" w:hAnsi="Consolas"/>
              </w:rPr>
              <w:t xml:space="preserve">        +Decimal debit</w:t>
            </w:r>
          </w:p>
          <w:p>
            <w:r>
              <w:rPr>
                <w:color w:val="333333"/>
                <w:sz w:val="18"/>
                <w:szCs w:val="18"/>
                <w:rFonts w:ascii="Consolas" w:cs="Consolas" w:eastAsia="Consolas" w:hAnsi="Consolas"/>
              </w:rPr>
              <w:t xml:space="preserve">        +Decimal credit</w:t>
            </w:r>
          </w:p>
          <w:p>
            <w:r>
              <w:rPr>
                <w:color w:val="333333"/>
                <w:sz w:val="18"/>
                <w:szCs w:val="18"/>
                <w:rFonts w:ascii="Consolas" w:cs="Consolas" w:eastAsia="Consolas" w:hAnsi="Consolas"/>
              </w:rPr>
              <w:t xml:space="preserve">        +String currency</w:t>
            </w:r>
          </w:p>
          <w:p>
            <w:r>
              <w:rPr>
                <w:color w:val="333333"/>
                <w:sz w:val="18"/>
                <w:szCs w:val="18"/>
                <w:rFonts w:ascii="Consolas" w:cs="Consolas" w:eastAsia="Consolas" w:hAnsi="Consolas"/>
              </w:rPr>
              <w:t xml:space="preserve">        +Decimal exchangeRate</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FiscalPeriod {</w:t>
            </w:r>
          </w:p>
          <w:p>
            <w:r>
              <w:rPr>
                <w:color w:val="333333"/>
                <w:sz w:val="18"/>
                <w:szCs w:val="18"/>
                <w:rFonts w:ascii="Consolas" w:cs="Consolas" w:eastAsia="Consolas" w:hAnsi="Consolas"/>
              </w:rPr>
              <w:t xml:space="preserve">        +Date startDate</w:t>
            </w:r>
          </w:p>
          <w:p>
            <w:r>
              <w:rPr>
                <w:color w:val="333333"/>
                <w:sz w:val="18"/>
                <w:szCs w:val="18"/>
                <w:rFonts w:ascii="Consolas" w:cs="Consolas" w:eastAsia="Consolas" w:hAnsi="Consolas"/>
              </w:rPr>
              <w:t xml:space="preserve">        +Date endDate</w:t>
            </w:r>
          </w:p>
          <w:p>
            <w:r>
              <w:rPr>
                <w:color w:val="333333"/>
                <w:sz w:val="18"/>
                <w:szCs w:val="18"/>
                <w:rFonts w:ascii="Consolas" w:cs="Consolas" w:eastAsia="Consolas" w:hAnsi="Consolas"/>
              </w:rPr>
              <w:t xml:space="preserve">        +Boolean isLocked</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JournalEntry "1" *-- "2..*" JournalLine : contains</w:t>
            </w:r>
          </w:p>
          <w:p>
            <w:r>
              <w:rPr>
                <w:color w:val="333333"/>
                <w:sz w:val="18"/>
                <w:szCs w:val="18"/>
                <w:rFonts w:ascii="Consolas" w:cs="Consolas" w:eastAsia="Consolas" w:hAnsi="Consolas"/>
              </w:rPr>
              <w:t xml:space="preserve">    JournalLine "many" --&gt; "1" Account : posts to</w:t>
            </w:r>
          </w:p>
          <w:p>
            <w:r>
              <w:rPr>
                <w:color w:val="333333"/>
                <w:sz w:val="18"/>
                <w:szCs w:val="18"/>
                <w:rFonts w:ascii="Consolas" w:cs="Consolas" w:eastAsia="Consolas" w:hAnsi="Consolas"/>
              </w:rPr>
              <w:t xml:space="preserve">    JournalEntry "many" --&gt; "1" FiscalPeriod : belongs to</w:t>
            </w:r>
          </w:p>
          <w:p>
            <w:r>
              <w:rPr>
                <w:color w:val="333333"/>
                <w:sz w:val="18"/>
                <w:szCs w:val="18"/>
                <w:rFonts w:ascii="Consolas" w:cs="Consolas" w:eastAsia="Consolas" w:hAnsi="Consolas"/>
              </w:rPr>
              <w:t xml:space="preserve">    class AccountType {</w:t>
            </w:r>
          </w:p>
          <w:p>
            <w:r>
              <w:rPr>
                <w:color w:val="333333"/>
                <w:sz w:val="18"/>
                <w:szCs w:val="18"/>
                <w:rFonts w:ascii="Consolas" w:cs="Consolas" w:eastAsia="Consolas" w:hAnsi="Consolas"/>
              </w:rPr>
              <w:t xml:space="preserve">        &lt;&lt;enumeration&gt;&gt;</w:t>
            </w:r>
          </w:p>
          <w:p>
            <w:r>
              <w:rPr>
                <w:color w:val="333333"/>
                <w:sz w:val="18"/>
                <w:szCs w:val="18"/>
                <w:rFonts w:ascii="Consolas" w:cs="Consolas" w:eastAsia="Consolas" w:hAnsi="Consolas"/>
              </w:rPr>
              <w:t xml:space="preserve">        ASSET</w:t>
            </w:r>
          </w:p>
          <w:p>
            <w:r>
              <w:rPr>
                <w:color w:val="333333"/>
                <w:sz w:val="18"/>
                <w:szCs w:val="18"/>
                <w:rFonts w:ascii="Consolas" w:cs="Consolas" w:eastAsia="Consolas" w:hAnsi="Consolas"/>
              </w:rPr>
              <w:t xml:space="preserve">        LIABILITY</w:t>
            </w:r>
          </w:p>
          <w:p>
            <w:r>
              <w:rPr>
                <w:color w:val="333333"/>
                <w:sz w:val="18"/>
                <w:szCs w:val="18"/>
                <w:rFonts w:ascii="Consolas" w:cs="Consolas" w:eastAsia="Consolas" w:hAnsi="Consolas"/>
              </w:rPr>
              <w:t xml:space="preserve">        EQUITY</w:t>
            </w:r>
          </w:p>
          <w:p>
            <w:r>
              <w:rPr>
                <w:color w:val="333333"/>
                <w:sz w:val="18"/>
                <w:szCs w:val="18"/>
                <w:rFonts w:ascii="Consolas" w:cs="Consolas" w:eastAsia="Consolas" w:hAnsi="Consolas"/>
              </w:rPr>
              <w:t xml:space="preserve">        INCOME</w:t>
            </w:r>
          </w:p>
          <w:p>
            <w:r>
              <w:rPr>
                <w:color w:val="333333"/>
                <w:sz w:val="18"/>
                <w:szCs w:val="18"/>
                <w:rFonts w:ascii="Consolas" w:cs="Consolas" w:eastAsia="Consolas" w:hAnsi="Consolas"/>
              </w:rPr>
              <w:t xml:space="preserve">        EXPENSE</w:t>
            </w:r>
          </w:p>
          <w:p>
            <w:r>
              <w:rPr>
                <w:color w:val="333333"/>
                <w:sz w:val="18"/>
                <w:szCs w:val="18"/>
                <w:rFonts w:ascii="Consolas" w:cs="Consolas" w:eastAsia="Consolas" w:hAnsi="Consolas"/>
              </w:rPr>
              <w:t xml:space="preserve">    }</w:t>
            </w:r>
          </w:p>
        </w:tc>
      </w:tr>
    </w:tbl>
    <w:p>
      <w:pPr>
        <w:spacing w:after="200"/>
      </w:pPr>
      <w:r>
        <w:rPr>
          <w:sz w:val="10"/>
          <w:szCs w:val="10"/>
        </w:rPr>
      </w:r>
    </w:p>
    <w:p>
      <w:pPr>
        <w:pStyle w:val="Heading2"/>
        <w:spacing w:before="300" w:after="150"/>
      </w:pPr>
      <w:r>
        <w:rPr>
          <w:b/>
          <w:bCs/>
          <w:color w:val="2E75B6"/>
          <w:sz w:val="26"/>
          <w:szCs w:val="26"/>
        </w:rPr>
        <w:t xml:space="preserve">8.2 Receivables Core Domain</w:t>
      </w:r>
    </w:p>
    <w:p>
      <w:pPr>
        <w:spacing w:before="200" w:after="60"/>
      </w:pPr>
      <w:r>
        <w:rPr>
          <w:b/>
          <w:bCs/>
          <w:i/>
          <w:iCs/>
          <w:color w:val="2E75B6"/>
          <w:sz w:val="20"/>
          <w:szCs w:val="20"/>
        </w:rPr>
        <w:t xml:space="preserve">Diagram: UML class diagram - Receivables core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classDiagram</w:t>
            </w:r>
          </w:p>
          <w:p>
            <w:r>
              <w:rPr>
                <w:color w:val="333333"/>
                <w:sz w:val="18"/>
                <w:szCs w:val="18"/>
                <w:rFonts w:ascii="Consolas" w:cs="Consolas" w:eastAsia="Consolas" w:hAnsi="Consolas"/>
              </w:rPr>
              <w:t xml:space="preserve">    class Customer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+String name</w:t>
            </w:r>
          </w:p>
          <w:p>
            <w:r>
              <w:rPr>
                <w:color w:val="333333"/>
                <w:sz w:val="18"/>
                <w:szCs w:val="18"/>
                <w:rFonts w:ascii="Consolas" w:cs="Consolas" w:eastAsia="Consolas" w:hAnsi="Consolas"/>
              </w:rPr>
              <w:t xml:space="preserve">        +String defaultCurrency</w:t>
            </w:r>
          </w:p>
          <w:p>
            <w:r>
              <w:rPr>
                <w:color w:val="333333"/>
                <w:sz w:val="18"/>
                <w:szCs w:val="18"/>
                <w:rFonts w:ascii="Consolas" w:cs="Consolas" w:eastAsia="Consolas" w:hAnsi="Consolas"/>
              </w:rPr>
              <w:t xml:space="preserve">        +PaymentTerms terms</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Quote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+UUID customerId</w:t>
            </w:r>
          </w:p>
          <w:p>
            <w:r>
              <w:rPr>
                <w:color w:val="333333"/>
                <w:sz w:val="18"/>
                <w:szCs w:val="18"/>
                <w:rFonts w:ascii="Consolas" w:cs="Consolas" w:eastAsia="Consolas" w:hAnsi="Consolas"/>
              </w:rPr>
              <w:t xml:space="preserve">        +QuoteStatus status</w:t>
            </w:r>
          </w:p>
          <w:p>
            <w:r>
              <w:rPr>
                <w:color w:val="333333"/>
                <w:sz w:val="18"/>
                <w:szCs w:val="18"/>
                <w:rFonts w:ascii="Consolas" w:cs="Consolas" w:eastAsia="Consolas" w:hAnsi="Consolas"/>
              </w:rPr>
              <w:t xml:space="preserve">        +convertToSalesOrder()</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SalesOrder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+UUID customerId</w:t>
            </w:r>
          </w:p>
          <w:p>
            <w:r>
              <w:rPr>
                <w:color w:val="333333"/>
                <w:sz w:val="18"/>
                <w:szCs w:val="18"/>
                <w:rFonts w:ascii="Consolas" w:cs="Consolas" w:eastAsia="Consolas" w:hAnsi="Consolas"/>
              </w:rPr>
              <w:t xml:space="preserve">        +SOStatus status</w:t>
            </w:r>
          </w:p>
          <w:p>
            <w:r>
              <w:rPr>
                <w:color w:val="333333"/>
                <w:sz w:val="18"/>
                <w:szCs w:val="18"/>
                <w:rFonts w:ascii="Consolas" w:cs="Consolas" w:eastAsia="Consolas" w:hAnsi="Consolas"/>
              </w:rPr>
              <w:t xml:space="preserve">        +convertToInvoice()</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Invoice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+UUID customerId</w:t>
            </w:r>
          </w:p>
          <w:p>
            <w:r>
              <w:rPr>
                <w:color w:val="333333"/>
                <w:sz w:val="18"/>
                <w:szCs w:val="18"/>
                <w:rFonts w:ascii="Consolas" w:cs="Consolas" w:eastAsia="Consolas" w:hAnsi="Consolas"/>
              </w:rPr>
              <w:t xml:space="preserve">        +InvoiceStatus status</w:t>
            </w:r>
          </w:p>
          <w:p>
            <w:r>
              <w:rPr>
                <w:color w:val="333333"/>
                <w:sz w:val="18"/>
                <w:szCs w:val="18"/>
                <w:rFonts w:ascii="Consolas" w:cs="Consolas" w:eastAsia="Consolas" w:hAnsi="Consolas"/>
              </w:rPr>
              <w:t xml:space="preserve">        +Decimal totalAmount</w:t>
            </w:r>
          </w:p>
          <w:p>
            <w:r>
              <w:rPr>
                <w:color w:val="333333"/>
                <w:sz w:val="18"/>
                <w:szCs w:val="18"/>
                <w:rFonts w:ascii="Consolas" w:cs="Consolas" w:eastAsia="Consolas" w:hAnsi="Consolas"/>
              </w:rPr>
              <w:t xml:space="preserve">        +Decimal balanceDue</w:t>
            </w:r>
          </w:p>
          <w:p>
            <w:r>
              <w:rPr>
                <w:color w:val="333333"/>
                <w:sz w:val="18"/>
                <w:szCs w:val="18"/>
                <w:rFonts w:ascii="Consolas" w:cs="Consolas" w:eastAsia="Consolas" w:hAnsi="Consolas"/>
              </w:rPr>
              <w:t xml:space="preserve">        +Date dueDate</w:t>
            </w:r>
          </w:p>
          <w:p>
            <w:r>
              <w:rPr>
                <w:color w:val="333333"/>
                <w:sz w:val="18"/>
                <w:szCs w:val="18"/>
                <w:rFonts w:ascii="Consolas" w:cs="Consolas" w:eastAsia="Consolas" w:hAnsi="Consolas"/>
              </w:rPr>
              <w:t xml:space="preserve">        +send()</w:t>
            </w:r>
          </w:p>
          <w:p>
            <w:r>
              <w:rPr>
                <w:color w:val="333333"/>
                <w:sz w:val="18"/>
                <w:szCs w:val="18"/>
                <w:rFonts w:ascii="Consolas" w:cs="Consolas" w:eastAsia="Consolas" w:hAnsi="Consolas"/>
              </w:rPr>
              <w:t xml:space="preserve">        +recordPayment()</w:t>
            </w:r>
          </w:p>
          <w:p>
            <w:r>
              <w:rPr>
                <w:color w:val="333333"/>
                <w:sz w:val="18"/>
                <w:szCs w:val="18"/>
                <w:rFonts w:ascii="Consolas" w:cs="Consolas" w:eastAsia="Consolas" w:hAnsi="Consolas"/>
              </w:rPr>
              <w:t xml:space="preserve">        +void()</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LineItem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+UUID itemId</w:t>
            </w:r>
          </w:p>
          <w:p>
            <w:r>
              <w:rPr>
                <w:color w:val="333333"/>
                <w:sz w:val="18"/>
                <w:szCs w:val="18"/>
                <w:rFonts w:ascii="Consolas" w:cs="Consolas" w:eastAsia="Consolas" w:hAnsi="Consolas"/>
              </w:rPr>
              <w:t xml:space="preserve">        +Decimal quantity</w:t>
            </w:r>
          </w:p>
          <w:p>
            <w:r>
              <w:rPr>
                <w:color w:val="333333"/>
                <w:sz w:val="18"/>
                <w:szCs w:val="18"/>
                <w:rFonts w:ascii="Consolas" w:cs="Consolas" w:eastAsia="Consolas" w:hAnsi="Consolas"/>
              </w:rPr>
              <w:t xml:space="preserve">        +Decimal unitPrice</w:t>
            </w:r>
          </w:p>
          <w:p>
            <w:r>
              <w:rPr>
                <w:color w:val="333333"/>
                <w:sz w:val="18"/>
                <w:szCs w:val="18"/>
                <w:rFonts w:ascii="Consolas" w:cs="Consolas" w:eastAsia="Consolas" w:hAnsi="Consolas"/>
              </w:rPr>
              <w:t xml:space="preserve">        +Decimal taxAmount</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Payment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+UUID invoiceId</w:t>
            </w:r>
          </w:p>
          <w:p>
            <w:r>
              <w:rPr>
                <w:color w:val="333333"/>
                <w:sz w:val="18"/>
                <w:szCs w:val="18"/>
                <w:rFonts w:ascii="Consolas" w:cs="Consolas" w:eastAsia="Consolas" w:hAnsi="Consolas"/>
              </w:rPr>
              <w:t xml:space="preserve">        +Decimal amount</w:t>
            </w:r>
          </w:p>
          <w:p>
            <w:r>
              <w:rPr>
                <w:color w:val="333333"/>
                <w:sz w:val="18"/>
                <w:szCs w:val="18"/>
                <w:rFonts w:ascii="Consolas" w:cs="Consolas" w:eastAsia="Consolas" w:hAnsi="Consolas"/>
              </w:rPr>
              <w:t xml:space="preserve">        +Date paymentDate</w:t>
            </w:r>
          </w:p>
          <w:p>
            <w:r>
              <w:rPr>
                <w:color w:val="333333"/>
                <w:sz w:val="18"/>
                <w:szCs w:val="18"/>
                <w:rFonts w:ascii="Consolas" w:cs="Consolas" w:eastAsia="Consolas" w:hAnsi="Consolas"/>
              </w:rPr>
              <w:t xml:space="preserve">        +PaymentMethod method</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class CreditNote {</w:t>
            </w:r>
          </w:p>
          <w:p>
            <w:r>
              <w:rPr>
                <w:color w:val="333333"/>
                <w:sz w:val="18"/>
                <w:szCs w:val="18"/>
                <w:rFonts w:ascii="Consolas" w:cs="Consolas" w:eastAsia="Consolas" w:hAnsi="Consolas"/>
              </w:rPr>
              <w:t xml:space="preserve">        +UUID id</w:t>
            </w:r>
          </w:p>
          <w:p>
            <w:r>
              <w:rPr>
                <w:color w:val="333333"/>
                <w:sz w:val="18"/>
                <w:szCs w:val="18"/>
                <w:rFonts w:ascii="Consolas" w:cs="Consolas" w:eastAsia="Consolas" w:hAnsi="Consolas"/>
              </w:rPr>
              <w:t xml:space="preserve">        +UUID customerId</w:t>
            </w:r>
          </w:p>
          <w:p>
            <w:r>
              <w:rPr>
                <w:color w:val="333333"/>
                <w:sz w:val="18"/>
                <w:szCs w:val="18"/>
                <w:rFonts w:ascii="Consolas" w:cs="Consolas" w:eastAsia="Consolas" w:hAnsi="Consolas"/>
              </w:rPr>
              <w:t xml:space="preserve">        +Decimal amount</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Customer "1" --&gt; "many" Quote : requests</w:t>
            </w:r>
          </w:p>
          <w:p>
            <w:r>
              <w:rPr>
                <w:color w:val="333333"/>
                <w:sz w:val="18"/>
                <w:szCs w:val="18"/>
                <w:rFonts w:ascii="Consolas" w:cs="Consolas" w:eastAsia="Consolas" w:hAnsi="Consolas"/>
              </w:rPr>
              <w:t xml:space="preserve">    Customer "1" --&gt; "many" Invoice : billed to</w:t>
            </w:r>
          </w:p>
          <w:p>
            <w:r>
              <w:rPr>
                <w:color w:val="333333"/>
                <w:sz w:val="18"/>
                <w:szCs w:val="18"/>
                <w:rFonts w:ascii="Consolas" w:cs="Consolas" w:eastAsia="Consolas" w:hAnsi="Consolas"/>
              </w:rPr>
              <w:t xml:space="preserve">    Quote "1" --&gt; "0..1" SalesOrder : converts to</w:t>
            </w:r>
          </w:p>
          <w:p>
            <w:r>
              <w:rPr>
                <w:color w:val="333333"/>
                <w:sz w:val="18"/>
                <w:szCs w:val="18"/>
                <w:rFonts w:ascii="Consolas" w:cs="Consolas" w:eastAsia="Consolas" w:hAnsi="Consolas"/>
              </w:rPr>
              <w:t xml:space="preserve">    SalesOrder "1" --&gt; "0..1" Invoice : converts to</w:t>
            </w:r>
          </w:p>
          <w:p>
            <w:r>
              <w:rPr>
                <w:color w:val="333333"/>
                <w:sz w:val="18"/>
                <w:szCs w:val="18"/>
                <w:rFonts w:ascii="Consolas" w:cs="Consolas" w:eastAsia="Consolas" w:hAnsi="Consolas"/>
              </w:rPr>
              <w:t xml:space="preserve">    Invoice "1" *-- "1..*" LineItem : contains</w:t>
            </w:r>
          </w:p>
          <w:p>
            <w:r>
              <w:rPr>
                <w:color w:val="333333"/>
                <w:sz w:val="18"/>
                <w:szCs w:val="18"/>
                <w:rFonts w:ascii="Consolas" w:cs="Consolas" w:eastAsia="Consolas" w:hAnsi="Consolas"/>
              </w:rPr>
              <w:t xml:space="preserve">    Invoice "1" --&gt; "many" Payment : receives</w:t>
            </w:r>
          </w:p>
          <w:p>
            <w:r>
              <w:rPr>
                <w:color w:val="333333"/>
                <w:sz w:val="18"/>
                <w:szCs w:val="18"/>
                <w:rFonts w:ascii="Consolas" w:cs="Consolas" w:eastAsia="Consolas" w:hAnsi="Consolas"/>
              </w:rPr>
              <w:t xml:space="preserve">    Invoice "1" --&gt; "0..many" CreditNote : offset by</w:t>
            </w:r>
          </w:p>
        </w:tc>
      </w:tr>
    </w:tbl>
    <w:p>
      <w:pPr>
        <w:spacing w:after="200"/>
      </w:pPr>
      <w:r>
        <w:rPr>
          <w:sz w:val="10"/>
          <w:szCs w:val="10"/>
        </w:rPr>
      </w:r>
    </w:p>
    <w:p>
      <w:r>
        <w:br w:type="page"/>
      </w:r>
    </w:p>
    <w:p>
      <w:pPr>
        <w:pStyle w:val="Heading1"/>
        <w:spacing w:before="400" w:after="200"/>
      </w:pPr>
      <w:r>
        <w:rPr>
          <w:b/>
          <w:bCs/>
          <w:color w:val="1F3864"/>
          <w:sz w:val="32"/>
          <w:szCs w:val="32"/>
        </w:rPr>
        <w:t xml:space="preserve">9. Sequence Diagrams - Cross-Context Flows</w:t>
      </w:r>
    </w:p>
    <w:p>
      <w:pPr>
        <w:spacing w:after="160" w:line="276"/>
      </w:pPr>
      <w:r>
        <w:rPr>
          <w:b w:val="false"/>
          <w:bCs w:val="false"/>
          <w:i w:val="false"/>
          <w:iCs w:val="false"/>
          <w:color w:val="1A1A1A"/>
          <w:sz w:val="22"/>
          <w:szCs w:val="22"/>
        </w:rPr>
        <w:t xml:space="preserve">These sequence diagrams elaborate the Vol. 1 Section 8 process flows at the module-interaction level, showing exactly which module calls which and where domain events are published versus consumed.</w:t>
      </w:r>
    </w:p>
    <w:p>
      <w:pPr>
        <w:pStyle w:val="Heading2"/>
        <w:spacing w:before="300" w:after="150"/>
      </w:pPr>
      <w:r>
        <w:rPr>
          <w:b/>
          <w:bCs/>
          <w:color w:val="2E75B6"/>
          <w:sz w:val="26"/>
          <w:szCs w:val="26"/>
        </w:rPr>
        <w:t xml:space="preserve">9.1 Invoice Creation &amp; Ledger Posting</w:t>
      </w:r>
    </w:p>
    <w:p>
      <w:pPr>
        <w:spacing w:before="200" w:after="60"/>
      </w:pPr>
      <w:r>
        <w:rPr>
          <w:b/>
          <w:bCs/>
          <w:i/>
          <w:iCs/>
          <w:color w:val="2E75B6"/>
          <w:sz w:val="20"/>
          <w:szCs w:val="20"/>
        </w:rPr>
        <w:t xml:space="preserve">Diagram: Sequence - invoice send triggers ledger posting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sequenceDiagram</w:t>
            </w:r>
          </w:p>
          <w:p>
            <w:r>
              <w:rPr>
                <w:color w:val="333333"/>
                <w:sz w:val="18"/>
                <w:szCs w:val="18"/>
                <w:rFonts w:ascii="Consolas" w:cs="Consolas" w:eastAsia="Consolas" w:hAnsi="Consolas"/>
              </w:rPr>
              <w:t xml:space="preserve">    participant UI as Web App</w:t>
            </w:r>
          </w:p>
          <w:p>
            <w:r>
              <w:rPr>
                <w:color w:val="333333"/>
                <w:sz w:val="18"/>
                <w:szCs w:val="18"/>
                <w:rFonts w:ascii="Consolas" w:cs="Consolas" w:eastAsia="Consolas" w:hAnsi="Consolas"/>
              </w:rPr>
              <w:t xml:space="preserve">    participant GW as API Gateway</w:t>
            </w:r>
          </w:p>
          <w:p>
            <w:r>
              <w:rPr>
                <w:color w:val="333333"/>
                <w:sz w:val="18"/>
                <w:szCs w:val="18"/>
                <w:rFonts w:ascii="Consolas" w:cs="Consolas" w:eastAsia="Consolas" w:hAnsi="Consolas"/>
              </w:rPr>
              <w:t xml:space="preserve">    participant AR as Receivables Module</w:t>
            </w:r>
          </w:p>
          <w:p>
            <w:r>
              <w:rPr>
                <w:color w:val="333333"/>
                <w:sz w:val="18"/>
                <w:szCs w:val="18"/>
                <w:rFonts w:ascii="Consolas" w:cs="Consolas" w:eastAsia="Consolas" w:hAnsi="Consolas"/>
              </w:rPr>
              <w:t xml:space="preserve">    participant INV as Inventory Module</w:t>
            </w:r>
          </w:p>
          <w:p>
            <w:r>
              <w:rPr>
                <w:color w:val="333333"/>
                <w:sz w:val="18"/>
                <w:szCs w:val="18"/>
                <w:rFonts w:ascii="Consolas" w:cs="Consolas" w:eastAsia="Consolas" w:hAnsi="Consolas"/>
              </w:rPr>
              <w:t xml:space="preserve">    participant TAX as Tax Module</w:t>
            </w:r>
          </w:p>
          <w:p>
            <w:r>
              <w:rPr>
                <w:color w:val="333333"/>
                <w:sz w:val="18"/>
                <w:szCs w:val="18"/>
                <w:rFonts w:ascii="Consolas" w:cs="Consolas" w:eastAsia="Consolas" w:hAnsi="Consolas"/>
              </w:rPr>
              <w:t xml:space="preserve">    participant LED as Ledger Module</w:t>
            </w:r>
          </w:p>
          <w:p>
            <w:r>
              <w:rPr>
                <w:color w:val="333333"/>
                <w:sz w:val="18"/>
                <w:szCs w:val="18"/>
                <w:rFonts w:ascii="Consolas" w:cs="Consolas" w:eastAsia="Consolas" w:hAnsi="Consolas"/>
              </w:rPr>
              <w:t xml:space="preserve">    participant BUS as Event Bus</w:t>
            </w:r>
          </w:p>
          <w:p>
            <w:r>
              <w:rPr>
                <w:color w:val="333333"/>
                <w:sz w:val="18"/>
                <w:szCs w:val="18"/>
                <w:rFonts w:ascii="Consolas" w:cs="Consolas" w:eastAsia="Consolas" w:hAnsi="Consolas"/>
              </w:rPr>
              <w:t xml:space="preserve">    participant RPT as Reporting Module</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UI-&gt;&gt;GW: POST /invoices (draft)</w:t>
            </w:r>
          </w:p>
          <w:p>
            <w:r>
              <w:rPr>
                <w:color w:val="333333"/>
                <w:sz w:val="18"/>
                <w:szCs w:val="18"/>
                <w:rFonts w:ascii="Consolas" w:cs="Consolas" w:eastAsia="Consolas" w:hAnsi="Consolas"/>
              </w:rPr>
              <w:t xml:space="preserve">    GW-&gt;&gt;AR: createInvoice(payload)</w:t>
            </w:r>
          </w:p>
          <w:p>
            <w:r>
              <w:rPr>
                <w:color w:val="333333"/>
                <w:sz w:val="18"/>
                <w:szCs w:val="18"/>
                <w:rFonts w:ascii="Consolas" w:cs="Consolas" w:eastAsia="Consolas" w:hAnsi="Consolas"/>
              </w:rPr>
              <w:t xml:space="preserve">    AR-&gt;&gt;INV: checkStock(lineItems)</w:t>
            </w:r>
          </w:p>
          <w:p>
            <w:r>
              <w:rPr>
                <w:color w:val="333333"/>
                <w:sz w:val="18"/>
                <w:szCs w:val="18"/>
                <w:rFonts w:ascii="Consolas" w:cs="Consolas" w:eastAsia="Consolas" w:hAnsi="Consolas"/>
              </w:rPr>
              <w:t xml:space="preserve">    INV--&gt;&gt;AR: stock confirmed</w:t>
            </w:r>
          </w:p>
          <w:p>
            <w:r>
              <w:rPr>
                <w:color w:val="333333"/>
                <w:sz w:val="18"/>
                <w:szCs w:val="18"/>
                <w:rFonts w:ascii="Consolas" w:cs="Consolas" w:eastAsia="Consolas" w:hAnsi="Consolas"/>
              </w:rPr>
              <w:t xml:space="preserve">    AR-&gt;&gt;TAX: calculateTax(lineItems, customer)</w:t>
            </w:r>
          </w:p>
          <w:p>
            <w:r>
              <w:rPr>
                <w:color w:val="333333"/>
                <w:sz w:val="18"/>
                <w:szCs w:val="18"/>
                <w:rFonts w:ascii="Consolas" w:cs="Consolas" w:eastAsia="Consolas" w:hAnsi="Consolas"/>
              </w:rPr>
              <w:t xml:space="preserve">    TAX--&gt;&gt;AR: tax breakdown</w:t>
            </w:r>
          </w:p>
          <w:p>
            <w:r>
              <w:rPr>
                <w:color w:val="333333"/>
                <w:sz w:val="18"/>
                <w:szCs w:val="18"/>
                <w:rFonts w:ascii="Consolas" w:cs="Consolas" w:eastAsia="Consolas" w:hAnsi="Consolas"/>
              </w:rPr>
              <w:t xml:space="preserve">    AR-&gt;&gt;AR: persist Invoice (status=Draft)</w:t>
            </w:r>
          </w:p>
          <w:p>
            <w:r>
              <w:rPr>
                <w:color w:val="333333"/>
                <w:sz w:val="18"/>
                <w:szCs w:val="18"/>
                <w:rFonts w:ascii="Consolas" w:cs="Consolas" w:eastAsia="Consolas" w:hAnsi="Consolas"/>
              </w:rPr>
              <w:t xml:space="preserve">    UI-&gt;&gt;GW: POST /invoices/{id}/send</w:t>
            </w:r>
          </w:p>
          <w:p>
            <w:r>
              <w:rPr>
                <w:color w:val="333333"/>
                <w:sz w:val="18"/>
                <w:szCs w:val="18"/>
                <w:rFonts w:ascii="Consolas" w:cs="Consolas" w:eastAsia="Consolas" w:hAnsi="Consolas"/>
              </w:rPr>
              <w:t xml:space="preserve">    GW-&gt;&gt;AR: sendInvoice(id)</w:t>
            </w:r>
          </w:p>
          <w:p>
            <w:r>
              <w:rPr>
                <w:color w:val="333333"/>
                <w:sz w:val="18"/>
                <w:szCs w:val="18"/>
                <w:rFonts w:ascii="Consolas" w:cs="Consolas" w:eastAsia="Consolas" w:hAnsi="Consolas"/>
              </w:rPr>
              <w:t xml:space="preserve">    AR-&gt;&gt;AR: update status=Sent</w:t>
            </w:r>
          </w:p>
          <w:p>
            <w:r>
              <w:rPr>
                <w:color w:val="333333"/>
                <w:sz w:val="18"/>
                <w:szCs w:val="18"/>
                <w:rFonts w:ascii="Consolas" w:cs="Consolas" w:eastAsia="Consolas" w:hAnsi="Consolas"/>
              </w:rPr>
              <w:t xml:space="preserve">    AR-&gt;&gt;BUS: publish InvoiceSent event</w:t>
            </w:r>
          </w:p>
          <w:p>
            <w:r>
              <w:rPr>
                <w:color w:val="333333"/>
                <w:sz w:val="18"/>
                <w:szCs w:val="18"/>
                <w:rFonts w:ascii="Consolas" w:cs="Consolas" w:eastAsia="Consolas" w:hAnsi="Consolas"/>
              </w:rPr>
              <w:t xml:space="preserve">    BUS--&gt;&gt;LED: InvoiceSent</w:t>
            </w:r>
          </w:p>
          <w:p>
            <w:r>
              <w:rPr>
                <w:color w:val="333333"/>
                <w:sz w:val="18"/>
                <w:szCs w:val="18"/>
                <w:rFonts w:ascii="Consolas" w:cs="Consolas" w:eastAsia="Consolas" w:hAnsi="Consolas"/>
              </w:rPr>
              <w:t xml:space="preserve">    LED-&gt;&gt;LED: post JournalEntry (Dr AR, Cr Revenue)</w:t>
            </w:r>
          </w:p>
          <w:p>
            <w:r>
              <w:rPr>
                <w:color w:val="333333"/>
                <w:sz w:val="18"/>
                <w:szCs w:val="18"/>
                <w:rFonts w:ascii="Consolas" w:cs="Consolas" w:eastAsia="Consolas" w:hAnsi="Consolas"/>
              </w:rPr>
              <w:t xml:space="preserve">    LED-&gt;&gt;BUS: publish JournalPosted event</w:t>
            </w:r>
          </w:p>
          <w:p>
            <w:r>
              <w:rPr>
                <w:color w:val="333333"/>
                <w:sz w:val="18"/>
                <w:szCs w:val="18"/>
                <w:rFonts w:ascii="Consolas" w:cs="Consolas" w:eastAsia="Consolas" w:hAnsi="Consolas"/>
              </w:rPr>
              <w:t xml:space="preserve">    BUS--&gt;&gt;RPT: JournalPosted</w:t>
            </w:r>
          </w:p>
          <w:p>
            <w:r>
              <w:rPr>
                <w:color w:val="333333"/>
                <w:sz w:val="18"/>
                <w:szCs w:val="18"/>
                <w:rFonts w:ascii="Consolas" w:cs="Consolas" w:eastAsia="Consolas" w:hAnsi="Consolas"/>
              </w:rPr>
              <w:t xml:space="preserve">    RPT-&gt;&gt;RPT: update read model / cached reports</w:t>
            </w:r>
          </w:p>
          <w:p>
            <w:r>
              <w:rPr>
                <w:color w:val="333333"/>
                <w:sz w:val="18"/>
                <w:szCs w:val="18"/>
                <w:rFonts w:ascii="Consolas" w:cs="Consolas" w:eastAsia="Consolas" w:hAnsi="Consolas"/>
              </w:rPr>
              <w:t xml:space="preserve">    AR--&gt;&gt;GW: 200 OK (invoice sent)</w:t>
            </w:r>
          </w:p>
          <w:p>
            <w:r>
              <w:rPr>
                <w:color w:val="333333"/>
                <w:sz w:val="18"/>
                <w:szCs w:val="18"/>
                <w:rFonts w:ascii="Consolas" w:cs="Consolas" w:eastAsia="Consolas" w:hAnsi="Consolas"/>
              </w:rPr>
              <w:t xml:space="preserve">    GW--&gt;&gt;UI: 200 OK</w:t>
            </w:r>
          </w:p>
        </w:tc>
      </w:tr>
    </w:tbl>
    <w:p>
      <w:pPr>
        <w:spacing w:after="200"/>
      </w:pPr>
      <w:r>
        <w:rPr>
          <w:sz w:val="10"/>
          <w:szCs w:val="10"/>
        </w:rPr>
      </w:r>
    </w:p>
    <w:p>
      <w:pPr>
        <w:pStyle w:val="Heading2"/>
        <w:spacing w:before="300" w:after="150"/>
      </w:pPr>
      <w:r>
        <w:rPr>
          <w:b/>
          <w:bCs/>
          <w:color w:val="2E75B6"/>
          <w:sz w:val="26"/>
          <w:szCs w:val="26"/>
        </w:rPr>
        <w:t xml:space="preserve">9.2 Payment Received &amp; Bank Reconciliation</w:t>
      </w:r>
    </w:p>
    <w:p>
      <w:pPr>
        <w:spacing w:before="200" w:after="60"/>
      </w:pPr>
      <w:r>
        <w:rPr>
          <w:b/>
          <w:bCs/>
          <w:i/>
          <w:iCs/>
          <w:color w:val="2E75B6"/>
          <w:sz w:val="20"/>
          <w:szCs w:val="20"/>
        </w:rPr>
        <w:t xml:space="preserve">Diagram: Sequence - payment matched during reconciliation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sequenceDiagram</w:t>
            </w:r>
          </w:p>
          <w:p>
            <w:r>
              <w:rPr>
                <w:color w:val="333333"/>
                <w:sz w:val="18"/>
                <w:szCs w:val="18"/>
                <w:rFonts w:ascii="Consolas" w:cs="Consolas" w:eastAsia="Consolas" w:hAnsi="Consolas"/>
              </w:rPr>
              <w:t xml:space="preserve">    participant Bank as Integration Gateway (Bank Feed)</w:t>
            </w:r>
          </w:p>
          <w:p>
            <w:r>
              <w:rPr>
                <w:color w:val="333333"/>
                <w:sz w:val="18"/>
                <w:szCs w:val="18"/>
                <w:rFonts w:ascii="Consolas" w:cs="Consolas" w:eastAsia="Consolas" w:hAnsi="Consolas"/>
              </w:rPr>
              <w:t xml:space="preserve">    participant BNK as Banking Module</w:t>
            </w:r>
          </w:p>
          <w:p>
            <w:r>
              <w:rPr>
                <w:color w:val="333333"/>
                <w:sz w:val="18"/>
                <w:szCs w:val="18"/>
                <w:rFonts w:ascii="Consolas" w:cs="Consolas" w:eastAsia="Consolas" w:hAnsi="Consolas"/>
              </w:rPr>
              <w:t xml:space="preserve">    participant AR as Receivables Module</w:t>
            </w:r>
          </w:p>
          <w:p>
            <w:r>
              <w:rPr>
                <w:color w:val="333333"/>
                <w:sz w:val="18"/>
                <w:szCs w:val="18"/>
                <w:rFonts w:ascii="Consolas" w:cs="Consolas" w:eastAsia="Consolas" w:hAnsi="Consolas"/>
              </w:rPr>
              <w:t xml:space="preserve">    participant LED as Ledger Module</w:t>
            </w:r>
          </w:p>
          <w:p>
            <w:r>
              <w:rPr>
                <w:color w:val="333333"/>
                <w:sz w:val="18"/>
                <w:szCs w:val="18"/>
                <w:rFonts w:ascii="Consolas" w:cs="Consolas" w:eastAsia="Consolas" w:hAnsi="Consolas"/>
              </w:rPr>
              <w:t xml:space="preserve">    participant BUS as Event Bus</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Bank-&gt;&gt;BNK: new bank transaction (deposit)</w:t>
            </w:r>
          </w:p>
          <w:p>
            <w:r>
              <w:rPr>
                <w:color w:val="333333"/>
                <w:sz w:val="18"/>
                <w:szCs w:val="18"/>
                <w:rFonts w:ascii="Consolas" w:cs="Consolas" w:eastAsia="Consolas" w:hAnsi="Consolas"/>
              </w:rPr>
              <w:t xml:space="preserve">    BNK-&gt;&gt;BNK: apply bank rules / suggest match</w:t>
            </w:r>
          </w:p>
          <w:p>
            <w:r>
              <w:rPr>
                <w:color w:val="333333"/>
                <w:sz w:val="18"/>
                <w:szCs w:val="18"/>
                <w:rFonts w:ascii="Consolas" w:cs="Consolas" w:eastAsia="Consolas" w:hAnsi="Consolas"/>
              </w:rPr>
              <w:t xml:space="preserve">    BNK-&gt;&gt;AR: query open invoices for customer</w:t>
            </w:r>
          </w:p>
          <w:p>
            <w:r>
              <w:rPr>
                <w:color w:val="333333"/>
                <w:sz w:val="18"/>
                <w:szCs w:val="18"/>
                <w:rFonts w:ascii="Consolas" w:cs="Consolas" w:eastAsia="Consolas" w:hAnsi="Consolas"/>
              </w:rPr>
              <w:t xml:space="preserve">    AR--&gt;&gt;BNK: candidate invoice list</w:t>
            </w:r>
          </w:p>
          <w:p>
            <w:r>
              <w:rPr>
                <w:color w:val="333333"/>
                <w:sz w:val="18"/>
                <w:szCs w:val="18"/>
                <w:rFonts w:ascii="Consolas" w:cs="Consolas" w:eastAsia="Consolas" w:hAnsi="Consolas"/>
              </w:rPr>
              <w:t xml:space="preserve">    BNK-&gt;&gt;BNK: user confirms match (or auto-match)</w:t>
            </w:r>
          </w:p>
          <w:p>
            <w:r>
              <w:rPr>
                <w:color w:val="333333"/>
                <w:sz w:val="18"/>
                <w:szCs w:val="18"/>
                <w:rFonts w:ascii="Consolas" w:cs="Consolas" w:eastAsia="Consolas" w:hAnsi="Consolas"/>
              </w:rPr>
              <w:t xml:space="preserve">    BNK-&gt;&gt;AR: recordPayment(invoiceId, amount)</w:t>
            </w:r>
          </w:p>
          <w:p>
            <w:r>
              <w:rPr>
                <w:color w:val="333333"/>
                <w:sz w:val="18"/>
                <w:szCs w:val="18"/>
                <w:rFonts w:ascii="Consolas" w:cs="Consolas" w:eastAsia="Consolas" w:hAnsi="Consolas"/>
              </w:rPr>
              <w:t xml:space="preserve">    AR-&gt;&gt;AR: update invoice status (Paid/PartiallyPaid)</w:t>
            </w:r>
          </w:p>
          <w:p>
            <w:r>
              <w:rPr>
                <w:color w:val="333333"/>
                <w:sz w:val="18"/>
                <w:szCs w:val="18"/>
                <w:rFonts w:ascii="Consolas" w:cs="Consolas" w:eastAsia="Consolas" w:hAnsi="Consolas"/>
              </w:rPr>
              <w:t xml:space="preserve">    AR-&gt;&gt;BUS: publish PaymentRecorded event</w:t>
            </w:r>
          </w:p>
          <w:p>
            <w:r>
              <w:rPr>
                <w:color w:val="333333"/>
                <w:sz w:val="18"/>
                <w:szCs w:val="18"/>
                <w:rFonts w:ascii="Consolas" w:cs="Consolas" w:eastAsia="Consolas" w:hAnsi="Consolas"/>
              </w:rPr>
              <w:t xml:space="preserve">    BUS--&gt;&gt;LED: PaymentRecorded</w:t>
            </w:r>
          </w:p>
          <w:p>
            <w:r>
              <w:rPr>
                <w:color w:val="333333"/>
                <w:sz w:val="18"/>
                <w:szCs w:val="18"/>
                <w:rFonts w:ascii="Consolas" w:cs="Consolas" w:eastAsia="Consolas" w:hAnsi="Consolas"/>
              </w:rPr>
              <w:t xml:space="preserve">    LED-&gt;&gt;LED: post JournalEntry (Dr Bank, Cr AR)</w:t>
            </w:r>
          </w:p>
          <w:p>
            <w:r>
              <w:rPr>
                <w:color w:val="333333"/>
                <w:sz w:val="18"/>
                <w:szCs w:val="18"/>
                <w:rFonts w:ascii="Consolas" w:cs="Consolas" w:eastAsia="Consolas" w:hAnsi="Consolas"/>
              </w:rPr>
              <w:t xml:space="preserve">    BNK-&gt;&gt;BNK: mark bank transaction Reconciled</w:t>
            </w:r>
          </w:p>
        </w:tc>
      </w:tr>
    </w:tbl>
    <w:p>
      <w:pPr>
        <w:spacing w:after="200"/>
      </w:pPr>
      <w:r>
        <w:rPr>
          <w:sz w:val="10"/>
          <w:szCs w:val="10"/>
        </w:rPr>
      </w:r>
    </w:p>
    <w:p>
      <w:pPr>
        <w:pStyle w:val="Heading2"/>
        <w:spacing w:before="300" w:after="150"/>
      </w:pPr>
      <w:r>
        <w:rPr>
          <w:b/>
          <w:bCs/>
          <w:color w:val="2E75B6"/>
          <w:sz w:val="26"/>
          <w:szCs w:val="26"/>
        </w:rPr>
        <w:t xml:space="preserve">9.3 Purchase 3-Way Match (Choreography)</w:t>
      </w:r>
    </w:p>
    <w:p>
      <w:pPr>
        <w:spacing w:before="200" w:after="60"/>
      </w:pPr>
      <w:r>
        <w:rPr>
          <w:b/>
          <w:bCs/>
          <w:i/>
          <w:iCs/>
          <w:color w:val="2E75B6"/>
          <w:sz w:val="20"/>
          <w:szCs w:val="20"/>
        </w:rPr>
        <w:t xml:space="preserve">Diagram: Sequence - event-driven 3-way match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sequenceDiagram</w:t>
            </w:r>
          </w:p>
          <w:p>
            <w:r>
              <w:rPr>
                <w:color w:val="333333"/>
                <w:sz w:val="18"/>
                <w:szCs w:val="18"/>
                <w:rFonts w:ascii="Consolas" w:cs="Consolas" w:eastAsia="Consolas" w:hAnsi="Consolas"/>
              </w:rPr>
              <w:t xml:space="preserve">    participant AP as Payables Module</w:t>
            </w:r>
          </w:p>
          <w:p>
            <w:r>
              <w:rPr>
                <w:color w:val="333333"/>
                <w:sz w:val="18"/>
                <w:szCs w:val="18"/>
                <w:rFonts w:ascii="Consolas" w:cs="Consolas" w:eastAsia="Consolas" w:hAnsi="Consolas"/>
              </w:rPr>
              <w:t xml:space="preserve">    participant INV as Inventory Module</w:t>
            </w:r>
          </w:p>
          <w:p>
            <w:r>
              <w:rPr>
                <w:color w:val="333333"/>
                <w:sz w:val="18"/>
                <w:szCs w:val="18"/>
                <w:rFonts w:ascii="Consolas" w:cs="Consolas" w:eastAsia="Consolas" w:hAnsi="Consolas"/>
              </w:rPr>
              <w:t xml:space="preserve">    participant BUS as Event Bus</w:t>
            </w:r>
          </w:p>
          <w:p>
            <w:r>
              <w:rPr>
                <w:color w:val="333333"/>
                <w:sz w:val="18"/>
                <w:szCs w:val="18"/>
                <w:rFonts w:ascii="Consolas" w:cs="Consolas" w:eastAsia="Consolas" w:hAnsi="Consolas"/>
              </w:rPr>
              <w:t xml:space="preserve">    participant LED as Ledger Module</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    AP-&gt;&gt;BUS: publish PurchaseOrderApproved</w:t>
            </w:r>
          </w:p>
          <w:p>
            <w:r>
              <w:rPr>
                <w:color w:val="333333"/>
                <w:sz w:val="18"/>
                <w:szCs w:val="18"/>
                <w:rFonts w:ascii="Consolas" w:cs="Consolas" w:eastAsia="Consolas" w:hAnsi="Consolas"/>
              </w:rPr>
              <w:t xml:space="preserve">    BUS--&gt;&gt;INV: PurchaseOrderApproved (expect future receipt)</w:t>
            </w:r>
          </w:p>
          <w:p>
            <w:r>
              <w:rPr>
                <w:color w:val="333333"/>
                <w:sz w:val="18"/>
                <w:szCs w:val="18"/>
                <w:rFonts w:ascii="Consolas" w:cs="Consolas" w:eastAsia="Consolas" w:hAnsi="Consolas"/>
              </w:rPr>
              <w:t xml:space="preserve">    INV-&gt;&gt;BUS: publish GoodsReceived (when warehouse confirms)</w:t>
            </w:r>
          </w:p>
          <w:p>
            <w:r>
              <w:rPr>
                <w:color w:val="333333"/>
                <w:sz w:val="18"/>
                <w:szCs w:val="18"/>
                <w:rFonts w:ascii="Consolas" w:cs="Consolas" w:eastAsia="Consolas" w:hAnsi="Consolas"/>
              </w:rPr>
              <w:t xml:space="preserve">    BUS--&gt;&gt;AP: GoodsReceived</w:t>
            </w:r>
          </w:p>
          <w:p>
            <w:r>
              <w:rPr>
                <w:color w:val="333333"/>
                <w:sz w:val="18"/>
                <w:szCs w:val="18"/>
                <w:rFonts w:ascii="Consolas" w:cs="Consolas" w:eastAsia="Consolas" w:hAnsi="Consolas"/>
              </w:rPr>
              <w:t xml:space="preserve">    AP-&gt;&gt;AP: vendor submits Bill (via portal or manual entry)</w:t>
            </w:r>
          </w:p>
          <w:p>
            <w:r>
              <w:rPr>
                <w:color w:val="333333"/>
                <w:sz w:val="18"/>
                <w:szCs w:val="18"/>
                <w:rFonts w:ascii="Consolas" w:cs="Consolas" w:eastAsia="Consolas" w:hAnsi="Consolas"/>
              </w:rPr>
              <w:t xml:space="preserve">    AP-&gt;&gt;AP: run 3-way match (PO vs Receipt vs Bill)</w:t>
            </w:r>
          </w:p>
          <w:p>
            <w:r>
              <w:rPr>
                <w:color w:val="333333"/>
                <w:sz w:val="18"/>
                <w:szCs w:val="18"/>
                <w:rFonts w:ascii="Consolas" w:cs="Consolas" w:eastAsia="Consolas" w:hAnsi="Consolas"/>
              </w:rPr>
              <w:t xml:space="preserve">    alt match succeeds</w:t>
            </w:r>
          </w:p>
          <w:p>
            <w:r>
              <w:rPr>
                <w:color w:val="333333"/>
                <w:sz w:val="18"/>
                <w:szCs w:val="18"/>
                <w:rFonts w:ascii="Consolas" w:cs="Consolas" w:eastAsia="Consolas" w:hAnsi="Consolas"/>
              </w:rPr>
              <w:t xml:space="preserve">        AP-&gt;&gt;AP: auto-approve Bill</w:t>
            </w:r>
          </w:p>
          <w:p>
            <w:r>
              <w:rPr>
                <w:color w:val="333333"/>
                <w:sz w:val="18"/>
                <w:szCs w:val="18"/>
                <w:rFonts w:ascii="Consolas" w:cs="Consolas" w:eastAsia="Consolas" w:hAnsi="Consolas"/>
              </w:rPr>
              <w:t xml:space="preserve">    else mismatch</w:t>
            </w:r>
          </w:p>
          <w:p>
            <w:r>
              <w:rPr>
                <w:color w:val="333333"/>
                <w:sz w:val="18"/>
                <w:szCs w:val="18"/>
                <w:rFonts w:ascii="Consolas" w:cs="Consolas" w:eastAsia="Consolas" w:hAnsi="Consolas"/>
              </w:rPr>
              <w:t xml:space="preserve">        AP-&gt;&gt;AP: flag for AP Clerk review (PER-05)</w:t>
            </w:r>
          </w:p>
          <w:p>
            <w:r>
              <w:rPr>
                <w:color w:val="333333"/>
                <w:sz w:val="18"/>
                <w:szCs w:val="18"/>
                <w:rFonts w:ascii="Consolas" w:cs="Consolas" w:eastAsia="Consolas" w:hAnsi="Consolas"/>
              </w:rPr>
              <w:t xml:space="preserve">    end</w:t>
            </w:r>
          </w:p>
          <w:p>
            <w:r>
              <w:rPr>
                <w:color w:val="333333"/>
                <w:sz w:val="18"/>
                <w:szCs w:val="18"/>
                <w:rFonts w:ascii="Consolas" w:cs="Consolas" w:eastAsia="Consolas" w:hAnsi="Consolas"/>
              </w:rPr>
              <w:t xml:space="preserve">    AP-&gt;&gt;BUS: publish BillApproved</w:t>
            </w:r>
          </w:p>
          <w:p>
            <w:r>
              <w:rPr>
                <w:color w:val="333333"/>
                <w:sz w:val="18"/>
                <w:szCs w:val="18"/>
                <w:rFonts w:ascii="Consolas" w:cs="Consolas" w:eastAsia="Consolas" w:hAnsi="Consolas"/>
              </w:rPr>
              <w:t xml:space="preserve">    BUS--&gt;&gt;LED: BillApproved</w:t>
            </w:r>
          </w:p>
          <w:p>
            <w:r>
              <w:rPr>
                <w:color w:val="333333"/>
                <w:sz w:val="18"/>
                <w:szCs w:val="18"/>
                <w:rFonts w:ascii="Consolas" w:cs="Consolas" w:eastAsia="Consolas" w:hAnsi="Consolas"/>
              </w:rPr>
              <w:t xml:space="preserve">    LED-&gt;&gt;LED: post JournalEntry (Dr Expense/Inventory, Cr AP)</w:t>
            </w:r>
          </w:p>
        </w:tc>
      </w:tr>
    </w:tbl>
    <w:p>
      <w:pPr>
        <w:spacing w:after="200"/>
      </w:pPr>
      <w:r>
        <w:rPr>
          <w:sz w:val="10"/>
          <w:szCs w:val="10"/>
        </w:rPr>
      </w:r>
    </w:p>
    <w:p>
      <w:r>
        <w:br w:type="page"/>
      </w:r>
    </w:p>
    <w:p>
      <w:pPr>
        <w:pStyle w:val="Heading1"/>
        <w:spacing w:before="400" w:after="200"/>
      </w:pPr>
      <w:r>
        <w:rPr>
          <w:b/>
          <w:bCs/>
          <w:color w:val="1F3864"/>
          <w:sz w:val="32"/>
          <w:szCs w:val="32"/>
        </w:rPr>
        <w:t xml:space="preserve">10. Domain Event Catalog</w:t>
      </w:r>
    </w:p>
    <w:p>
      <w:pPr>
        <w:spacing w:after="160" w:line="276"/>
      </w:pPr>
      <w:r>
        <w:rPr>
          <w:b w:val="false"/>
          <w:bCs w:val="false"/>
          <w:i w:val="false"/>
          <w:iCs w:val="false"/>
          <w:color w:val="1A1A1A"/>
          <w:sz w:val="22"/>
          <w:szCs w:val="22"/>
        </w:rPr>
        <w:t xml:space="preserve">The event bus (Section 5, 6) is the primary decoupling mechanism between bounded contexts at the same architectural layer. This table is the initial event contract registry; Volume 3 will define the concrete message schema/versioning strategy and Volume 9 will document the webhook-exposed subset for external integrators (BC-19).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50"/>
        <w:gridCol w:w="23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Event</w:t>
            </w:r>
          </w:p>
        </w:tc>
        <w:tc>
          <w:tcPr>
            <w:tcW w:type="dxa" w:w="2200"/>
            <w:shd w:fill="1F3864" w:val="clear"/>
            <w:tcMar>
              <w:top w:type="dxa" w:w="80"/>
              <w:left w:type="dxa" w:w="100"/>
              <w:bottom w:type="dxa" w:w="80"/>
              <w:right w:type="dxa" w:w="100"/>
            </w:tcMar>
            <w:vAlign w:val="center"/>
          </w:tcPr>
          <w:p>
            <w:r>
              <w:rPr>
                <w:b/>
                <w:bCs/>
                <w:color w:val="FFFFFF"/>
                <w:sz w:val="19"/>
                <w:szCs w:val="19"/>
              </w:rPr>
              <w:t xml:space="preserve">Published By</w:t>
            </w:r>
          </w:p>
        </w:tc>
        <w:tc>
          <w:tcPr>
            <w:tcW w:type="dxa" w:w="2450"/>
            <w:shd w:fill="1F3864" w:val="clear"/>
            <w:tcMar>
              <w:top w:type="dxa" w:w="80"/>
              <w:left w:type="dxa" w:w="100"/>
              <w:bottom w:type="dxa" w:w="80"/>
              <w:right w:type="dxa" w:w="100"/>
            </w:tcMar>
            <w:vAlign w:val="center"/>
          </w:tcPr>
          <w:p>
            <w:r>
              <w:rPr>
                <w:b/>
                <w:bCs/>
                <w:color w:val="FFFFFF"/>
                <w:sz w:val="19"/>
                <w:szCs w:val="19"/>
              </w:rPr>
              <w:t xml:space="preserve">Consumed By</w:t>
            </w:r>
          </w:p>
        </w:tc>
        <w:tc>
          <w:tcPr>
            <w:tcW w:type="dxa" w:w="230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2400"/>
            <w:shd w:fill="FFFFFF" w:val="clear"/>
            <w:tcMar>
              <w:top w:type="dxa" w:w="70"/>
              <w:left w:type="dxa" w:w="100"/>
              <w:bottom w:type="dxa" w:w="70"/>
              <w:right w:type="dxa" w:w="100"/>
            </w:tcMar>
          </w:tcPr>
          <w:p>
            <w:r>
              <w:rPr>
                <w:sz w:val="19"/>
                <w:szCs w:val="19"/>
              </w:rPr>
              <w:t xml:space="preserve">InvoiceSent</w:t>
            </w:r>
          </w:p>
        </w:tc>
        <w:tc>
          <w:tcPr>
            <w:tcW w:type="dxa" w:w="2200"/>
            <w:shd w:fill="FFFFFF" w:val="clear"/>
            <w:tcMar>
              <w:top w:type="dxa" w:w="70"/>
              <w:left w:type="dxa" w:w="100"/>
              <w:bottom w:type="dxa" w:w="70"/>
              <w:right w:type="dxa" w:w="100"/>
            </w:tcMar>
          </w:tcPr>
          <w:p>
            <w:r>
              <w:rPr>
                <w:sz w:val="19"/>
                <w:szCs w:val="19"/>
              </w:rPr>
              <w:t xml:space="preserve">Receivables</w:t>
            </w:r>
          </w:p>
        </w:tc>
        <w:tc>
          <w:tcPr>
            <w:tcW w:type="dxa" w:w="2450"/>
            <w:shd w:fill="FFFFFF" w:val="clear"/>
            <w:tcMar>
              <w:top w:type="dxa" w:w="70"/>
              <w:left w:type="dxa" w:w="100"/>
              <w:bottom w:type="dxa" w:w="70"/>
              <w:right w:type="dxa" w:w="100"/>
            </w:tcMar>
          </w:tcPr>
          <w:p>
            <w:r>
              <w:rPr>
                <w:sz w:val="19"/>
                <w:szCs w:val="19"/>
              </w:rPr>
              <w:t xml:space="preserve">Ledger, Reporting, Collaboration</w:t>
            </w:r>
          </w:p>
        </w:tc>
        <w:tc>
          <w:tcPr>
            <w:tcW w:type="dxa" w:w="2300"/>
            <w:shd w:fill="FFFFFF" w:val="clear"/>
            <w:tcMar>
              <w:top w:type="dxa" w:w="70"/>
              <w:left w:type="dxa" w:w="100"/>
              <w:bottom w:type="dxa" w:w="70"/>
              <w:right w:type="dxa" w:w="100"/>
            </w:tcMar>
          </w:tcPr>
          <w:p>
            <w:r>
              <w:rPr>
                <w:sz w:val="19"/>
                <w:szCs w:val="19"/>
              </w:rPr>
              <w:t xml:space="preserve">Trigger revenue posting and customer notification</w:t>
            </w:r>
          </w:p>
        </w:tc>
      </w:tr>
      <w:tr>
        <w:tc>
          <w:tcPr>
            <w:tcW w:type="dxa" w:w="2400"/>
            <w:shd w:fill="DCE6F1" w:val="clear"/>
            <w:tcMar>
              <w:top w:type="dxa" w:w="70"/>
              <w:left w:type="dxa" w:w="100"/>
              <w:bottom w:type="dxa" w:w="70"/>
              <w:right w:type="dxa" w:w="100"/>
            </w:tcMar>
          </w:tcPr>
          <w:p>
            <w:r>
              <w:rPr>
                <w:sz w:val="19"/>
                <w:szCs w:val="19"/>
              </w:rPr>
              <w:t xml:space="preserve">PaymentRecorded</w:t>
            </w:r>
          </w:p>
        </w:tc>
        <w:tc>
          <w:tcPr>
            <w:tcW w:type="dxa" w:w="2200"/>
            <w:shd w:fill="DCE6F1" w:val="clear"/>
            <w:tcMar>
              <w:top w:type="dxa" w:w="70"/>
              <w:left w:type="dxa" w:w="100"/>
              <w:bottom w:type="dxa" w:w="70"/>
              <w:right w:type="dxa" w:w="100"/>
            </w:tcMar>
          </w:tcPr>
          <w:p>
            <w:r>
              <w:rPr>
                <w:sz w:val="19"/>
                <w:szCs w:val="19"/>
              </w:rPr>
              <w:t xml:space="preserve">Receivables, Payables</w:t>
            </w:r>
          </w:p>
        </w:tc>
        <w:tc>
          <w:tcPr>
            <w:tcW w:type="dxa" w:w="2450"/>
            <w:shd w:fill="DCE6F1" w:val="clear"/>
            <w:tcMar>
              <w:top w:type="dxa" w:w="70"/>
              <w:left w:type="dxa" w:w="100"/>
              <w:bottom w:type="dxa" w:w="70"/>
              <w:right w:type="dxa" w:w="100"/>
            </w:tcMar>
          </w:tcPr>
          <w:p>
            <w:r>
              <w:rPr>
                <w:sz w:val="19"/>
                <w:szCs w:val="19"/>
              </w:rPr>
              <w:t xml:space="preserve">Ledger, Banking, Reporting</w:t>
            </w:r>
          </w:p>
        </w:tc>
        <w:tc>
          <w:tcPr>
            <w:tcW w:type="dxa" w:w="2300"/>
            <w:shd w:fill="DCE6F1" w:val="clear"/>
            <w:tcMar>
              <w:top w:type="dxa" w:w="70"/>
              <w:left w:type="dxa" w:w="100"/>
              <w:bottom w:type="dxa" w:w="70"/>
              <w:right w:type="dxa" w:w="100"/>
            </w:tcMar>
          </w:tcPr>
          <w:p>
            <w:r>
              <w:rPr>
                <w:sz w:val="19"/>
                <w:szCs w:val="19"/>
              </w:rPr>
              <w:t xml:space="preserve">Trigger cash posting and reconciliation matching</w:t>
            </w:r>
          </w:p>
        </w:tc>
      </w:tr>
      <w:tr>
        <w:tc>
          <w:tcPr>
            <w:tcW w:type="dxa" w:w="2400"/>
            <w:shd w:fill="FFFFFF" w:val="clear"/>
            <w:tcMar>
              <w:top w:type="dxa" w:w="70"/>
              <w:left w:type="dxa" w:w="100"/>
              <w:bottom w:type="dxa" w:w="70"/>
              <w:right w:type="dxa" w:w="100"/>
            </w:tcMar>
          </w:tcPr>
          <w:p>
            <w:r>
              <w:rPr>
                <w:sz w:val="19"/>
                <w:szCs w:val="19"/>
              </w:rPr>
              <w:t xml:space="preserve">JournalPosted</w:t>
            </w:r>
          </w:p>
        </w:tc>
        <w:tc>
          <w:tcPr>
            <w:tcW w:type="dxa" w:w="2200"/>
            <w:shd w:fill="FFFFFF" w:val="clear"/>
            <w:tcMar>
              <w:top w:type="dxa" w:w="70"/>
              <w:left w:type="dxa" w:w="100"/>
              <w:bottom w:type="dxa" w:w="70"/>
              <w:right w:type="dxa" w:w="100"/>
            </w:tcMar>
          </w:tcPr>
          <w:p>
            <w:r>
              <w:rPr>
                <w:sz w:val="19"/>
                <w:szCs w:val="19"/>
              </w:rPr>
              <w:t xml:space="preserve">Ledger</w:t>
            </w:r>
          </w:p>
        </w:tc>
        <w:tc>
          <w:tcPr>
            <w:tcW w:type="dxa" w:w="2450"/>
            <w:shd w:fill="FFFFFF" w:val="clear"/>
            <w:tcMar>
              <w:top w:type="dxa" w:w="70"/>
              <w:left w:type="dxa" w:w="100"/>
              <w:bottom w:type="dxa" w:w="70"/>
              <w:right w:type="dxa" w:w="100"/>
            </w:tcMar>
          </w:tcPr>
          <w:p>
            <w:r>
              <w:rPr>
                <w:sz w:val="19"/>
                <w:szCs w:val="19"/>
              </w:rPr>
              <w:t xml:space="preserve">Reporting, AI Assistant, Automation</w:t>
            </w:r>
          </w:p>
        </w:tc>
        <w:tc>
          <w:tcPr>
            <w:tcW w:type="dxa" w:w="2300"/>
            <w:shd w:fill="FFFFFF" w:val="clear"/>
            <w:tcMar>
              <w:top w:type="dxa" w:w="70"/>
              <w:left w:type="dxa" w:w="100"/>
              <w:bottom w:type="dxa" w:w="70"/>
              <w:right w:type="dxa" w:w="100"/>
            </w:tcMar>
          </w:tcPr>
          <w:p>
            <w:r>
              <w:rPr>
                <w:sz w:val="19"/>
                <w:szCs w:val="19"/>
              </w:rPr>
              <w:t xml:space="preserve">Update read models, trigger anomaly detection</w:t>
            </w:r>
          </w:p>
        </w:tc>
      </w:tr>
      <w:tr>
        <w:tc>
          <w:tcPr>
            <w:tcW w:type="dxa" w:w="2400"/>
            <w:shd w:fill="DCE6F1" w:val="clear"/>
            <w:tcMar>
              <w:top w:type="dxa" w:w="70"/>
              <w:left w:type="dxa" w:w="100"/>
              <w:bottom w:type="dxa" w:w="70"/>
              <w:right w:type="dxa" w:w="100"/>
            </w:tcMar>
          </w:tcPr>
          <w:p>
            <w:r>
              <w:rPr>
                <w:sz w:val="19"/>
                <w:szCs w:val="19"/>
              </w:rPr>
              <w:t xml:space="preserve">BillApproved</w:t>
            </w:r>
          </w:p>
        </w:tc>
        <w:tc>
          <w:tcPr>
            <w:tcW w:type="dxa" w:w="2200"/>
            <w:shd w:fill="DCE6F1" w:val="clear"/>
            <w:tcMar>
              <w:top w:type="dxa" w:w="70"/>
              <w:left w:type="dxa" w:w="100"/>
              <w:bottom w:type="dxa" w:w="70"/>
              <w:right w:type="dxa" w:w="100"/>
            </w:tcMar>
          </w:tcPr>
          <w:p>
            <w:r>
              <w:rPr>
                <w:sz w:val="19"/>
                <w:szCs w:val="19"/>
              </w:rPr>
              <w:t xml:space="preserve">Payables</w:t>
            </w:r>
          </w:p>
        </w:tc>
        <w:tc>
          <w:tcPr>
            <w:tcW w:type="dxa" w:w="2450"/>
            <w:shd w:fill="DCE6F1" w:val="clear"/>
            <w:tcMar>
              <w:top w:type="dxa" w:w="70"/>
              <w:left w:type="dxa" w:w="100"/>
              <w:bottom w:type="dxa" w:w="70"/>
              <w:right w:type="dxa" w:w="100"/>
            </w:tcMar>
          </w:tcPr>
          <w:p>
            <w:r>
              <w:rPr>
                <w:sz w:val="19"/>
                <w:szCs w:val="19"/>
              </w:rPr>
              <w:t xml:space="preserve">Ledger, Reporting</w:t>
            </w:r>
          </w:p>
        </w:tc>
        <w:tc>
          <w:tcPr>
            <w:tcW w:type="dxa" w:w="2300"/>
            <w:shd w:fill="DCE6F1" w:val="clear"/>
            <w:tcMar>
              <w:top w:type="dxa" w:w="70"/>
              <w:left w:type="dxa" w:w="100"/>
              <w:bottom w:type="dxa" w:w="70"/>
              <w:right w:type="dxa" w:w="100"/>
            </w:tcMar>
          </w:tcPr>
          <w:p>
            <w:r>
              <w:rPr>
                <w:sz w:val="19"/>
                <w:szCs w:val="19"/>
              </w:rPr>
              <w:t xml:space="preserve">Trigger AP posting</w:t>
            </w:r>
          </w:p>
        </w:tc>
      </w:tr>
      <w:tr>
        <w:tc>
          <w:tcPr>
            <w:tcW w:type="dxa" w:w="2400"/>
            <w:shd w:fill="FFFFFF" w:val="clear"/>
            <w:tcMar>
              <w:top w:type="dxa" w:w="70"/>
              <w:left w:type="dxa" w:w="100"/>
              <w:bottom w:type="dxa" w:w="70"/>
              <w:right w:type="dxa" w:w="100"/>
            </w:tcMar>
          </w:tcPr>
          <w:p>
            <w:r>
              <w:rPr>
                <w:sz w:val="19"/>
                <w:szCs w:val="19"/>
              </w:rPr>
              <w:t xml:space="preserve">PurchaseOrderApproved</w:t>
            </w:r>
          </w:p>
        </w:tc>
        <w:tc>
          <w:tcPr>
            <w:tcW w:type="dxa" w:w="2200"/>
            <w:shd w:fill="FFFFFF" w:val="clear"/>
            <w:tcMar>
              <w:top w:type="dxa" w:w="70"/>
              <w:left w:type="dxa" w:w="100"/>
              <w:bottom w:type="dxa" w:w="70"/>
              <w:right w:type="dxa" w:w="100"/>
            </w:tcMar>
          </w:tcPr>
          <w:p>
            <w:r>
              <w:rPr>
                <w:sz w:val="19"/>
                <w:szCs w:val="19"/>
              </w:rPr>
              <w:t xml:space="preserve">Payables</w:t>
            </w:r>
          </w:p>
        </w:tc>
        <w:tc>
          <w:tcPr>
            <w:tcW w:type="dxa" w:w="2450"/>
            <w:shd w:fill="FFFFFF" w:val="clear"/>
            <w:tcMar>
              <w:top w:type="dxa" w:w="70"/>
              <w:left w:type="dxa" w:w="100"/>
              <w:bottom w:type="dxa" w:w="70"/>
              <w:right w:type="dxa" w:w="100"/>
            </w:tcMar>
          </w:tcPr>
          <w:p>
            <w:r>
              <w:rPr>
                <w:sz w:val="19"/>
                <w:szCs w:val="19"/>
              </w:rPr>
              <w:t xml:space="preserve">Inventory, Collaboration (vendor portal)</w:t>
            </w:r>
          </w:p>
        </w:tc>
        <w:tc>
          <w:tcPr>
            <w:tcW w:type="dxa" w:w="2300"/>
            <w:shd w:fill="FFFFFF" w:val="clear"/>
            <w:tcMar>
              <w:top w:type="dxa" w:w="70"/>
              <w:left w:type="dxa" w:w="100"/>
              <w:bottom w:type="dxa" w:w="70"/>
              <w:right w:type="dxa" w:w="100"/>
            </w:tcMar>
          </w:tcPr>
          <w:p>
            <w:r>
              <w:rPr>
                <w:sz w:val="19"/>
                <w:szCs w:val="19"/>
              </w:rPr>
              <w:t xml:space="preserve">Notify vendor, prep for goods receipt</w:t>
            </w:r>
          </w:p>
        </w:tc>
      </w:tr>
      <w:tr>
        <w:tc>
          <w:tcPr>
            <w:tcW w:type="dxa" w:w="2400"/>
            <w:shd w:fill="DCE6F1" w:val="clear"/>
            <w:tcMar>
              <w:top w:type="dxa" w:w="70"/>
              <w:left w:type="dxa" w:w="100"/>
              <w:bottom w:type="dxa" w:w="70"/>
              <w:right w:type="dxa" w:w="100"/>
            </w:tcMar>
          </w:tcPr>
          <w:p>
            <w:r>
              <w:rPr>
                <w:sz w:val="19"/>
                <w:szCs w:val="19"/>
              </w:rPr>
              <w:t xml:space="preserve">GoodsReceived</w:t>
            </w:r>
          </w:p>
        </w:tc>
        <w:tc>
          <w:tcPr>
            <w:tcW w:type="dxa" w:w="2200"/>
            <w:shd w:fill="DCE6F1" w:val="clear"/>
            <w:tcMar>
              <w:top w:type="dxa" w:w="70"/>
              <w:left w:type="dxa" w:w="100"/>
              <w:bottom w:type="dxa" w:w="70"/>
              <w:right w:type="dxa" w:w="100"/>
            </w:tcMar>
          </w:tcPr>
          <w:p>
            <w:r>
              <w:rPr>
                <w:sz w:val="19"/>
                <w:szCs w:val="19"/>
              </w:rPr>
              <w:t xml:space="preserve">Inventory</w:t>
            </w:r>
          </w:p>
        </w:tc>
        <w:tc>
          <w:tcPr>
            <w:tcW w:type="dxa" w:w="2450"/>
            <w:shd w:fill="DCE6F1" w:val="clear"/>
            <w:tcMar>
              <w:top w:type="dxa" w:w="70"/>
              <w:left w:type="dxa" w:w="100"/>
              <w:bottom w:type="dxa" w:w="70"/>
              <w:right w:type="dxa" w:w="100"/>
            </w:tcMar>
          </w:tcPr>
          <w:p>
            <w:r>
              <w:rPr>
                <w:sz w:val="19"/>
                <w:szCs w:val="19"/>
              </w:rPr>
              <w:t xml:space="preserve">Payables, Reporting</w:t>
            </w:r>
          </w:p>
        </w:tc>
        <w:tc>
          <w:tcPr>
            <w:tcW w:type="dxa" w:w="2300"/>
            <w:shd w:fill="DCE6F1" w:val="clear"/>
            <w:tcMar>
              <w:top w:type="dxa" w:w="70"/>
              <w:left w:type="dxa" w:w="100"/>
              <w:bottom w:type="dxa" w:w="70"/>
              <w:right w:type="dxa" w:w="100"/>
            </w:tcMar>
          </w:tcPr>
          <w:p>
            <w:r>
              <w:rPr>
                <w:sz w:val="19"/>
                <w:szCs w:val="19"/>
              </w:rPr>
              <w:t xml:space="preserve">Enable 3-way match, update stock valuation</w:t>
            </w:r>
          </w:p>
        </w:tc>
      </w:tr>
      <w:tr>
        <w:tc>
          <w:tcPr>
            <w:tcW w:type="dxa" w:w="2400"/>
            <w:shd w:fill="FFFFFF" w:val="clear"/>
            <w:tcMar>
              <w:top w:type="dxa" w:w="70"/>
              <w:left w:type="dxa" w:w="100"/>
              <w:bottom w:type="dxa" w:w="70"/>
              <w:right w:type="dxa" w:w="100"/>
            </w:tcMar>
          </w:tcPr>
          <w:p>
            <w:r>
              <w:rPr>
                <w:sz w:val="19"/>
                <w:szCs w:val="19"/>
              </w:rPr>
              <w:t xml:space="preserve">StockAdjusted</w:t>
            </w:r>
          </w:p>
        </w:tc>
        <w:tc>
          <w:tcPr>
            <w:tcW w:type="dxa" w:w="2200"/>
            <w:shd w:fill="FFFFFF" w:val="clear"/>
            <w:tcMar>
              <w:top w:type="dxa" w:w="70"/>
              <w:left w:type="dxa" w:w="100"/>
              <w:bottom w:type="dxa" w:w="70"/>
              <w:right w:type="dxa" w:w="100"/>
            </w:tcMar>
          </w:tcPr>
          <w:p>
            <w:r>
              <w:rPr>
                <w:sz w:val="19"/>
                <w:szCs w:val="19"/>
              </w:rPr>
              <w:t xml:space="preserve">Inventory</w:t>
            </w:r>
          </w:p>
        </w:tc>
        <w:tc>
          <w:tcPr>
            <w:tcW w:type="dxa" w:w="2450"/>
            <w:shd w:fill="FFFFFF" w:val="clear"/>
            <w:tcMar>
              <w:top w:type="dxa" w:w="70"/>
              <w:left w:type="dxa" w:w="100"/>
              <w:bottom w:type="dxa" w:w="70"/>
              <w:right w:type="dxa" w:w="100"/>
            </w:tcMar>
          </w:tcPr>
          <w:p>
            <w:r>
              <w:rPr>
                <w:sz w:val="19"/>
                <w:szCs w:val="19"/>
              </w:rPr>
              <w:t xml:space="preserve">Reporting, Ledger (if valuation impact)</w:t>
            </w:r>
          </w:p>
        </w:tc>
        <w:tc>
          <w:tcPr>
            <w:tcW w:type="dxa" w:w="2300"/>
            <w:shd w:fill="FFFFFF" w:val="clear"/>
            <w:tcMar>
              <w:top w:type="dxa" w:w="70"/>
              <w:left w:type="dxa" w:w="100"/>
              <w:bottom w:type="dxa" w:w="70"/>
              <w:right w:type="dxa" w:w="100"/>
            </w:tcMar>
          </w:tcPr>
          <w:p>
            <w:r>
              <w:rPr>
                <w:sz w:val="19"/>
                <w:szCs w:val="19"/>
              </w:rPr>
              <w:t xml:space="preserve">Keep inventory valuation and COGS accurate</w:t>
            </w:r>
          </w:p>
        </w:tc>
      </w:tr>
      <w:tr>
        <w:tc>
          <w:tcPr>
            <w:tcW w:type="dxa" w:w="2400"/>
            <w:shd w:fill="DCE6F1" w:val="clear"/>
            <w:tcMar>
              <w:top w:type="dxa" w:w="70"/>
              <w:left w:type="dxa" w:w="100"/>
              <w:bottom w:type="dxa" w:w="70"/>
              <w:right w:type="dxa" w:w="100"/>
            </w:tcMar>
          </w:tcPr>
          <w:p>
            <w:r>
              <w:rPr>
                <w:sz w:val="19"/>
                <w:szCs w:val="19"/>
              </w:rPr>
              <w:t xml:space="preserve">BankTransactionImported</w:t>
            </w:r>
          </w:p>
        </w:tc>
        <w:tc>
          <w:tcPr>
            <w:tcW w:type="dxa" w:w="2200"/>
            <w:shd w:fill="DCE6F1" w:val="clear"/>
            <w:tcMar>
              <w:top w:type="dxa" w:w="70"/>
              <w:left w:type="dxa" w:w="100"/>
              <w:bottom w:type="dxa" w:w="70"/>
              <w:right w:type="dxa" w:w="100"/>
            </w:tcMar>
          </w:tcPr>
          <w:p>
            <w:r>
              <w:rPr>
                <w:sz w:val="19"/>
                <w:szCs w:val="19"/>
              </w:rPr>
              <w:t xml:space="preserve">Integration Gateway</w:t>
            </w:r>
          </w:p>
        </w:tc>
        <w:tc>
          <w:tcPr>
            <w:tcW w:type="dxa" w:w="2450"/>
            <w:shd w:fill="DCE6F1" w:val="clear"/>
            <w:tcMar>
              <w:top w:type="dxa" w:w="70"/>
              <w:left w:type="dxa" w:w="100"/>
              <w:bottom w:type="dxa" w:w="70"/>
              <w:right w:type="dxa" w:w="100"/>
            </w:tcMar>
          </w:tcPr>
          <w:p>
            <w:r>
              <w:rPr>
                <w:sz w:val="19"/>
                <w:szCs w:val="19"/>
              </w:rPr>
              <w:t xml:space="preserve">Banking</w:t>
            </w:r>
          </w:p>
        </w:tc>
        <w:tc>
          <w:tcPr>
            <w:tcW w:type="dxa" w:w="2300"/>
            <w:shd w:fill="DCE6F1" w:val="clear"/>
            <w:tcMar>
              <w:top w:type="dxa" w:w="70"/>
              <w:left w:type="dxa" w:w="100"/>
              <w:bottom w:type="dxa" w:w="70"/>
              <w:right w:type="dxa" w:w="100"/>
            </w:tcMar>
          </w:tcPr>
          <w:p>
            <w:r>
              <w:rPr>
                <w:sz w:val="19"/>
                <w:szCs w:val="19"/>
              </w:rPr>
              <w:t xml:space="preserve">Feed raw transactions for reconciliation</w:t>
            </w:r>
          </w:p>
        </w:tc>
      </w:tr>
      <w:tr>
        <w:tc>
          <w:tcPr>
            <w:tcW w:type="dxa" w:w="2400"/>
            <w:shd w:fill="FFFFFF" w:val="clear"/>
            <w:tcMar>
              <w:top w:type="dxa" w:w="70"/>
              <w:left w:type="dxa" w:w="100"/>
              <w:bottom w:type="dxa" w:w="70"/>
              <w:right w:type="dxa" w:w="100"/>
            </w:tcMar>
          </w:tcPr>
          <w:p>
            <w:r>
              <w:rPr>
                <w:sz w:val="19"/>
                <w:szCs w:val="19"/>
              </w:rPr>
              <w:t xml:space="preserve">TenantProvisioned</w:t>
            </w:r>
          </w:p>
        </w:tc>
        <w:tc>
          <w:tcPr>
            <w:tcW w:type="dxa" w:w="2200"/>
            <w:shd w:fill="FFFFFF" w:val="clear"/>
            <w:tcMar>
              <w:top w:type="dxa" w:w="70"/>
              <w:left w:type="dxa" w:w="100"/>
              <w:bottom w:type="dxa" w:w="70"/>
              <w:right w:type="dxa" w:w="100"/>
            </w:tcMar>
          </w:tcPr>
          <w:p>
            <w:r>
              <w:rPr>
                <w:sz w:val="19"/>
                <w:szCs w:val="19"/>
              </w:rPr>
              <w:t xml:space="preserve">Identity &amp; Tenant</w:t>
            </w:r>
          </w:p>
        </w:tc>
        <w:tc>
          <w:tcPr>
            <w:tcW w:type="dxa" w:w="2450"/>
            <w:shd w:fill="FFFFFF" w:val="clear"/>
            <w:tcMar>
              <w:top w:type="dxa" w:w="70"/>
              <w:left w:type="dxa" w:w="100"/>
              <w:bottom w:type="dxa" w:w="70"/>
              <w:right w:type="dxa" w:w="100"/>
            </w:tcMar>
          </w:tcPr>
          <w:p>
            <w:r>
              <w:rPr>
                <w:sz w:val="19"/>
                <w:szCs w:val="19"/>
              </w:rPr>
              <w:t xml:space="preserve">All modules</w:t>
            </w:r>
          </w:p>
        </w:tc>
        <w:tc>
          <w:tcPr>
            <w:tcW w:type="dxa" w:w="2300"/>
            <w:shd w:fill="FFFFFF" w:val="clear"/>
            <w:tcMar>
              <w:top w:type="dxa" w:w="70"/>
              <w:left w:type="dxa" w:w="100"/>
              <w:bottom w:type="dxa" w:w="70"/>
              <w:right w:type="dxa" w:w="100"/>
            </w:tcMar>
          </w:tcPr>
          <w:p>
            <w:r>
              <w:rPr>
                <w:sz w:val="19"/>
                <w:szCs w:val="19"/>
              </w:rPr>
              <w:t xml:space="preserve">Initialize per-tenant defaults (COA template, roles)</w:t>
            </w:r>
          </w:p>
        </w:tc>
      </w:tr>
      <w:tr>
        <w:tc>
          <w:tcPr>
            <w:tcW w:type="dxa" w:w="2400"/>
            <w:shd w:fill="DCE6F1" w:val="clear"/>
            <w:tcMar>
              <w:top w:type="dxa" w:w="70"/>
              <w:left w:type="dxa" w:w="100"/>
              <w:bottom w:type="dxa" w:w="70"/>
              <w:right w:type="dxa" w:w="100"/>
            </w:tcMar>
          </w:tcPr>
          <w:p>
            <w:r>
              <w:rPr>
                <w:sz w:val="19"/>
                <w:szCs w:val="19"/>
              </w:rPr>
              <w:t xml:space="preserve">RecurringInvoiceDue</w:t>
            </w:r>
          </w:p>
        </w:tc>
        <w:tc>
          <w:tcPr>
            <w:tcW w:type="dxa" w:w="2200"/>
            <w:shd w:fill="DCE6F1" w:val="clear"/>
            <w:tcMar>
              <w:top w:type="dxa" w:w="70"/>
              <w:left w:type="dxa" w:w="100"/>
              <w:bottom w:type="dxa" w:w="70"/>
              <w:right w:type="dxa" w:w="100"/>
            </w:tcMar>
          </w:tcPr>
          <w:p>
            <w:r>
              <w:rPr>
                <w:sz w:val="19"/>
                <w:szCs w:val="19"/>
              </w:rPr>
              <w:t xml:space="preserve">Automation</w:t>
            </w:r>
          </w:p>
        </w:tc>
        <w:tc>
          <w:tcPr>
            <w:tcW w:type="dxa" w:w="2450"/>
            <w:shd w:fill="DCE6F1" w:val="clear"/>
            <w:tcMar>
              <w:top w:type="dxa" w:w="70"/>
              <w:left w:type="dxa" w:w="100"/>
              <w:bottom w:type="dxa" w:w="70"/>
              <w:right w:type="dxa" w:w="100"/>
            </w:tcMar>
          </w:tcPr>
          <w:p>
            <w:r>
              <w:rPr>
                <w:sz w:val="19"/>
                <w:szCs w:val="19"/>
              </w:rPr>
              <w:t xml:space="preserve">Receivables</w:t>
            </w:r>
          </w:p>
        </w:tc>
        <w:tc>
          <w:tcPr>
            <w:tcW w:type="dxa" w:w="2300"/>
            <w:shd w:fill="DCE6F1" w:val="clear"/>
            <w:tcMar>
              <w:top w:type="dxa" w:w="70"/>
              <w:left w:type="dxa" w:w="100"/>
              <w:bottom w:type="dxa" w:w="70"/>
              <w:right w:type="dxa" w:w="100"/>
            </w:tcMar>
          </w:tcPr>
          <w:p>
            <w:r>
              <w:rPr>
                <w:sz w:val="19"/>
                <w:szCs w:val="19"/>
              </w:rPr>
              <w:t xml:space="preserve">Trigger scheduled invoice generation</w:t>
            </w:r>
          </w:p>
        </w:tc>
      </w:tr>
      <w:tr>
        <w:tc>
          <w:tcPr>
            <w:tcW w:type="dxa" w:w="2400"/>
            <w:shd w:fill="FFFFFF" w:val="clear"/>
            <w:tcMar>
              <w:top w:type="dxa" w:w="70"/>
              <w:left w:type="dxa" w:w="100"/>
              <w:bottom w:type="dxa" w:w="70"/>
              <w:right w:type="dxa" w:w="100"/>
            </w:tcMar>
          </w:tcPr>
          <w:p>
            <w:r>
              <w:rPr>
                <w:sz w:val="19"/>
                <w:szCs w:val="19"/>
              </w:rPr>
              <w:t xml:space="preserve">ApprovalRequested / ApprovalDecided</w:t>
            </w:r>
          </w:p>
        </w:tc>
        <w:tc>
          <w:tcPr>
            <w:tcW w:type="dxa" w:w="2200"/>
            <w:shd w:fill="FFFFFF" w:val="clear"/>
            <w:tcMar>
              <w:top w:type="dxa" w:w="70"/>
              <w:left w:type="dxa" w:w="100"/>
              <w:bottom w:type="dxa" w:w="70"/>
              <w:right w:type="dxa" w:w="100"/>
            </w:tcMar>
          </w:tcPr>
          <w:p>
            <w:r>
              <w:rPr>
                <w:sz w:val="19"/>
                <w:szCs w:val="19"/>
              </w:rPr>
              <w:t xml:space="preserve">Receivables, Payables</w:t>
            </w:r>
          </w:p>
        </w:tc>
        <w:tc>
          <w:tcPr>
            <w:tcW w:type="dxa" w:w="2450"/>
            <w:shd w:fill="FFFFFF" w:val="clear"/>
            <w:tcMar>
              <w:top w:type="dxa" w:w="70"/>
              <w:left w:type="dxa" w:w="100"/>
              <w:bottom w:type="dxa" w:w="70"/>
              <w:right w:type="dxa" w:w="100"/>
            </w:tcMar>
          </w:tcPr>
          <w:p>
            <w:r>
              <w:rPr>
                <w:sz w:val="19"/>
                <w:szCs w:val="19"/>
              </w:rPr>
              <w:t xml:space="preserve">Collaboration, Automation</w:t>
            </w:r>
          </w:p>
        </w:tc>
        <w:tc>
          <w:tcPr>
            <w:tcW w:type="dxa" w:w="2300"/>
            <w:shd w:fill="FFFFFF" w:val="clear"/>
            <w:tcMar>
              <w:top w:type="dxa" w:w="70"/>
              <w:left w:type="dxa" w:w="100"/>
              <w:bottom w:type="dxa" w:w="70"/>
              <w:right w:type="dxa" w:w="100"/>
            </w:tcMar>
          </w:tcPr>
          <w:p>
            <w:r>
              <w:rPr>
                <w:sz w:val="19"/>
                <w:szCs w:val="19"/>
              </w:rPr>
              <w:t xml:space="preserve">Drive approval-workflow notifications</w:t>
            </w:r>
          </w:p>
        </w:tc>
      </w:tr>
      <w:tr>
        <w:tc>
          <w:tcPr>
            <w:tcW w:type="dxa" w:w="2400"/>
            <w:shd w:fill="DCE6F1" w:val="clear"/>
            <w:tcMar>
              <w:top w:type="dxa" w:w="70"/>
              <w:left w:type="dxa" w:w="100"/>
              <w:bottom w:type="dxa" w:w="70"/>
              <w:right w:type="dxa" w:w="100"/>
            </w:tcMar>
          </w:tcPr>
          <w:p>
            <w:r>
              <w:rPr>
                <w:sz w:val="19"/>
                <w:szCs w:val="19"/>
              </w:rPr>
              <w:t xml:space="preserve">AnomalyDetected</w:t>
            </w:r>
          </w:p>
        </w:tc>
        <w:tc>
          <w:tcPr>
            <w:tcW w:type="dxa" w:w="2200"/>
            <w:shd w:fill="DCE6F1" w:val="clear"/>
            <w:tcMar>
              <w:top w:type="dxa" w:w="70"/>
              <w:left w:type="dxa" w:w="100"/>
              <w:bottom w:type="dxa" w:w="70"/>
              <w:right w:type="dxa" w:w="100"/>
            </w:tcMar>
          </w:tcPr>
          <w:p>
            <w:r>
              <w:rPr>
                <w:sz w:val="19"/>
                <w:szCs w:val="19"/>
              </w:rPr>
              <w:t xml:space="preserve">AI Assistant</w:t>
            </w:r>
          </w:p>
        </w:tc>
        <w:tc>
          <w:tcPr>
            <w:tcW w:type="dxa" w:w="2450"/>
            <w:shd w:fill="DCE6F1" w:val="clear"/>
            <w:tcMar>
              <w:top w:type="dxa" w:w="70"/>
              <w:left w:type="dxa" w:w="100"/>
              <w:bottom w:type="dxa" w:w="70"/>
              <w:right w:type="dxa" w:w="100"/>
            </w:tcMar>
          </w:tcPr>
          <w:p>
            <w:r>
              <w:rPr>
                <w:sz w:val="19"/>
                <w:szCs w:val="19"/>
              </w:rPr>
              <w:t xml:space="preserve">Reporting, Collaboration</w:t>
            </w:r>
          </w:p>
        </w:tc>
        <w:tc>
          <w:tcPr>
            <w:tcW w:type="dxa" w:w="2300"/>
            <w:shd w:fill="DCE6F1" w:val="clear"/>
            <w:tcMar>
              <w:top w:type="dxa" w:w="70"/>
              <w:left w:type="dxa" w:w="100"/>
              <w:bottom w:type="dxa" w:w="70"/>
              <w:right w:type="dxa" w:w="100"/>
            </w:tcMar>
          </w:tcPr>
          <w:p>
            <w:r>
              <w:rPr>
                <w:sz w:val="19"/>
                <w:szCs w:val="19"/>
              </w:rPr>
              <w:t xml:space="preserve">Surface insight/alert to Business Owner</w:t>
            </w:r>
          </w:p>
        </w:tc>
      </w:tr>
    </w:tbl>
    <w:p>
      <w:r>
        <w:br w:type="page"/>
      </w:r>
    </w:p>
    <w:p>
      <w:pPr>
        <w:pStyle w:val="Heading1"/>
        <w:spacing w:before="400" w:after="200"/>
      </w:pPr>
      <w:r>
        <w:rPr>
          <w:b/>
          <w:bCs/>
          <w:color w:val="1F3864"/>
          <w:sz w:val="32"/>
          <w:szCs w:val="32"/>
        </w:rPr>
        <w:t xml:space="preserve">11. API Surface Overview (Context-Level)</w:t>
      </w:r>
    </w:p>
    <w:p>
      <w:pPr>
        <w:spacing w:after="160" w:line="276"/>
      </w:pPr>
      <w:r>
        <w:rPr>
          <w:b w:val="false"/>
          <w:bCs w:val="false"/>
          <w:i w:val="false"/>
          <w:iCs w:val="false"/>
          <w:color w:val="1A1A1A"/>
          <w:sz w:val="22"/>
          <w:szCs w:val="22"/>
        </w:rPr>
        <w:t xml:space="preserve">Volume 9 will define full endpoint contracts; this section fixes which context owns which resource so Volume 9 does not have to re-derive ownership.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5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Bounded Context</w:t>
            </w:r>
          </w:p>
        </w:tc>
        <w:tc>
          <w:tcPr>
            <w:tcW w:type="dxa" w:w="4500"/>
            <w:shd w:fill="1F3864" w:val="clear"/>
            <w:tcMar>
              <w:top w:type="dxa" w:w="80"/>
              <w:left w:type="dxa" w:w="100"/>
              <w:bottom w:type="dxa" w:w="80"/>
              <w:right w:type="dxa" w:w="100"/>
            </w:tcMar>
            <w:vAlign w:val="center"/>
          </w:tcPr>
          <w:p>
            <w:r>
              <w:rPr>
                <w:b/>
                <w:bCs/>
                <w:color w:val="FFFFFF"/>
                <w:sz w:val="19"/>
                <w:szCs w:val="19"/>
              </w:rPr>
              <w:t xml:space="preserve">Owns API Resources (examples)</w:t>
            </w:r>
          </w:p>
        </w:tc>
        <w:tc>
          <w:tcPr>
            <w:tcW w:type="dxa" w:w="2450"/>
            <w:shd w:fill="1F3864" w:val="clear"/>
            <w:tcMar>
              <w:top w:type="dxa" w:w="80"/>
              <w:left w:type="dxa" w:w="100"/>
              <w:bottom w:type="dxa" w:w="80"/>
              <w:right w:type="dxa" w:w="100"/>
            </w:tcMar>
            <w:vAlign w:val="center"/>
          </w:tcPr>
          <w:p>
            <w:r>
              <w:rPr>
                <w:b/>
                <w:bCs/>
                <w:color w:val="FFFFFF"/>
                <w:sz w:val="19"/>
                <w:szCs w:val="19"/>
              </w:rPr>
              <w:t xml:space="preserve">Consumes From</w:t>
            </w:r>
          </w:p>
        </w:tc>
      </w:tr>
      <w:tr>
        <w:tc>
          <w:tcPr>
            <w:tcW w:type="dxa" w:w="2400"/>
            <w:shd w:fill="FFFFFF" w:val="clear"/>
            <w:tcMar>
              <w:top w:type="dxa" w:w="70"/>
              <w:left w:type="dxa" w:w="100"/>
              <w:bottom w:type="dxa" w:w="70"/>
              <w:right w:type="dxa" w:w="100"/>
            </w:tcMar>
          </w:tcPr>
          <w:p>
            <w:r>
              <w:rPr>
                <w:sz w:val="19"/>
                <w:szCs w:val="19"/>
              </w:rPr>
              <w:t xml:space="preserve">Identity &amp; Tenant</w:t>
            </w:r>
          </w:p>
        </w:tc>
        <w:tc>
          <w:tcPr>
            <w:tcW w:type="dxa" w:w="4500"/>
            <w:shd w:fill="FFFFFF" w:val="clear"/>
            <w:tcMar>
              <w:top w:type="dxa" w:w="70"/>
              <w:left w:type="dxa" w:w="100"/>
              <w:bottom w:type="dxa" w:w="70"/>
              <w:right w:type="dxa" w:w="100"/>
            </w:tcMar>
          </w:tcPr>
          <w:p>
            <w:r>
              <w:rPr>
                <w:sz w:val="19"/>
                <w:szCs w:val="19"/>
              </w:rPr>
              <w:t xml:space="preserve">/orgs, /users, /roles, /auth</w:t>
            </w:r>
          </w:p>
        </w:tc>
        <w:tc>
          <w:tcPr>
            <w:tcW w:type="dxa" w:w="2450"/>
            <w:shd w:fill="FFFFFF" w:val="clear"/>
            <w:tcMar>
              <w:top w:type="dxa" w:w="70"/>
              <w:left w:type="dxa" w:w="100"/>
              <w:bottom w:type="dxa" w:w="70"/>
              <w:right w:type="dxa" w:w="100"/>
            </w:tcMar>
          </w:tcPr>
          <w:p>
            <w:r>
              <w:rPr>
                <w:sz w:val="19"/>
                <w:szCs w:val="19"/>
              </w:rPr>
              <w:t xml:space="preserve">-</w:t>
            </w:r>
          </w:p>
        </w:tc>
      </w:tr>
      <w:tr>
        <w:tc>
          <w:tcPr>
            <w:tcW w:type="dxa" w:w="2400"/>
            <w:shd w:fill="DCE6F1" w:val="clear"/>
            <w:tcMar>
              <w:top w:type="dxa" w:w="70"/>
              <w:left w:type="dxa" w:w="100"/>
              <w:bottom w:type="dxa" w:w="70"/>
              <w:right w:type="dxa" w:w="100"/>
            </w:tcMar>
          </w:tcPr>
          <w:p>
            <w:r>
              <w:rPr>
                <w:sz w:val="19"/>
                <w:szCs w:val="19"/>
              </w:rPr>
              <w:t xml:space="preserve">Ledger</w:t>
            </w:r>
          </w:p>
        </w:tc>
        <w:tc>
          <w:tcPr>
            <w:tcW w:type="dxa" w:w="4500"/>
            <w:shd w:fill="DCE6F1" w:val="clear"/>
            <w:tcMar>
              <w:top w:type="dxa" w:w="70"/>
              <w:left w:type="dxa" w:w="100"/>
              <w:bottom w:type="dxa" w:w="70"/>
              <w:right w:type="dxa" w:w="100"/>
            </w:tcMar>
          </w:tcPr>
          <w:p>
            <w:r>
              <w:rPr>
                <w:sz w:val="19"/>
                <w:szCs w:val="19"/>
              </w:rPr>
              <w:t xml:space="preserve">/accounts, /journal-entries, /fiscal-periods</w:t>
            </w:r>
          </w:p>
        </w:tc>
        <w:tc>
          <w:tcPr>
            <w:tcW w:type="dxa" w:w="2450"/>
            <w:shd w:fill="DCE6F1" w:val="clear"/>
            <w:tcMar>
              <w:top w:type="dxa" w:w="70"/>
              <w:left w:type="dxa" w:w="100"/>
              <w:bottom w:type="dxa" w:w="70"/>
              <w:right w:type="dxa" w:w="100"/>
            </w:tcMar>
          </w:tcPr>
          <w:p>
            <w:r>
              <w:rPr>
                <w:sz w:val="19"/>
                <w:szCs w:val="19"/>
              </w:rPr>
              <w:t xml:space="preserve">Identity</w:t>
            </w:r>
          </w:p>
        </w:tc>
      </w:tr>
      <w:tr>
        <w:tc>
          <w:tcPr>
            <w:tcW w:type="dxa" w:w="2400"/>
            <w:shd w:fill="FFFFFF" w:val="clear"/>
            <w:tcMar>
              <w:top w:type="dxa" w:w="70"/>
              <w:left w:type="dxa" w:w="100"/>
              <w:bottom w:type="dxa" w:w="70"/>
              <w:right w:type="dxa" w:w="100"/>
            </w:tcMar>
          </w:tcPr>
          <w:p>
            <w:r>
              <w:rPr>
                <w:sz w:val="19"/>
                <w:szCs w:val="19"/>
              </w:rPr>
              <w:t xml:space="preserve">Receivables</w:t>
            </w:r>
          </w:p>
        </w:tc>
        <w:tc>
          <w:tcPr>
            <w:tcW w:type="dxa" w:w="4500"/>
            <w:shd w:fill="FFFFFF" w:val="clear"/>
            <w:tcMar>
              <w:top w:type="dxa" w:w="70"/>
              <w:left w:type="dxa" w:w="100"/>
              <w:bottom w:type="dxa" w:w="70"/>
              <w:right w:type="dxa" w:w="100"/>
            </w:tcMar>
          </w:tcPr>
          <w:p>
            <w:r>
              <w:rPr>
                <w:sz w:val="19"/>
                <w:szCs w:val="19"/>
              </w:rPr>
              <w:t xml:space="preserve">/quotes, /sales-orders, /invoices, /credit-notes</w:t>
            </w:r>
          </w:p>
        </w:tc>
        <w:tc>
          <w:tcPr>
            <w:tcW w:type="dxa" w:w="2450"/>
            <w:shd w:fill="FFFFFF" w:val="clear"/>
            <w:tcMar>
              <w:top w:type="dxa" w:w="70"/>
              <w:left w:type="dxa" w:w="100"/>
              <w:bottom w:type="dxa" w:w="70"/>
              <w:right w:type="dxa" w:w="100"/>
            </w:tcMar>
          </w:tcPr>
          <w:p>
            <w:r>
              <w:rPr>
                <w:sz w:val="19"/>
                <w:szCs w:val="19"/>
              </w:rPr>
              <w:t xml:space="preserve">Identity, Ledger, Inventory, Tax</w:t>
            </w:r>
          </w:p>
        </w:tc>
      </w:tr>
      <w:tr>
        <w:tc>
          <w:tcPr>
            <w:tcW w:type="dxa" w:w="2400"/>
            <w:shd w:fill="DCE6F1" w:val="clear"/>
            <w:tcMar>
              <w:top w:type="dxa" w:w="70"/>
              <w:left w:type="dxa" w:w="100"/>
              <w:bottom w:type="dxa" w:w="70"/>
              <w:right w:type="dxa" w:w="100"/>
            </w:tcMar>
          </w:tcPr>
          <w:p>
            <w:r>
              <w:rPr>
                <w:sz w:val="19"/>
                <w:szCs w:val="19"/>
              </w:rPr>
              <w:t xml:space="preserve">Payables</w:t>
            </w:r>
          </w:p>
        </w:tc>
        <w:tc>
          <w:tcPr>
            <w:tcW w:type="dxa" w:w="4500"/>
            <w:shd w:fill="DCE6F1" w:val="clear"/>
            <w:tcMar>
              <w:top w:type="dxa" w:w="70"/>
              <w:left w:type="dxa" w:w="100"/>
              <w:bottom w:type="dxa" w:w="70"/>
              <w:right w:type="dxa" w:w="100"/>
            </w:tcMar>
          </w:tcPr>
          <w:p>
            <w:r>
              <w:rPr>
                <w:sz w:val="19"/>
                <w:szCs w:val="19"/>
              </w:rPr>
              <w:t xml:space="preserve">/purchase-orders, /bills, /vendor-credits, /expenses</w:t>
            </w:r>
          </w:p>
        </w:tc>
        <w:tc>
          <w:tcPr>
            <w:tcW w:type="dxa" w:w="2450"/>
            <w:shd w:fill="DCE6F1" w:val="clear"/>
            <w:tcMar>
              <w:top w:type="dxa" w:w="70"/>
              <w:left w:type="dxa" w:w="100"/>
              <w:bottom w:type="dxa" w:w="70"/>
              <w:right w:type="dxa" w:w="100"/>
            </w:tcMar>
          </w:tcPr>
          <w:p>
            <w:r>
              <w:rPr>
                <w:sz w:val="19"/>
                <w:szCs w:val="19"/>
              </w:rPr>
              <w:t xml:space="preserve">Identity, Ledger, Inventory, Tax</w:t>
            </w:r>
          </w:p>
        </w:tc>
      </w:tr>
      <w:tr>
        <w:tc>
          <w:tcPr>
            <w:tcW w:type="dxa" w:w="2400"/>
            <w:shd w:fill="FFFFFF" w:val="clear"/>
            <w:tcMar>
              <w:top w:type="dxa" w:w="70"/>
              <w:left w:type="dxa" w:w="100"/>
              <w:bottom w:type="dxa" w:w="70"/>
              <w:right w:type="dxa" w:w="100"/>
            </w:tcMar>
          </w:tcPr>
          <w:p>
            <w:r>
              <w:rPr>
                <w:sz w:val="19"/>
                <w:szCs w:val="19"/>
              </w:rPr>
              <w:t xml:space="preserve">Banking</w:t>
            </w:r>
          </w:p>
        </w:tc>
        <w:tc>
          <w:tcPr>
            <w:tcW w:type="dxa" w:w="4500"/>
            <w:shd w:fill="FFFFFF" w:val="clear"/>
            <w:tcMar>
              <w:top w:type="dxa" w:w="70"/>
              <w:left w:type="dxa" w:w="100"/>
              <w:bottom w:type="dxa" w:w="70"/>
              <w:right w:type="dxa" w:w="100"/>
            </w:tcMar>
          </w:tcPr>
          <w:p>
            <w:r>
              <w:rPr>
                <w:sz w:val="19"/>
                <w:szCs w:val="19"/>
              </w:rPr>
              <w:t xml:space="preserve">/bank-accounts, /bank-transactions, /reconciliations</w:t>
            </w:r>
          </w:p>
        </w:tc>
        <w:tc>
          <w:tcPr>
            <w:tcW w:type="dxa" w:w="2450"/>
            <w:shd w:fill="FFFFFF" w:val="clear"/>
            <w:tcMar>
              <w:top w:type="dxa" w:w="70"/>
              <w:left w:type="dxa" w:w="100"/>
              <w:bottom w:type="dxa" w:w="70"/>
              <w:right w:type="dxa" w:w="100"/>
            </w:tcMar>
          </w:tcPr>
          <w:p>
            <w:r>
              <w:rPr>
                <w:sz w:val="19"/>
                <w:szCs w:val="19"/>
              </w:rPr>
              <w:t xml:space="preserve">Identity, Ledger</w:t>
            </w:r>
          </w:p>
        </w:tc>
      </w:tr>
      <w:tr>
        <w:tc>
          <w:tcPr>
            <w:tcW w:type="dxa" w:w="2400"/>
            <w:shd w:fill="DCE6F1" w:val="clear"/>
            <w:tcMar>
              <w:top w:type="dxa" w:w="70"/>
              <w:left w:type="dxa" w:w="100"/>
              <w:bottom w:type="dxa" w:w="70"/>
              <w:right w:type="dxa" w:w="100"/>
            </w:tcMar>
          </w:tcPr>
          <w:p>
            <w:r>
              <w:rPr>
                <w:sz w:val="19"/>
                <w:szCs w:val="19"/>
              </w:rPr>
              <w:t xml:space="preserve">Payments</w:t>
            </w:r>
          </w:p>
        </w:tc>
        <w:tc>
          <w:tcPr>
            <w:tcW w:type="dxa" w:w="4500"/>
            <w:shd w:fill="DCE6F1" w:val="clear"/>
            <w:tcMar>
              <w:top w:type="dxa" w:w="70"/>
              <w:left w:type="dxa" w:w="100"/>
              <w:bottom w:type="dxa" w:w="70"/>
              <w:right w:type="dxa" w:w="100"/>
            </w:tcMar>
          </w:tcPr>
          <w:p>
            <w:r>
              <w:rPr>
                <w:sz w:val="19"/>
                <w:szCs w:val="19"/>
              </w:rPr>
              <w:t xml:space="preserve">/payment-links, /payment-methods, /charges</w:t>
            </w:r>
          </w:p>
        </w:tc>
        <w:tc>
          <w:tcPr>
            <w:tcW w:type="dxa" w:w="2450"/>
            <w:shd w:fill="DCE6F1" w:val="clear"/>
            <w:tcMar>
              <w:top w:type="dxa" w:w="70"/>
              <w:left w:type="dxa" w:w="100"/>
              <w:bottom w:type="dxa" w:w="70"/>
              <w:right w:type="dxa" w:w="100"/>
            </w:tcMar>
          </w:tcPr>
          <w:p>
            <w:r>
              <w:rPr>
                <w:sz w:val="19"/>
                <w:szCs w:val="19"/>
              </w:rPr>
              <w:t xml:space="preserve">Receivables, Integration Gateway</w:t>
            </w:r>
          </w:p>
        </w:tc>
      </w:tr>
      <w:tr>
        <w:tc>
          <w:tcPr>
            <w:tcW w:type="dxa" w:w="2400"/>
            <w:shd w:fill="FFFFFF" w:val="clear"/>
            <w:tcMar>
              <w:top w:type="dxa" w:w="70"/>
              <w:left w:type="dxa" w:w="100"/>
              <w:bottom w:type="dxa" w:w="70"/>
              <w:right w:type="dxa" w:w="100"/>
            </w:tcMar>
          </w:tcPr>
          <w:p>
            <w:r>
              <w:rPr>
                <w:sz w:val="19"/>
                <w:szCs w:val="19"/>
              </w:rPr>
              <w:t xml:space="preserve">Inventory</w:t>
            </w:r>
          </w:p>
        </w:tc>
        <w:tc>
          <w:tcPr>
            <w:tcW w:type="dxa" w:w="4500"/>
            <w:shd w:fill="FFFFFF" w:val="clear"/>
            <w:tcMar>
              <w:top w:type="dxa" w:w="70"/>
              <w:left w:type="dxa" w:w="100"/>
              <w:bottom w:type="dxa" w:w="70"/>
              <w:right w:type="dxa" w:w="100"/>
            </w:tcMar>
          </w:tcPr>
          <w:p>
            <w:r>
              <w:rPr>
                <w:sz w:val="19"/>
                <w:szCs w:val="19"/>
              </w:rPr>
              <w:t xml:space="preserve">/items, /price-lists, /stock-adjustments, /warehouses</w:t>
            </w:r>
          </w:p>
        </w:tc>
        <w:tc>
          <w:tcPr>
            <w:tcW w:type="dxa" w:w="2450"/>
            <w:shd w:fill="FFFFFF" w:val="clear"/>
            <w:tcMar>
              <w:top w:type="dxa" w:w="70"/>
              <w:left w:type="dxa" w:w="100"/>
              <w:bottom w:type="dxa" w:w="70"/>
              <w:right w:type="dxa" w:w="100"/>
            </w:tcMar>
          </w:tcPr>
          <w:p>
            <w:r>
              <w:rPr>
                <w:sz w:val="19"/>
                <w:szCs w:val="19"/>
              </w:rPr>
              <w:t xml:space="preserve">Identity</w:t>
            </w:r>
          </w:p>
        </w:tc>
      </w:tr>
      <w:tr>
        <w:tc>
          <w:tcPr>
            <w:tcW w:type="dxa" w:w="2400"/>
            <w:shd w:fill="DCE6F1" w:val="clear"/>
            <w:tcMar>
              <w:top w:type="dxa" w:w="70"/>
              <w:left w:type="dxa" w:w="100"/>
              <w:bottom w:type="dxa" w:w="70"/>
              <w:right w:type="dxa" w:w="100"/>
            </w:tcMar>
          </w:tcPr>
          <w:p>
            <w:r>
              <w:rPr>
                <w:sz w:val="19"/>
                <w:szCs w:val="19"/>
              </w:rPr>
              <w:t xml:space="preserve">Projects</w:t>
            </w:r>
          </w:p>
        </w:tc>
        <w:tc>
          <w:tcPr>
            <w:tcW w:type="dxa" w:w="4500"/>
            <w:shd w:fill="DCE6F1" w:val="clear"/>
            <w:tcMar>
              <w:top w:type="dxa" w:w="70"/>
              <w:left w:type="dxa" w:w="100"/>
              <w:bottom w:type="dxa" w:w="70"/>
              <w:right w:type="dxa" w:w="100"/>
            </w:tcMar>
          </w:tcPr>
          <w:p>
            <w:r>
              <w:rPr>
                <w:sz w:val="19"/>
                <w:szCs w:val="19"/>
              </w:rPr>
              <w:t xml:space="preserve">/projects, /timesheets, /project-budgets</w:t>
            </w:r>
          </w:p>
        </w:tc>
        <w:tc>
          <w:tcPr>
            <w:tcW w:type="dxa" w:w="2450"/>
            <w:shd w:fill="DCE6F1" w:val="clear"/>
            <w:tcMar>
              <w:top w:type="dxa" w:w="70"/>
              <w:left w:type="dxa" w:w="100"/>
              <w:bottom w:type="dxa" w:w="70"/>
              <w:right w:type="dxa" w:w="100"/>
            </w:tcMar>
          </w:tcPr>
          <w:p>
            <w:r>
              <w:rPr>
                <w:sz w:val="19"/>
                <w:szCs w:val="19"/>
              </w:rPr>
              <w:t xml:space="preserve">Receivables</w:t>
            </w:r>
          </w:p>
        </w:tc>
      </w:tr>
      <w:tr>
        <w:tc>
          <w:tcPr>
            <w:tcW w:type="dxa" w:w="2400"/>
            <w:shd w:fill="FFFFFF" w:val="clear"/>
            <w:tcMar>
              <w:top w:type="dxa" w:w="70"/>
              <w:left w:type="dxa" w:w="100"/>
              <w:bottom w:type="dxa" w:w="70"/>
              <w:right w:type="dxa" w:w="100"/>
            </w:tcMar>
          </w:tcPr>
          <w:p>
            <w:r>
              <w:rPr>
                <w:sz w:val="19"/>
                <w:szCs w:val="19"/>
              </w:rPr>
              <w:t xml:space="preserve">Tax &amp; Compliance</w:t>
            </w:r>
          </w:p>
        </w:tc>
        <w:tc>
          <w:tcPr>
            <w:tcW w:type="dxa" w:w="4500"/>
            <w:shd w:fill="FFFFFF" w:val="clear"/>
            <w:tcMar>
              <w:top w:type="dxa" w:w="70"/>
              <w:left w:type="dxa" w:w="100"/>
              <w:bottom w:type="dxa" w:w="70"/>
              <w:right w:type="dxa" w:w="100"/>
            </w:tcMar>
          </w:tcPr>
          <w:p>
            <w:r>
              <w:rPr>
                <w:sz w:val="19"/>
                <w:szCs w:val="19"/>
              </w:rPr>
              <w:t xml:space="preserve">/tax-rates, /tax-exemptions, /1099-forms</w:t>
            </w:r>
          </w:p>
        </w:tc>
        <w:tc>
          <w:tcPr>
            <w:tcW w:type="dxa" w:w="2450"/>
            <w:shd w:fill="FFFFFF" w:val="clear"/>
            <w:tcMar>
              <w:top w:type="dxa" w:w="70"/>
              <w:left w:type="dxa" w:w="100"/>
              <w:bottom w:type="dxa" w:w="70"/>
              <w:right w:type="dxa" w:w="100"/>
            </w:tcMar>
          </w:tcPr>
          <w:p>
            <w:r>
              <w:rPr>
                <w:sz w:val="19"/>
                <w:szCs w:val="19"/>
              </w:rPr>
              <w:t xml:space="preserve">Identity</w:t>
            </w:r>
          </w:p>
        </w:tc>
      </w:tr>
      <w:tr>
        <w:tc>
          <w:tcPr>
            <w:tcW w:type="dxa" w:w="2400"/>
            <w:shd w:fill="DCE6F1" w:val="clear"/>
            <w:tcMar>
              <w:top w:type="dxa" w:w="70"/>
              <w:left w:type="dxa" w:w="100"/>
              <w:bottom w:type="dxa" w:w="70"/>
              <w:right w:type="dxa" w:w="100"/>
            </w:tcMar>
          </w:tcPr>
          <w:p>
            <w:r>
              <w:rPr>
                <w:sz w:val="19"/>
                <w:szCs w:val="19"/>
              </w:rPr>
              <w:t xml:space="preserve">Reporting &amp; Analytics</w:t>
            </w:r>
          </w:p>
        </w:tc>
        <w:tc>
          <w:tcPr>
            <w:tcW w:type="dxa" w:w="4500"/>
            <w:shd w:fill="DCE6F1" w:val="clear"/>
            <w:tcMar>
              <w:top w:type="dxa" w:w="70"/>
              <w:left w:type="dxa" w:w="100"/>
              <w:bottom w:type="dxa" w:w="70"/>
              <w:right w:type="dxa" w:w="100"/>
            </w:tcMar>
          </w:tcPr>
          <w:p>
            <w:r>
              <w:rPr>
                <w:sz w:val="19"/>
                <w:szCs w:val="19"/>
              </w:rPr>
              <w:t xml:space="preserve">/reports, /dashboards, /custom-reports</w:t>
            </w:r>
          </w:p>
        </w:tc>
        <w:tc>
          <w:tcPr>
            <w:tcW w:type="dxa" w:w="2450"/>
            <w:shd w:fill="DCE6F1" w:val="clear"/>
            <w:tcMar>
              <w:top w:type="dxa" w:w="70"/>
              <w:left w:type="dxa" w:w="100"/>
              <w:bottom w:type="dxa" w:w="70"/>
              <w:right w:type="dxa" w:w="100"/>
            </w:tcMar>
          </w:tcPr>
          <w:p>
            <w:r>
              <w:rPr>
                <w:sz w:val="19"/>
                <w:szCs w:val="19"/>
              </w:rPr>
              <w:t xml:space="preserve">Ledger, Receivables, Payables, Inventory (read-only)</w:t>
            </w:r>
          </w:p>
        </w:tc>
      </w:tr>
      <w:tr>
        <w:tc>
          <w:tcPr>
            <w:tcW w:type="dxa" w:w="2400"/>
            <w:shd w:fill="FFFFFF" w:val="clear"/>
            <w:tcMar>
              <w:top w:type="dxa" w:w="70"/>
              <w:left w:type="dxa" w:w="100"/>
              <w:bottom w:type="dxa" w:w="70"/>
              <w:right w:type="dxa" w:w="100"/>
            </w:tcMar>
          </w:tcPr>
          <w:p>
            <w:r>
              <w:rPr>
                <w:sz w:val="19"/>
                <w:szCs w:val="19"/>
              </w:rPr>
              <w:t xml:space="preserve">Documents</w:t>
            </w:r>
          </w:p>
        </w:tc>
        <w:tc>
          <w:tcPr>
            <w:tcW w:type="dxa" w:w="4500"/>
            <w:shd w:fill="FFFFFF" w:val="clear"/>
            <w:tcMar>
              <w:top w:type="dxa" w:w="70"/>
              <w:left w:type="dxa" w:w="100"/>
              <w:bottom w:type="dxa" w:w="70"/>
              <w:right w:type="dxa" w:w="100"/>
            </w:tcMar>
          </w:tcPr>
          <w:p>
            <w:r>
              <w:rPr>
                <w:sz w:val="19"/>
                <w:szCs w:val="19"/>
              </w:rPr>
              <w:t xml:space="preserve">/documents, /attachments</w:t>
            </w:r>
          </w:p>
        </w:tc>
        <w:tc>
          <w:tcPr>
            <w:tcW w:type="dxa" w:w="2450"/>
            <w:shd w:fill="FFFFFF" w:val="clear"/>
            <w:tcMar>
              <w:top w:type="dxa" w:w="70"/>
              <w:left w:type="dxa" w:w="100"/>
              <w:bottom w:type="dxa" w:w="70"/>
              <w:right w:type="dxa" w:w="100"/>
            </w:tcMar>
          </w:tcPr>
          <w:p>
            <w:r>
              <w:rPr>
                <w:sz w:val="19"/>
                <w:szCs w:val="19"/>
              </w:rPr>
              <w:t xml:space="preserve">Identity</w:t>
            </w:r>
          </w:p>
        </w:tc>
      </w:tr>
      <w:tr>
        <w:tc>
          <w:tcPr>
            <w:tcW w:type="dxa" w:w="2400"/>
            <w:shd w:fill="DCE6F1" w:val="clear"/>
            <w:tcMar>
              <w:top w:type="dxa" w:w="70"/>
              <w:left w:type="dxa" w:w="100"/>
              <w:bottom w:type="dxa" w:w="70"/>
              <w:right w:type="dxa" w:w="100"/>
            </w:tcMar>
          </w:tcPr>
          <w:p>
            <w:r>
              <w:rPr>
                <w:sz w:val="19"/>
                <w:szCs w:val="19"/>
              </w:rPr>
              <w:t xml:space="preserve">Collaboration &amp; Portals</w:t>
            </w:r>
          </w:p>
        </w:tc>
        <w:tc>
          <w:tcPr>
            <w:tcW w:type="dxa" w:w="4500"/>
            <w:shd w:fill="DCE6F1" w:val="clear"/>
            <w:tcMar>
              <w:top w:type="dxa" w:w="70"/>
              <w:left w:type="dxa" w:w="100"/>
              <w:bottom w:type="dxa" w:w="70"/>
              <w:right w:type="dxa" w:w="100"/>
            </w:tcMar>
          </w:tcPr>
          <w:p>
            <w:r>
              <w:rPr>
                <w:sz w:val="19"/>
                <w:szCs w:val="19"/>
              </w:rPr>
              <w:t xml:space="preserve">/comments, /portal-sessions, /vendor-portal, /customer-portal</w:t>
            </w:r>
          </w:p>
        </w:tc>
        <w:tc>
          <w:tcPr>
            <w:tcW w:type="dxa" w:w="2450"/>
            <w:shd w:fill="DCE6F1" w:val="clear"/>
            <w:tcMar>
              <w:top w:type="dxa" w:w="70"/>
              <w:left w:type="dxa" w:w="100"/>
              <w:bottom w:type="dxa" w:w="70"/>
              <w:right w:type="dxa" w:w="100"/>
            </w:tcMar>
          </w:tcPr>
          <w:p>
            <w:r>
              <w:rPr>
                <w:sz w:val="19"/>
                <w:szCs w:val="19"/>
              </w:rPr>
              <w:t xml:space="preserve">Receivables, Payables</w:t>
            </w:r>
          </w:p>
        </w:tc>
      </w:tr>
      <w:tr>
        <w:tc>
          <w:tcPr>
            <w:tcW w:type="dxa" w:w="2400"/>
            <w:shd w:fill="FFFFFF" w:val="clear"/>
            <w:tcMar>
              <w:top w:type="dxa" w:w="70"/>
              <w:left w:type="dxa" w:w="100"/>
              <w:bottom w:type="dxa" w:w="70"/>
              <w:right w:type="dxa" w:w="100"/>
            </w:tcMar>
          </w:tcPr>
          <w:p>
            <w:r>
              <w:rPr>
                <w:sz w:val="19"/>
                <w:szCs w:val="19"/>
              </w:rPr>
              <w:t xml:space="preserve">Automation &amp; Customization</w:t>
            </w:r>
          </w:p>
        </w:tc>
        <w:tc>
          <w:tcPr>
            <w:tcW w:type="dxa" w:w="4500"/>
            <w:shd w:fill="FFFFFF" w:val="clear"/>
            <w:tcMar>
              <w:top w:type="dxa" w:w="70"/>
              <w:left w:type="dxa" w:w="100"/>
              <w:bottom w:type="dxa" w:w="70"/>
              <w:right w:type="dxa" w:w="100"/>
            </w:tcMar>
          </w:tcPr>
          <w:p>
            <w:r>
              <w:rPr>
                <w:sz w:val="19"/>
                <w:szCs w:val="19"/>
              </w:rPr>
              <w:t xml:space="preserve">/workflows, /custom-fields, /custom-templates</w:t>
            </w:r>
          </w:p>
        </w:tc>
        <w:tc>
          <w:tcPr>
            <w:tcW w:type="dxa" w:w="2450"/>
            <w:shd w:fill="FFFFFF" w:val="clear"/>
            <w:tcMar>
              <w:top w:type="dxa" w:w="70"/>
              <w:left w:type="dxa" w:w="100"/>
              <w:bottom w:type="dxa" w:w="70"/>
              <w:right w:type="dxa" w:w="100"/>
            </w:tcMar>
          </w:tcPr>
          <w:p>
            <w:r>
              <w:rPr>
                <w:sz w:val="19"/>
                <w:szCs w:val="19"/>
              </w:rPr>
              <w:t xml:space="preserve">Receivables, Payables</w:t>
            </w:r>
          </w:p>
        </w:tc>
      </w:tr>
      <w:tr>
        <w:tc>
          <w:tcPr>
            <w:tcW w:type="dxa" w:w="2400"/>
            <w:shd w:fill="DCE6F1" w:val="clear"/>
            <w:tcMar>
              <w:top w:type="dxa" w:w="70"/>
              <w:left w:type="dxa" w:w="100"/>
              <w:bottom w:type="dxa" w:w="70"/>
              <w:right w:type="dxa" w:w="100"/>
            </w:tcMar>
          </w:tcPr>
          <w:p>
            <w:r>
              <w:rPr>
                <w:sz w:val="19"/>
                <w:szCs w:val="19"/>
              </w:rPr>
              <w:t xml:space="preserve">AI Assistant</w:t>
            </w:r>
          </w:p>
        </w:tc>
        <w:tc>
          <w:tcPr>
            <w:tcW w:type="dxa" w:w="4500"/>
            <w:shd w:fill="DCE6F1" w:val="clear"/>
            <w:tcMar>
              <w:top w:type="dxa" w:w="70"/>
              <w:left w:type="dxa" w:w="100"/>
              <w:bottom w:type="dxa" w:w="70"/>
              <w:right w:type="dxa" w:w="100"/>
            </w:tcMar>
          </w:tcPr>
          <w:p>
            <w:r>
              <w:rPr>
                <w:sz w:val="19"/>
                <w:szCs w:val="19"/>
              </w:rPr>
              <w:t xml:space="preserve">/assistant/query, /insights</w:t>
            </w:r>
          </w:p>
        </w:tc>
        <w:tc>
          <w:tcPr>
            <w:tcW w:type="dxa" w:w="2450"/>
            <w:shd w:fill="DCE6F1" w:val="clear"/>
            <w:tcMar>
              <w:top w:type="dxa" w:w="70"/>
              <w:left w:type="dxa" w:w="100"/>
              <w:bottom w:type="dxa" w:w="70"/>
              <w:right w:type="dxa" w:w="100"/>
            </w:tcMar>
          </w:tcPr>
          <w:p>
            <w:r>
              <w:rPr>
                <w:sz w:val="19"/>
                <w:szCs w:val="19"/>
              </w:rPr>
              <w:t xml:space="preserve">Reporting</w:t>
            </w:r>
          </w:p>
        </w:tc>
      </w:tr>
      <w:tr>
        <w:tc>
          <w:tcPr>
            <w:tcW w:type="dxa" w:w="2400"/>
            <w:shd w:fill="FFFFFF" w:val="clear"/>
            <w:tcMar>
              <w:top w:type="dxa" w:w="70"/>
              <w:left w:type="dxa" w:w="100"/>
              <w:bottom w:type="dxa" w:w="70"/>
              <w:right w:type="dxa" w:w="100"/>
            </w:tcMar>
          </w:tcPr>
          <w:p>
            <w:r>
              <w:rPr>
                <w:sz w:val="19"/>
                <w:szCs w:val="19"/>
              </w:rPr>
              <w:t xml:space="preserve">Integration Gateway</w:t>
            </w:r>
          </w:p>
        </w:tc>
        <w:tc>
          <w:tcPr>
            <w:tcW w:type="dxa" w:w="4500"/>
            <w:shd w:fill="FFFFFF" w:val="clear"/>
            <w:tcMar>
              <w:top w:type="dxa" w:w="70"/>
              <w:left w:type="dxa" w:w="100"/>
              <w:bottom w:type="dxa" w:w="70"/>
              <w:right w:type="dxa" w:w="100"/>
            </w:tcMar>
          </w:tcPr>
          <w:p>
            <w:r>
              <w:rPr>
                <w:sz w:val="19"/>
                <w:szCs w:val="19"/>
              </w:rPr>
              <w:t xml:space="preserve">/integrations, /webhooks, /bank-feed-connections</w:t>
            </w:r>
          </w:p>
        </w:tc>
        <w:tc>
          <w:tcPr>
            <w:tcW w:type="dxa" w:w="2450"/>
            <w:shd w:fill="FFFFFF" w:val="clear"/>
            <w:tcMar>
              <w:top w:type="dxa" w:w="70"/>
              <w:left w:type="dxa" w:w="100"/>
              <w:bottom w:type="dxa" w:w="70"/>
              <w:right w:type="dxa" w:w="100"/>
            </w:tcMar>
          </w:tcPr>
          <w:p>
            <w:r>
              <w:rPr>
                <w:sz w:val="19"/>
                <w:szCs w:val="19"/>
              </w:rPr>
              <w:t xml:space="preserve">Banking, Payments, Inventory</w:t>
            </w:r>
          </w:p>
        </w:tc>
      </w:tr>
    </w:tbl>
    <w:p>
      <w:r>
        <w:br w:type="page"/>
      </w:r>
    </w:p>
    <w:p>
      <w:pPr>
        <w:pStyle w:val="Heading1"/>
        <w:spacing w:before="400" w:after="200"/>
      </w:pPr>
      <w:r>
        <w:rPr>
          <w:b/>
          <w:bCs/>
          <w:color w:val="1F3864"/>
          <w:sz w:val="32"/>
          <w:szCs w:val="32"/>
        </w:rPr>
        <w:t xml:space="preserve">12. Traceability &amp; Next Phase</w:t>
      </w:r>
    </w:p>
    <w:p>
      <w:pPr>
        <w:pStyle w:val="Heading2"/>
        <w:spacing w:before="300" w:after="150"/>
      </w:pPr>
      <w:r>
        <w:rPr>
          <w:b/>
          <w:bCs/>
          <w:color w:val="2E75B6"/>
          <w:sz w:val="26"/>
          <w:szCs w:val="26"/>
        </w:rPr>
        <w:t xml:space="preserve">12.1 Traceability to Volume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864" w:val="clear"/>
            <w:tcMar>
              <w:top w:type="dxa" w:w="80"/>
              <w:left w:type="dxa" w:w="100"/>
              <w:bottom w:type="dxa" w:w="80"/>
              <w:right w:type="dxa" w:w="100"/>
            </w:tcMar>
            <w:vAlign w:val="center"/>
          </w:tcPr>
          <w:p>
            <w:r>
              <w:rPr>
                <w:b/>
                <w:bCs/>
                <w:color w:val="FFFFFF"/>
                <w:sz w:val="19"/>
                <w:szCs w:val="19"/>
              </w:rPr>
              <w:t xml:space="preserve">Vol. 2 Artifact</w:t>
            </w:r>
          </w:p>
        </w:tc>
        <w:tc>
          <w:tcPr>
            <w:tcW w:type="dxa" w:w="5550"/>
            <w:shd w:fill="1F3864" w:val="clear"/>
            <w:tcMar>
              <w:top w:type="dxa" w:w="80"/>
              <w:left w:type="dxa" w:w="100"/>
              <w:bottom w:type="dxa" w:w="80"/>
              <w:right w:type="dxa" w:w="100"/>
            </w:tcMar>
            <w:vAlign w:val="center"/>
          </w:tcPr>
          <w:p>
            <w:r>
              <w:rPr>
                <w:b/>
                <w:bCs/>
                <w:color w:val="FFFFFF"/>
                <w:sz w:val="19"/>
                <w:szCs w:val="19"/>
              </w:rPr>
              <w:t xml:space="preserve">Traces To Vol. 1</w:t>
            </w:r>
          </w:p>
        </w:tc>
      </w:tr>
      <w:tr>
        <w:tc>
          <w:tcPr>
            <w:tcW w:type="dxa" w:w="3800"/>
            <w:shd w:fill="FFFFFF" w:val="clear"/>
            <w:tcMar>
              <w:top w:type="dxa" w:w="70"/>
              <w:left w:type="dxa" w:w="100"/>
              <w:bottom w:type="dxa" w:w="70"/>
              <w:right w:type="dxa" w:w="100"/>
            </w:tcMar>
          </w:tcPr>
          <w:p>
            <w:r>
              <w:rPr>
                <w:sz w:val="19"/>
                <w:szCs w:val="19"/>
              </w:rPr>
              <w:t xml:space="preserve">Section 3.2 Bounded Context Catalog</w:t>
            </w:r>
          </w:p>
        </w:tc>
        <w:tc>
          <w:tcPr>
            <w:tcW w:type="dxa" w:w="5550"/>
            <w:shd w:fill="FFFFFF" w:val="clear"/>
            <w:tcMar>
              <w:top w:type="dxa" w:w="70"/>
              <w:left w:type="dxa" w:w="100"/>
              <w:bottom w:type="dxa" w:w="70"/>
              <w:right w:type="dxa" w:w="100"/>
            </w:tcMar>
          </w:tcPr>
          <w:p>
            <w:r>
              <w:rPr>
                <w:sz w:val="19"/>
                <w:szCs w:val="19"/>
              </w:rPr>
              <w:t xml:space="preserve">Section 5 Business Capability Model (BC-01...BC-21)</w:t>
            </w:r>
          </w:p>
        </w:tc>
      </w:tr>
      <w:tr>
        <w:tc>
          <w:tcPr>
            <w:tcW w:type="dxa" w:w="3800"/>
            <w:shd w:fill="DCE6F1" w:val="clear"/>
            <w:tcMar>
              <w:top w:type="dxa" w:w="70"/>
              <w:left w:type="dxa" w:w="100"/>
              <w:bottom w:type="dxa" w:w="70"/>
              <w:right w:type="dxa" w:w="100"/>
            </w:tcMar>
          </w:tcPr>
          <w:p>
            <w:r>
              <w:rPr>
                <w:sz w:val="19"/>
                <w:szCs w:val="19"/>
              </w:rPr>
              <w:t xml:space="preserve">Section 9 Sequence Diagrams</w:t>
            </w:r>
          </w:p>
        </w:tc>
        <w:tc>
          <w:tcPr>
            <w:tcW w:type="dxa" w:w="5550"/>
            <w:shd w:fill="DCE6F1" w:val="clear"/>
            <w:tcMar>
              <w:top w:type="dxa" w:w="70"/>
              <w:left w:type="dxa" w:w="100"/>
              <w:bottom w:type="dxa" w:w="70"/>
              <w:right w:type="dxa" w:w="100"/>
            </w:tcMar>
          </w:tcPr>
          <w:p>
            <w:r>
              <w:rPr>
                <w:sz w:val="19"/>
                <w:szCs w:val="19"/>
              </w:rPr>
              <w:t xml:space="preserve">Section 7/8 Value Streams &amp; Process Flows (VS-01...VS-06)</w:t>
            </w:r>
          </w:p>
        </w:tc>
      </w:tr>
      <w:tr>
        <w:tc>
          <w:tcPr>
            <w:tcW w:type="dxa" w:w="3800"/>
            <w:shd w:fill="FFFFFF" w:val="clear"/>
            <w:tcMar>
              <w:top w:type="dxa" w:w="70"/>
              <w:left w:type="dxa" w:w="100"/>
              <w:bottom w:type="dxa" w:w="70"/>
              <w:right w:type="dxa" w:w="100"/>
            </w:tcMar>
          </w:tcPr>
          <w:p>
            <w:r>
              <w:rPr>
                <w:sz w:val="19"/>
                <w:szCs w:val="19"/>
              </w:rPr>
              <w:t xml:space="preserve">Section 2 Architectural Style Decision</w:t>
            </w:r>
          </w:p>
        </w:tc>
        <w:tc>
          <w:tcPr>
            <w:tcW w:type="dxa" w:w="5550"/>
            <w:shd w:fill="FFFFFF" w:val="clear"/>
            <w:tcMar>
              <w:top w:type="dxa" w:w="70"/>
              <w:left w:type="dxa" w:w="100"/>
              <w:bottom w:type="dxa" w:w="70"/>
              <w:right w:type="dxa" w:w="100"/>
            </w:tcMar>
          </w:tcPr>
          <w:p>
            <w:r>
              <w:rPr>
                <w:sz w:val="19"/>
                <w:szCs w:val="19"/>
              </w:rPr>
              <w:t xml:space="preserve">Section 3 Business Architecture Principles (P1, P2)</w:t>
            </w:r>
          </w:p>
        </w:tc>
      </w:tr>
      <w:tr>
        <w:tc>
          <w:tcPr>
            <w:tcW w:type="dxa" w:w="3800"/>
            <w:shd w:fill="DCE6F1" w:val="clear"/>
            <w:tcMar>
              <w:top w:type="dxa" w:w="70"/>
              <w:left w:type="dxa" w:w="100"/>
              <w:bottom w:type="dxa" w:w="70"/>
              <w:right w:type="dxa" w:w="100"/>
            </w:tcMar>
          </w:tcPr>
          <w:p>
            <w:r>
              <w:rPr>
                <w:sz w:val="19"/>
                <w:szCs w:val="19"/>
              </w:rPr>
              <w:t xml:space="preserve">Section 5 Container Diagram service split (Payroll, Payments, AI, Integration)</w:t>
            </w:r>
          </w:p>
        </w:tc>
        <w:tc>
          <w:tcPr>
            <w:tcW w:type="dxa" w:w="5550"/>
            <w:shd w:fill="DCE6F1" w:val="clear"/>
            <w:tcMar>
              <w:top w:type="dxa" w:w="70"/>
              <w:left w:type="dxa" w:w="100"/>
              <w:bottom w:type="dxa" w:w="70"/>
              <w:right w:type="dxa" w:w="100"/>
            </w:tcMar>
          </w:tcPr>
          <w:p>
            <w:r>
              <w:rPr>
                <w:sz w:val="19"/>
                <w:szCs w:val="19"/>
              </w:rPr>
              <w:t xml:space="preserve">Section 6 Module Scope Catalog release phasing (R2/R3)</w:t>
            </w:r>
          </w:p>
        </w:tc>
      </w:tr>
    </w:tbl>
    <w:p>
      <w:pPr>
        <w:pStyle w:val="Heading2"/>
        <w:spacing w:before="300" w:after="150"/>
      </w:pPr>
      <w:r>
        <w:rPr>
          <w:b/>
          <w:bCs/>
          <w:color w:val="2E75B6"/>
          <w:sz w:val="26"/>
          <w:szCs w:val="26"/>
        </w:rPr>
        <w:t xml:space="preserve">12.2 Forward Contract to Downstream Volumes</w:t>
      </w:r>
    </w:p>
    <w:p>
      <w:pPr>
        <w:pStyle w:val="ListParagraph"/>
        <w:numPr>
          <w:ilvl w:val="0"/>
          <w:numId w:val="1"/>
        </w:numPr>
        <w:spacing w:after="80"/>
      </w:pPr>
      <w:r>
        <w:rPr>
          <w:sz w:val="22"/>
          <w:szCs w:val="22"/>
        </w:rPr>
        <w:t xml:space="preserve">Volume 3 (Technical Architecture) must adopt the 16 bounded contexts as its module/package structure and enforce the layering in Section 7 via lint rules or dependency-graph checks.</w:t>
      </w:r>
    </w:p>
    <w:p>
      <w:pPr>
        <w:pStyle w:val="ListParagraph"/>
        <w:numPr>
          <w:ilvl w:val="0"/>
          <w:numId w:val="1"/>
        </w:numPr>
        <w:spacing w:after="80"/>
      </w:pPr>
      <w:r>
        <w:rPr>
          <w:sz w:val="22"/>
          <w:szCs w:val="22"/>
        </w:rPr>
        <w:t xml:space="preserve">Volume 4 (Data Architecture) must give each bounded context its own schema/namespace per Section 2's "no cross-module direct database access" rule, and use Section 8's class diagrams as the starting entity list.</w:t>
      </w:r>
    </w:p>
    <w:p>
      <w:pPr>
        <w:pStyle w:val="ListParagraph"/>
        <w:numPr>
          <w:ilvl w:val="0"/>
          <w:numId w:val="1"/>
        </w:numPr>
        <w:spacing w:after="80"/>
      </w:pPr>
      <w:r>
        <w:rPr>
          <w:sz w:val="22"/>
          <w:szCs w:val="22"/>
        </w:rPr>
        <w:t xml:space="preserve">Volume 6 (Security Architecture) must derive its service-to-service auth model from the Section 5 container boundaries (which containers are network-reachable from which).</w:t>
      </w:r>
    </w:p>
    <w:p>
      <w:pPr>
        <w:pStyle w:val="ListParagraph"/>
        <w:numPr>
          <w:ilvl w:val="0"/>
          <w:numId w:val="1"/>
        </w:numPr>
        <w:spacing w:after="80"/>
      </w:pPr>
      <w:r>
        <w:rPr>
          <w:sz w:val="22"/>
          <w:szCs w:val="22"/>
        </w:rPr>
        <w:t xml:space="preserve">Volume 9 (API Design) must expand Section 11's resource ownership table into full endpoint contracts, and Section 10's event catalog into the public webhook subset.</w:t>
      </w:r>
    </w:p>
    <w:p>
      <w:pPr>
        <w:pStyle w:val="Heading2"/>
        <w:spacing w:before="300" w:after="150"/>
      </w:pPr>
      <w:r>
        <w:rPr>
          <w:b/>
          <w:bCs/>
          <w:color w:val="2E75B6"/>
          <w:sz w:val="26"/>
          <w:szCs w:val="26"/>
        </w:rPr>
        <w:t xml:space="preserve">12.3 Open Questions for Sign-off</w:t>
      </w:r>
    </w:p>
    <w:p>
      <w:pPr>
        <w:pStyle w:val="ListParagraph"/>
        <w:numPr>
          <w:ilvl w:val="0"/>
          <w:numId w:val="2"/>
        </w:numPr>
        <w:spacing w:after="80"/>
      </w:pPr>
      <w:r>
        <w:rPr>
          <w:sz w:val="22"/>
          <w:szCs w:val="22"/>
        </w:rPr>
        <w:t xml:space="preserve">Is the modular-monolith-first decision (Section 2.1) acceptable given team size and timeline, or is there an organizational reason to start with separate deployables (e.g. separate teams per context)?</w:t>
      </w:r>
    </w:p>
    <w:p>
      <w:pPr>
        <w:pStyle w:val="ListParagraph"/>
        <w:numPr>
          <w:ilvl w:val="0"/>
          <w:numId w:val="2"/>
        </w:numPr>
        <w:spacing w:after="80"/>
      </w:pPr>
      <w:r>
        <w:rPr>
          <w:sz w:val="22"/>
          <w:szCs w:val="22"/>
        </w:rPr>
        <w:t xml:space="preserve">Should Payments (CTX-06) and Integration Gateway (CTX-16) be built as separate services from day one, given they inherently talk to volatile third-party APIs and benefit from independent deploy cycles even at MVP?</w:t>
      </w:r>
    </w:p>
    <w:p>
      <w:pPr>
        <w:pStyle w:val="ListParagraph"/>
        <w:numPr>
          <w:ilvl w:val="0"/>
          <w:numId w:val="2"/>
        </w:numPr>
        <w:spacing w:after="80"/>
      </w:pPr>
      <w:r>
        <w:rPr>
          <w:sz w:val="22"/>
          <w:szCs w:val="22"/>
        </w:rPr>
        <w:t xml:space="preserve">Confirm the event bus technology preference (if any exists) before Volume 3 - this affects whether Section 10's events are designed for at-least-once or exactly-once delivery semantics.</w:t>
      </w:r>
    </w:p>
    <w:p>
      <w:pPr>
        <w:pStyle w:val="Heading2"/>
        <w:spacing w:before="300" w:after="150"/>
      </w:pPr>
      <w:r>
        <w:rPr>
          <w:b/>
          <w:bCs/>
          <w:color w:val="2E75B6"/>
          <w:sz w:val="26"/>
          <w:szCs w:val="26"/>
        </w:rPr>
        <w:t xml:space="preserve">12.4 Next Phase</w:t>
      </w:r>
    </w:p>
    <w:p>
      <w:pPr>
        <w:spacing w:after="160" w:line="276"/>
      </w:pPr>
      <w:r>
        <w:rPr>
          <w:b w:val="false"/>
          <w:bCs w:val="false"/>
          <w:i w:val="false"/>
          <w:iCs w:val="false"/>
          <w:color w:val="1A1A1A"/>
          <w:sz w:val="22"/>
          <w:szCs w:val="22"/>
        </w:rPr>
        <w:t xml:space="preserve">On approval, Phase 3 begins: Technical Architecture (Volume 3) - concrete technology stack selection with rationale, coding standards, folder/repository structure, logging strategy, caching strategy, and queue processing design, all built on the module boundaries fixed in this volume.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Enterprise Architecture Blueprint - Vol. 2: Application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Blueprint - Volume 2: Application Architecture</dc:title>
  <dc:creator>Claude</dc:creator>
  <cp:lastModifiedBy>Un-named</cp:lastModifiedBy>
  <cp:revision>1</cp:revision>
  <dcterms:created xsi:type="dcterms:W3CDTF">2026-07-13T05:51:35.277Z</dcterms:created>
  <dcterms:modified xsi:type="dcterms:W3CDTF">2026-07-13T05:51:35.277Z</dcterms:modified>
</cp:coreProperties>
</file>

<file path=docProps/custom.xml><?xml version="1.0" encoding="utf-8"?>
<Properties xmlns="http://schemas.openxmlformats.org/officeDocument/2006/custom-properties" xmlns:vt="http://schemas.openxmlformats.org/officeDocument/2006/docPropsVTypes"/>
</file>