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/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ENTERPRISE ARCHITECTURE BLUEPRINT</w:t>
      </w:r>
    </w:p>
    <w:p>
      <w:pPr>
        <w:spacing w:before="200" w:after="100"/>
        <w:jc w:val="center"/>
      </w:pPr>
      <w:r>
        <w:rPr>
          <w:color w:val="2E75B6"/>
          <w:sz w:val="32"/>
          <w:szCs w:val="32"/>
        </w:rPr>
        <w:t xml:space="preserve">Cloud Accounting &amp; Business Management Platform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(Codename "Ledger" - Zoho Books-class product)</w:t>
      </w:r>
    </w:p>
    <w:p>
      <w:pPr>
        <w:spacing w:before="800" w:after="100"/>
        <w:jc w:val="center"/>
      </w:pPr>
      <w:r>
        <w:rPr>
          <w:b/>
          <w:bCs/>
          <w:color w:val="1F3864"/>
          <w:sz w:val="30"/>
          <w:szCs w:val="30"/>
        </w:rPr>
        <w:t xml:space="preserve">VOLUME 3 OF 9</w:t>
      </w:r>
    </w:p>
    <w:p>
      <w:pPr>
        <w:spacing w:after="100"/>
        <w:jc w:val="center"/>
      </w:pPr>
      <w:r>
        <w:rPr>
          <w:b/>
          <w:bCs/>
          <w:color w:val="2E75B6"/>
          <w:sz w:val="40"/>
          <w:szCs w:val="40"/>
        </w:rPr>
        <w:t xml:space="preserve">TECHNICAL ARCHITECTURE</w:t>
      </w:r>
    </w:p>
    <w:p>
      <w:pPr>
        <w:spacing w:after="1200"/>
        <w:jc w:val="center"/>
      </w:pPr>
      <w:r>
        <w:rPr>
          <w:color w:val="595959"/>
          <w:sz w:val="22"/>
          <w:szCs w:val="22"/>
        </w:rPr>
        <w:t xml:space="preserve">Technology Stack - Coding Standards - Folder Structure - Logging - Caching - Queueing</w:t>
      </w:r>
    </w:p>
    <w:p>
      <w:pPr>
        <w:spacing w:before="4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3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Document Status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Draft - v0.1 - Phase 3 of 9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Prepared For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caldim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Prepared By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Claude (Enterprise Architecture Assistant)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13 July 2026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Internal - Pre-Development Planning</w:t>
            </w:r>
          </w:p>
        </w:tc>
      </w:tr>
      <w:tr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Upstream Dependency</w:t>
            </w:r>
          </w:p>
        </w:tc>
        <w:tc>
          <w:tcPr>
            <w:tcW w:type="dxa" w:w="63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Business Architecture; Vol. 2 Application Architecture (16 bounded contexts CTX-01...CTX-16, module dependency graph, event catalog)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Downstream Volumes</w:t>
            </w:r>
          </w:p>
        </w:tc>
        <w:tc>
          <w:tcPr>
            <w:tcW w:type="dxa" w:w="63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4 Data Architecture; Vol. 5 Integration Architecture; Vol. 6 Security Architecture; Vol. 7 Infrastructure &amp; Deployment; Vol. 8 Testing &amp; QA; Vol. 9 UI/UX &amp; API Design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1. Introduction &amp; Scope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1.1 Purpose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volume selects and justifies the concrete technology stack, and defines the engineering conventions (folder structure, coding standards, logging, caching, queueing, multi-tenancy implementation) needed to start writing code against the bounded contexts fixed in Volume 2. Every decision below is written as a lightweight ADR (Architecture Decision Record): context, decision, and consequences, so it can be revisited explicitly rather than silently drifted from.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1.2 Constraints Inherited From Earlier Volumes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1 Principle P1: multi-tenancy is first-class - every table, cache key, queue message, and log line carries a tenant identifier (Section 6, 7, 8, 11 of this volume implement this).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1 Principle P3/P4: the ledger is the single source of truth and is append-only/auditable - this constrains the database and ORM choices in Section 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2 Section 2 decision: modular monolith first, with enforced module boundaries - this constrains the folder structure (Section 3) and coding standards (Section 4).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Vol. 2 Section 10 event catalog: the platform needs a durable, ordered-per-key event bus - this constrains Section 8's queueing technology choice.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2. Technology Stack Selection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decision below follows the same format: Context, Options Considered, Decision, Rationale, Consequences. Where the choice affects cost or ops complexity, that trade-off is stated explicitly rather than assumed.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2.1 Backend Language &amp; Framework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TypeScript/NestJS; Java/Spring Boot; C#/.NET; Python/Django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TypeScript on Node.js, using NestJS as the application framework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NestJS's module system maps directly onto Vol. 2's bounded-context boundaries (each CTX-xx becomes a NestJS module with an explicit exported provider surface, enforcing "no cross-module direct database access"). TypeScript end-to-end (backend + frontend, Section 2.3) lets domain types (Vol. 2 Section 8 UML) be shared as a single source of truth via a shared types package, eliminating an entire class of integration bugs. NestJS has first-class support for dependency injection, decorators-based validation, and modular testing, all of which Section 4/Vol. 8 rely on.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Consequences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Team must standardize on Node.js performance patterns for CPU-heavy work (e.g. large report generation, Section 9) - offload those to worker processes/queues rather than blocking the main event loop. Node's single-threaded model is not a concern for typical I/O-bound accounting operations.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2.2 Primary Datastore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PostgreSQL; MySQL; SQL Server; MongoDB (document store)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data is inherently relational with strict integrity constraints (Vol. 2 Section 8 double-entry model); PostgreSQL's transactional guarantees, mature JSON column support (for custom fields, Vol. 1 BC-17), Row-Level Security (Section 11 multi-tenancy), and extension ecosystem (e.g. pg_partman for partitioning large ledger tables) make it the strongest fit. A document store was rejected because financial reporting requires strong joins and aggregate consistency that document stores handle poorly at this integrity bar.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Consequences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4 must design partitioning/indexing strategy for high-volume tables (JournalLine, InvoiceLineItem) from day one, since these grow unbounded per tenant.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2.3 Frontend Framework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React; Vue; Angular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React with TypeScript, using a component library built on a headless UI kit (e.g. Radix primitives) rather than a heavyweight admin template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Largest talent pool and ecosystem; shares TypeScript types with the NestJS backend (Section 2.1); React Query (or equivalent) gives a clean pattern for the API-first architecture (Vol. 2 Principle: UI is a client of the same API third parties use).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Consequences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9 (UI/UX Design Specification) must define the component library and design tokens before feature teams start building screens, to avoid inconsistent UI drift across the ~16 bounded-context-aligned feature areas.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2.4 Cache Layer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 (or Redis-compatible, e.g. managed ElastiCache/Memorystore)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Industry-standard, supports the cache patterns in Section 7 (read-through caching, rate limiting, session storage, distributed locks for e.g. invoice numbering sequences), and is a dependency most cloud providers offer managed.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2.5 Event Bus / Message Broker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Apache Kafka; RabbitMQ; cloud-native (SQS/SNS, Pub/Sub)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Apache Kafka (or managed equivalent, e.g. Confluent Cloud/MSK) for the domain event bus (Vol. 2 Section 10); RabbitMQ-style task queues are used underneath for simple background jobs (Section 9) where Kafka's log-retention model is unnecessary overhead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Financial domain events (JournalPosted, InvoiceSent) benefit from Kafka's durable, replayable log - this gives natural audit trail redundancy (Vol. 1 Principle P4) and lets a new consumer (e.g. a future Reporting read-model rebuild) replay history rather than requiring a backfill migration. Per-key ordering (partitioned by tenant + aggregate ID) preserves causal order of events for a given invoice or journal entry.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Consequences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Requires operating a Kafka cluster (or paying for a managed one) from Release 1 even while the application itself is a single monolith process - this is accepted because event-driven decoupling (Vol. 2 Section 2.2) is needed from day one, not just after service extraction.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2.6 Search &amp; Reporting Index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OpenSearch (Elasticsearch-compatible), fed by the Kafka event stream, used for the Reporting &amp; Analytics module's (CTX-11) full-text and aggregate query needs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PostgreSQL read replicas alone are insufficient for the custom-report-builder and cross-module aggregate queries in Vol. 1 BC-13; a denormalized, event-sourced search index keeps Reporting's read-only, downstream position (Vol. 2 Section 3.3) without adding query load to the transactional database.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2.7 Object/File Storage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S3-compatible object storage (AWS S3 or self-hosted MinIO for on-prem/dev), used by the Documents context (CTX-12) for attachments and by Reporting for exported PDFs/spreadsheets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2.8 API Style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REST/JSON as the primary public and internal API style (Vol. 9 to formalize), with webhooks for outbound event notification to third parties (Vol. 1 BC-19). GraphQL is deferred - not adopted at Release 1.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 is what most accounting-software integrators (Zoho, QuickBooks, Xero ecosystems) expect; a GraphQL BFF can be layered in later for the web app specifically without changing the underlying service contracts, if UI query flexibility becomes a bottleneck.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3. Repository &amp; Folder Structure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3.1 Repository Strategy Decision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Monorepo (single repository) for Release 1, using a build-orchestration tool (e.g. Nx or Turborepo) to manage the module boundaries as enforceable project graph constraints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The modular monolith decision (Vol. 2 Section 2.1) means all 16 bounded contexts deploy together at Release 1 - a monorepo keeps cross-module refactors atomic and lets the shared-types package (Section 2.3) be consumed without a package-publish step. Nx/Turborepo's project-graph lint rules directly enforce Vol. 2 Section 7's "no upward dependency" layering.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Extraction path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When a module is extracted to its own deployable (Vol. 2 Section 2.1 extraction triggers), it can be moved to its own repository without restructuring its internal code, since its folder is already a self-contained Nx/Turborepo project.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3.2 Top-Level Folder Structure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Folder tree (abbreviated)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/ledger-platform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/apps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/web-app                 # React SPA (business-owner/staff facing)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/portal-app              # React SPA (customer/vendor self-service, CTX-13)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/core-api                # NestJS host process (modular monolith, Release 1)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/payments-service        # Extracted service (CTX-06) - separate deploy from Release 1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/integration-gateway     # Extracted service (CTX-16) - separate deploy from Release 1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/workers                 # Background job / queue consumers (Section 9)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/libs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/modules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/identity-tenant        # CTX-01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/ledger                 # CTX-02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/receivables            # CTX-03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/payables               # CTX-04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/banking                # CTX-05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/inventory              # CTX-07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/projects               # CTX-08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/payroll                # CTX-09 (R3)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/tax-compliance         # CTX-10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/reporting-analytics    # CTX-11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/documents              # CTX-12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/collaboration-portals  # CTX-13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/automation-customization # CTX-14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/ai-assistant           # CTX-15 (R2/R3)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/shared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/domain-types           # Shared TypeScript types/DTOs (Vol.2 Sec.8 UML)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/event-contracts        # Kafka event schemas (Vol.2 Sec.10 catalog)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/ui-components          # Shared React component library (Vol.9)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  /testing-utils          # Shared test fixtures/mocks (Vol.8)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/infra                      # IaC, CI/CD pipeline definitions (Vol.7)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/docs                       # This blueprint and derived documents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3.3 Inside a Module (e.g. /libs/modules/receivables)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Per-module internal layering (maps to Vol.2 Sec.6 component diagrams)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/receivables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/api            # Controllers / route handlers - Invoice, Quote, SalesOrder endpoints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/domain         # Domain services, aggregates, business rules (invoice lifecycle, Vol.2 Sec.8.1 state machine)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/infrastructure # Repository implementations (Postgres), event publisher (Kafka)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/events         # Inbound event handlers (subscribes to InventoryStockChanged, etc.)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/dto            # Request/response DTOs (validated via class-validator)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/tests          # Unit + integration tests for this module only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index.ts        # Public export surface - the ONLY thing other modules may import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index.ts export-surface rule is the enforcement mechanism for Vol. 2's "no cross-module direct database access": a lint rule forbids any import path that reaches past a module's index.ts into its internal folders (e.g. forbidding import ... from '@ledger-platform/receivables/infrastructure/repository' from outside the receivables module).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4. Coding Standards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4.1 Enforcement Mechanism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Standards below are enforced automatically wherever possible (linter rules, CI gate) rather than relying on code review discipline alone. Vol. 8 (Testing &amp; QA) defines the CI pipeline gates that run these checks on every pull request.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4.2 Core Rules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26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Enforcement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CS-01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module may only import another module's index.ts export surface, never its internals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ESLint import-boundary rule + Nx module-boundary lint</w:t>
            </w:r>
          </w:p>
        </w:tc>
      </w:tr>
      <w:tr>
        <w:tc>
          <w:tcPr>
            <w:tcW w:type="dxa" w:w="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CS-02</w:t>
            </w:r>
          </w:p>
        </w:tc>
        <w:tc>
          <w:tcPr>
            <w:tcW w:type="dxa" w:w="5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module may only depend on modules in a strictly lower architecture layer (Vol. 2 Section 7)</w:t>
            </w:r>
          </w:p>
        </w:tc>
        <w:tc>
          <w:tcPr>
            <w:tcW w:type="dxa" w:w="26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Nx project-graph constraint (tags: layer:0...layer:4)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CS-03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financial amounts use a Decimal/fixed-point type, never native floating point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 + typed wrapper class (Money) required by domain type definitions</w:t>
            </w:r>
          </w:p>
        </w:tc>
      </w:tr>
      <w:tr>
        <w:tc>
          <w:tcPr>
            <w:tcW w:type="dxa" w:w="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CS-04</w:t>
            </w:r>
          </w:p>
        </w:tc>
        <w:tc>
          <w:tcPr>
            <w:tcW w:type="dxa" w:w="5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database writes to financial entities go through the domain service layer, never direct repository calls from a controller</w:t>
            </w:r>
          </w:p>
        </w:tc>
        <w:tc>
          <w:tcPr>
            <w:tcW w:type="dxa" w:w="26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Architecture test (dependency-cruiser or similar) run in CI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CS-05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public API endpoint has an OpenAPI schema and a corresponding integration test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CI gate blocks merge if OpenAPI spec or test is missing</w:t>
            </w:r>
          </w:p>
        </w:tc>
      </w:tr>
      <w:tr>
        <w:tc>
          <w:tcPr>
            <w:tcW w:type="dxa" w:w="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CS-06</w:t>
            </w:r>
          </w:p>
        </w:tc>
        <w:tc>
          <w:tcPr>
            <w:tcW w:type="dxa" w:w="5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domain event has a versioned schema in /libs/shared/event-contracts; breaking changes require a new version, not a mutation</w:t>
            </w:r>
          </w:p>
        </w:tc>
        <w:tc>
          <w:tcPr>
            <w:tcW w:type="dxa" w:w="26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Schema registry validation in CI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CS-07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module-level global mutable state; all cross-request state flows through request context (includes tenant ID, user ID, correlation ID - Section 6)</w:t>
            </w:r>
          </w:p>
        </w:tc>
        <w:tc>
          <w:tcPr>
            <w:tcW w:type="dxa" w:w="26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 checklist + lint rule against module-scope `let`/mutable exports</w:t>
            </w:r>
          </w:p>
        </w:tc>
      </w:tr>
      <w:tr>
        <w:tc>
          <w:tcPr>
            <w:tcW w:type="dxa" w:w="7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CS-08</w:t>
            </w:r>
          </w:p>
        </w:tc>
        <w:tc>
          <w:tcPr>
            <w:tcW w:type="dxa" w:w="5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Naming: REST resources are plural nouns (/invoices), domain events are past-tense (InvoiceSent), commands are imperative (SendInvoice)</w:t>
            </w:r>
          </w:p>
        </w:tc>
        <w:tc>
          <w:tcPr>
            <w:tcW w:type="dxa" w:w="26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Code review checklist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4.3 Error Handling Convention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Standard error shape (all modules)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"error": 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"code": "RECEIVABLES.INVOICE_ALREADY_PAID",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"message": "Invoice INV-0042 is already fully paid and cannot be voided.",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"correlationId": "c7f1e2...",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"details": { "invoiceId": "...", "currentStatus": "Paid"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Error codes are namespaced by bounded context (RECEIVABLES., PAYABLES., LEDGER., ...) so client applications and support tooling can route/handle errors predictably. Every error response carries the same correlationId as the structured log entry for that request (Section 6), so a support engineer can go from a user-reported error code straight to the relevant log lines.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5. API Design Conventions (Summary)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Full endpoint-by-endpoint contracts belong to Volume 9; this section fixes the conventions every endpoint must follow so Volume 9 does not have to re-derive them per bounded context.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Convention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Versioning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URL-path versioned: /v1/invoices. A new major version is only introduced for breaking changes; additive fields never bump the version.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Pagination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Cursor-based (?cursor=...&amp;limit=50), not offset-based, to stay stable under concurrent writes to large tables (e.g. JournalLine).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Filtering/Sorting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Consistent query-param syntax: ?filter[status]=Sent&amp;sort=-createdAt across all bounded-context APIs.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POST endpoints that create a financial transaction accept an Idempotency-Key header, checked against a Redis-backed dedup store (Section 7) before processing.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Bearer JWT (short-lived) issued by CTX-01 Identity &amp; Tenant, containing tenant ID and role claims, validated by every module's API layer via shared middleware.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 scoping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request is scoped to a tenant from the JWT claim, never from a client-supplied tenant ID parameter, to prevent tenant-spoofing (Vol. 6 will formalize this as a security control).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6. Logging Strategy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6.1 Principles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Structured JSON logging only - no unstructured string logs - so logs are queryable in the observability platform (Vol. 7 will select the concrete tool, e.g. an ELK/OpenSearch or vendor SaaS stack).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Every log line carries: tenantId, userId (if applicable), correlationId, module (CTX-xx), and a severity level.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Correlation ID is generated at the API Gateway (Vol. 2 Section 5) on every inbound request and propagated through every internal call and published event, so one user action can be traced end-to-end across modules even inside the monolith.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Financial-mutation log lines (ledger postings, invoice status changes) are never sampled or dropped - they log at INFO level unconditionally, distinct from high-volume debug logs which may be sampled under load.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6.2 Log Levels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5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7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ERROR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Unhandled exceptions, failed financial postings, failed external integration calls that could not be retried successfully.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</w:t>
            </w:r>
          </w:p>
        </w:tc>
        <w:tc>
          <w:tcPr>
            <w:tcW w:type="dxa" w:w="7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Retried operations, degraded external dependency (e.g. bank feed provider slow), approaching rate limits.</w:t>
            </w:r>
          </w:p>
        </w:tc>
      </w:tr>
      <w:tr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</w:t>
            </w:r>
          </w:p>
        </w:tc>
        <w:tc>
          <w:tcPr>
            <w:tcW w:type="dxa" w:w="77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Business-significant events: invoice sent, payment recorded, journal posted, user login. Always includes the correlationId and tenantId.</w:t>
            </w:r>
          </w:p>
        </w:tc>
      </w:tr>
      <w:tr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DEBUG</w:t>
            </w:r>
          </w:p>
        </w:tc>
        <w:tc>
          <w:tcPr>
            <w:tcW w:type="dxa" w:w="77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Detailed request/response payloads, cache hit/miss - disabled in production by default, enabled per-tenant or per-request for support investigations.</w:t>
            </w:r>
          </w:p>
        </w:tc>
      </w:tr>
    </w:tbl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Example structured log 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{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"timestamp": "2026-07-13T10:22:31.104Z",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"level": "INFO",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"module": "CTX-03-receivables",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"event": "invoice.sent",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"tenantId": "org_8f2a1c",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"userId": "usr_4471",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"correlationId": "c7f1e2-9b3a-4d10",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"message": "Invoice INV-0042 sent to customer",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"context": { "invoiceId": "inv_0042", "amount": 1250.00, "currency": "USD" 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}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7. Caching Strategy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7.1 Cache Layers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300"/>
        <w:gridCol w:w="245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  <w:tc>
          <w:tcPr>
            <w:tcW w:type="dxa" w:w="2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Invalidation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Application read cache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Frequently-read, rarely-changed reference data: chart of accounts, tax rate tables, item master, customer list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Write-through: module publishes cache-invalidation on its own domain event (e.g. Inventory invalidates item cache on StockAdjusted)</w:t>
            </w:r>
          </w:p>
        </w:tc>
      </w:tr>
      <w:tr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Computed/aggregate cache</w:t>
            </w:r>
          </w:p>
        </w:tc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Dashboard summaries, report snapshots (Vol.1 BC-13)</w:t>
            </w:r>
          </w:p>
        </w:tc>
        <w:tc>
          <w:tcPr>
            <w:tcW w:type="dxa" w:w="2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Time-based TTL (e.g. 5 min) plus explicit invalidation on relevant JournalPosted/InvoiceSent events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Session/auth cache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JWT refresh-token state, active session list, rate-limit counters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TTL matching token lifetime</w:t>
            </w:r>
          </w:p>
        </w:tc>
      </w:tr>
      <w:tr>
        <w:tc>
          <w:tcPr>
            <w:tcW w:type="dxa" w:w="2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 store</w:t>
            </w:r>
          </w:p>
        </w:tc>
        <w:tc>
          <w:tcPr>
            <w:tcW w:type="dxa" w:w="16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33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Idempotency-Key deduplication (Section 5) for financial-mutating POST requests</w:t>
            </w:r>
          </w:p>
        </w:tc>
        <w:tc>
          <w:tcPr>
            <w:tcW w:type="dxa" w:w="2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TTL of 24h, matching the client retry window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Distributed lock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Redis (Redlock pattern)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Sequential number generation (invoice numbers, journal entry numbers) to avoid duplicate numbers under concurrent requests</w:t>
            </w:r>
          </w:p>
        </w:tc>
        <w:tc>
          <w:tcPr>
            <w:tcW w:type="dxa" w:w="2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Lock released immediately after number is reserved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7.2 Cache Key Convention (Tenant-Safe)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Cache key pattern - tenant ID is always the first segment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{tenantId}:{module}:{entity}:{entityId}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example: org_8f2a1c:receivables:invoice:inv_0042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example: org_8f2a1c:ledger:coa:full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cache key is ever constructed without a tenant ID prefix - this is a CI-enforced lint rule (Section 4) to prevent the single highest-risk multi-tenancy bug class: cross-tenant cache leakage. A shared cache utility wraps all Redis access so individual modules cannot bypass the key convention.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8. Queue &amp; Asynchronous Processing Strategy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8.1 Event Bus Topic Design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Kafka topics are partitioned by tenantId + aggregateId to guarantee per-aggregate ordering (e.g. all events for one invoice arrive in order) while allowing horizontal consumer scaling across tenants.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400"/>
        <w:gridCol w:w="22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Partition Key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Producers</w:t>
            </w:r>
          </w:p>
        </w:tc>
        <w:tc>
          <w:tcPr>
            <w:tcW w:type="dxa" w:w="22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Consumers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ledger.journal-events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tenantId+journalEntryId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Ledger (CTX-02)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Reporting, AI Assistant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receivables.invoice-events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tenantId+invoiceId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Receivables (CTX-03)</w:t>
            </w:r>
          </w:p>
        </w:tc>
        <w:tc>
          <w:tcPr>
            <w:tcW w:type="dxa" w:w="2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Ledger, Reporting, Collaboration, Automation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payables.bill-events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tenantId+billId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Payables (CTX-04)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Ledger, Reporting, Inventory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inventory.stock-events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tenantId+itemId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Inventory (CTX-07)</w:t>
            </w:r>
          </w:p>
        </w:tc>
        <w:tc>
          <w:tcPr>
            <w:tcW w:type="dxa" w:w="2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Receivables, Payables, Reporting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banking.transaction-events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tenantId+bankAccountId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Integration Gateway, Banking (CTX-05)</w:t>
            </w:r>
          </w:p>
        </w:tc>
        <w:tc>
          <w:tcPr>
            <w:tcW w:type="dxa" w:w="22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Receivables, Payables, Ledger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tenant.lifecycle-events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tenantId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Identity &amp; Tenant (CTX-01)</w:t>
            </w:r>
          </w:p>
        </w:tc>
        <w:tc>
          <w:tcPr>
            <w:tcW w:type="dxa" w:w="22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All modules (initialization/deprovisioning)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8.2 Delivery Semantics &amp; Idempotent Consumers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At-least-once delivery is assumed for all Kafka consumers (exactly-once is not guaranteed end-to-end across this stack). Every consumer must be idempotent - reprocessing the same event must not double-post a journal entry or double-send a notification.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Idempotency is achieved by consumers tracking a processed-event-id ledger (keyed by event ID, checked before applying side effects) rather than relying on the broker alone.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Poison messages (repeatedly failing to process) are routed to a dead-letter topic after a bounded retry count (e.g. 5 attempts with exponential backoff) and surfaced as an operational alert (Vol. 7).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8.3 Background Jobs vs. Event-Driven Reactions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45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  <w:tc>
          <w:tcPr>
            <w:tcW w:type="dxa" w:w="34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Event-driven reaction (Kafka consumer)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Another module needs to react to something that already happened</w:t>
            </w:r>
          </w:p>
        </w:tc>
        <w:tc>
          <w:tcPr>
            <w:tcW w:type="dxa" w:w="3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Ledger reacting to InvoiceSent to post revenue</w:t>
            </w:r>
          </w:p>
        </w:tc>
      </w:tr>
      <w:tr>
        <w:tc>
          <w:tcPr>
            <w:tcW w:type="dxa" w:w="2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Scheduled background job (queue + cron trigger)</w:t>
            </w:r>
          </w:p>
        </w:tc>
        <w:tc>
          <w:tcPr>
            <w:tcW w:type="dxa" w:w="30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 that happens on a time schedule, not in reaction to a user action</w:t>
            </w:r>
          </w:p>
        </w:tc>
        <w:tc>
          <w:tcPr>
            <w:tcW w:type="dxa" w:w="34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Recurring invoice generation (Vol.1 BC-16), overdue-invoice reminder emails, nightly report pre-computation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On-demand async job (queue, triggered by user action but too slow to run synchronously)</w:t>
            </w:r>
          </w:p>
        </w:tc>
        <w:tc>
          <w:tcPr>
            <w:tcW w:type="dxa" w:w="3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User-triggered work that would block the HTTP request if run synchronously</w:t>
            </w:r>
          </w:p>
        </w:tc>
        <w:tc>
          <w:tcPr>
            <w:tcW w:type="dxa" w:w="34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Bulk CSV import of items/customers, large report export to PDF/XLSX, bank statement OCR/auto-scan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9. Background Jobs &amp; Scheduling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Scheduling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flowchart LR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Cron[Cron Scheduler - e.g. BullMQ repeatable jobs] --&gt; Queue[(Redis-backed Job Queue)]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UserAction[User-triggered async request] --&gt; Queue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Queue --&gt; WorkerPool[Worker Process Pool - /apps/workers]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WorkerPool --&gt; Modules[Calls into module domain services]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WorkerPool --&gt; DLQ[(Dead Letter Queue on repeated failure)]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WorkerPool --&gt; Notify[Notify user/tenant on completion or failure]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200"/>
        <w:gridCol w:w="25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Owning Module</w:t>
            </w:r>
          </w:p>
        </w:tc>
        <w:tc>
          <w:tcPr>
            <w:tcW w:type="dxa" w:w="25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Recurring invoice generation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cron, per-tenant recurrence rule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Automation (CTX-14) -&gt; Receivables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Must be idempotent per (tenant, recurrence rule, period) to survive worker retries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Overdue invoice reminders</w:t>
            </w:r>
          </w:p>
        </w:tc>
        <w:tc>
          <w:tcPr>
            <w:tcW w:type="dxa" w:w="2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Daily cron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Automation -&gt; Receivables, Collaboration</w:t>
            </w:r>
          </w:p>
        </w:tc>
        <w:tc>
          <w:tcPr>
            <w:tcW w:type="dxa" w:w="25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Respects tenant-configured reminder cadence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Bank feed polling / import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Scheduled poll (e.g. every 4h) or provider webhook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Integration Gateway -&gt; Banking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Webhook preferred where the provider supports it, to reduce latency and poll cost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 pre-computation</w:t>
            </w:r>
          </w:p>
        </w:tc>
        <w:tc>
          <w:tcPr>
            <w:tcW w:type="dxa" w:w="2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Nightly + on-demand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Reporting (CTX-11)</w:t>
            </w:r>
          </w:p>
        </w:tc>
        <w:tc>
          <w:tcPr>
            <w:tcW w:type="dxa" w:w="25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Writes to OpenSearch index (Section 2.6), not the transactional DB</w:t>
            </w:r>
          </w:p>
        </w:tc>
      </w:tr>
      <w:tr>
        <w:tc>
          <w:tcPr>
            <w:tcW w:type="dxa" w:w="2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Payroll batch run</w:t>
            </w:r>
          </w:p>
        </w:tc>
        <w:tc>
          <w:tcPr>
            <w:tcW w:type="dxa" w:w="21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User-triggered, scheduled per pay period (R3)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Payroll (CTX-09)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Long-running; must support partial-failure recovery (some employees processed, one fails)</w:t>
            </w:r>
          </w:p>
        </w:tc>
      </w:tr>
      <w:tr>
        <w:tc>
          <w:tcPr>
            <w:tcW w:type="dxa" w:w="2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Depreciation posting</w:t>
            </w:r>
          </w:p>
        </w:tc>
        <w:tc>
          <w:tcPr>
            <w:tcW w:type="dxa" w:w="21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Monthly cron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Ledger (CTX-02) - Fixed Assets sub-capability</w:t>
            </w:r>
          </w:p>
        </w:tc>
        <w:tc>
          <w:tcPr>
            <w:tcW w:type="dxa" w:w="25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Posts journal entries automatically per asset depreciation schedule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10. Configuration &amp; Feature Flag Management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Implements the entitlement-check mechanism anticipated by Vol. 1 Section 9 (Standard/Professional/Enterprise editions) and Vol. 2 Section 12's forward contract.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05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 Type</w:t>
            </w:r>
          </w:p>
        </w:tc>
        <w:tc>
          <w:tcPr>
            <w:tcW w:type="dxa" w:w="3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3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Edition entitlement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Per-tenant feature-flag set resolved at request time from the tenant record (CTX-01), cached in Redis (Section 7)</w:t>
            </w:r>
          </w:p>
        </w:tc>
        <w:tc>
          <w:tcPr>
            <w:tcW w:type="dxa" w:w="3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canUseInventory, canUsePayroll, maxCustomRoles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Environment configuration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Environment variables + a typed config-validation layer at boot (fails fast on missing/invalid config)</w:t>
            </w:r>
          </w:p>
        </w:tc>
        <w:tc>
          <w:tcPr>
            <w:tcW w:type="dxa" w:w="3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URL, Kafka brokers, external API keys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Operational feature flags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Flag-management service (e.g. a lightweight in-house table or a vendor tool) for gradual rollout independent of edition</w:t>
            </w:r>
          </w:p>
        </w:tc>
        <w:tc>
          <w:tcPr>
            <w:tcW w:type="dxa" w:w="3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Enabling the AI Assistant (CTX-15) for a beta cohort before general release</w:t>
            </w:r>
          </w:p>
        </w:tc>
      </w:tr>
      <w:tr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Tenant-level customization config</w:t>
            </w:r>
          </w:p>
        </w:tc>
        <w:tc>
          <w:tcPr>
            <w:tcW w:type="dxa" w:w="3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Stored per-tenant in the Identity &amp; Tenant module (CTX-01), read by Automation/Customization (CTX-14)</w:t>
            </w:r>
          </w:p>
        </w:tc>
        <w:tc>
          <w:tcPr>
            <w:tcW w:type="dxa" w:w="3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 fields, custom report permissions, workflow rules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11. Multi-Tenancy Implementation Strategy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11.1 Decision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Options Considered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(a) Database-per-tenant, (b) Schema-per-tenant within a shared PostgreSQL instance, (c) Shared schema with a tenant_id column on every table plus PostgreSQL Row-Level Security (RLS)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Decision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Shared schema + tenant_id column + PostgreSQL RLS for Release 1 and Release 2, with an explicit path to isolate large/Enterprise-edition tenants into dedicated schemas or databases as a scale/compliance option in Release 3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Rationale</w:t>
            </w:r>
          </w:p>
        </w:tc>
        <w:tc>
          <w:tcPr>
            <w:tcW w:type="dxa" w:w="71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Database-per-tenant does not scale operationally to the thousands-of-tenants target (Vol. 1 Section 2.4 goal) without heavy automation investment the team does not yet have; schema-per-tenant hits connection-pool and migration-fanout limits at similar scale. Shared schema with RLS gives strong logical isolation enforced at the database layer (not just application code), keeps a single migration to run per release, and is the pattern most SaaS platforms at this scale converge on. The Release 3 escape hatch (dedicated schema/database per large tenant) preserves the option for enterprise customers with contractual data-isolation requirements without forcing that cost onto every tenant.</w:t>
            </w:r>
          </w:p>
        </w:tc>
      </w:tr>
      <w:tr>
        <w:tc>
          <w:tcPr>
            <w:tcW w:type="dxa" w:w="22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Consequences</w:t>
            </w:r>
          </w:p>
        </w:tc>
        <w:tc>
          <w:tcPr>
            <w:tcW w:type="dxa" w:w="71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table must include a non-nullable tenant_id column and an RLS policy from the very first migration (Vol. 4 to formalize); the application's database connection must set the current tenant context (e.g. via a session variable) on every request so RLS policies apply automatically - this is enforced by shared middleware, not per-query discipline.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11.2 Tenant Context Propagation</w:t>
      </w:r>
    </w:p>
    <w:p>
      <w:pPr>
        <w:spacing w:before="200" w:after="60"/>
      </w:pPr>
      <w:r>
        <w:rPr>
          <w:b/>
          <w:bCs/>
          <w:i/>
          <w:iCs/>
          <w:color w:val="2E75B6"/>
          <w:sz w:val="20"/>
          <w:szCs w:val="20"/>
        </w:rPr>
        <w:t xml:space="preserve">Request lifecycle - tenant context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sequenceDiagram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Client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GW as API Gateway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MW as Tenant Context Middleware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participant DB as PostgreSQL (RLS enabled)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Client-&gt;&gt;GW: Request with Bearer JWT (tenantId claim)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GW-&gt;&gt;MW: Validate JWT, extract tenantId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MW-&gt;&gt;DB: SET app.current_tenant_id = '...' (per-connection/session)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MW-&gt;&gt;MW: Attach tenantId to correlationId-scoped request context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MW-&gt;&gt;DB: Application query (no manual WHERE tenant_id=... needed)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DB--&gt;&gt;MW: RLS automatically filters rows to current_tenant_id</w:t>
            </w:r>
          </w:p>
          <w:p>
            <w:r>
              <w:rPr>
                <w:color w:val="333333"/>
                <w:sz w:val="18"/>
                <w:szCs w:val="18"/>
                <w:rFonts w:ascii="Consolas" w:cs="Consolas" w:eastAsia="Consolas" w:hAnsi="Consolas"/>
              </w:rPr>
              <w:t xml:space="preserve">    MW--&gt;&gt;Client: Response</w:t>
            </w:r>
          </w:p>
        </w:tc>
      </w:tr>
    </w:tbl>
    <w:p>
      <w:pPr>
        <w:spacing w:after="200"/>
      </w:pPr>
      <w:r>
        <w:rPr>
          <w:sz w:val="10"/>
          <w:szCs w:val="10"/>
        </w:rPr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12. Performance &amp; Scalability Targets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Derived from Vol. 1 Section 2.4 business goals; Volume 7 (Infrastructure) will size the deployment to meet these, and Volume 8 (Testing &amp; QA) will define the load-test suite that verifies them.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400"/>
        <w:gridCol w:w="405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0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P95 latency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300ms</w:t>
            </w:r>
          </w:p>
        </w:tc>
        <w:tc>
          <w:tcPr>
            <w:tcW w:type="dxa" w:w="4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Core CRUD operations (invoice create, bill create, journal query) under normal load</w:t>
            </w:r>
          </w:p>
        </w:tc>
      </w:tr>
      <w:tr>
        <w:tc>
          <w:tcPr>
            <w:tcW w:type="dxa" w:w="2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API P95 latency (reporting)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2s</w:t>
            </w:r>
          </w:p>
        </w:tc>
        <w:tc>
          <w:tcPr>
            <w:tcW w:type="dxa" w:w="4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Custom report generation against the OpenSearch index (Section 2.6)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Event processing lag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&lt; 5s P95</w:t>
            </w:r>
          </w:p>
        </w:tc>
        <w:tc>
          <w:tcPr>
            <w:tcW w:type="dxa" w:w="4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Time from domain event publish to downstream consumer completion (e.g. InvoiceSent to JournalPosted)</w:t>
            </w:r>
          </w:p>
        </w:tc>
      </w:tr>
      <w:tr>
        <w:tc>
          <w:tcPr>
            <w:tcW w:type="dxa" w:w="2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Concurrent tenants supported (Release 1 target)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1,000+</w:t>
            </w:r>
          </w:p>
        </w:tc>
        <w:tc>
          <w:tcPr>
            <w:tcW w:type="dxa" w:w="4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Shared-schema RLS model (Section 11), single-region deployment</w:t>
            </w:r>
          </w:p>
        </w:tc>
      </w:tr>
      <w:tr>
        <w:tc>
          <w:tcPr>
            <w:tcW w:type="dxa" w:w="29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Concurrent tenants supported (Release 3 target)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10,000+</w:t>
            </w:r>
          </w:p>
        </w:tc>
        <w:tc>
          <w:tcPr>
            <w:tcW w:type="dxa" w:w="40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 Release 3 tenant-isolation escape hatch for largest accounts (Section 11)</w:t>
            </w:r>
          </w:p>
        </w:tc>
      </w:tr>
      <w:tr>
        <w:tc>
          <w:tcPr>
            <w:tcW w:type="dxa" w:w="29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Background job processing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Recurring invoice batch for 10,000 tenants completes within a 1-hour nightly window</w:t>
            </w:r>
          </w:p>
        </w:tc>
        <w:tc>
          <w:tcPr>
            <w:tcW w:type="dxa" w:w="40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Worker pool horizontal scaling (Section 9)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3864"/>
          <w:sz w:val="32"/>
          <w:szCs w:val="32"/>
        </w:rPr>
        <w:t xml:space="preserve">13. Traceability &amp; Next Phase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13.1 Traceability to Volumes 1 and 2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rPr>
          <w:tblHeader/>
        </w:trPr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Vol. 3 Artifact</w:t>
            </w:r>
          </w:p>
        </w:tc>
        <w:tc>
          <w:tcPr>
            <w:tcW w:type="dxa" w:w="5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Traces To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3 Folder Structure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2 Section 3.2 Bounded Context Catalog (CTX-01...CTX-16)</w:t>
            </w:r>
          </w:p>
        </w:tc>
      </w:tr>
      <w:tr>
        <w:tc>
          <w:tcPr>
            <w:tcW w:type="dxa" w:w="3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4 Coding Standards CS-01/CS-02</w:t>
            </w:r>
          </w:p>
        </w:tc>
        <w:tc>
          <w:tcPr>
            <w:tcW w:type="dxa" w:w="58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2 Section 2.1 modular monolith decision, Section 7 module dependency graph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8 Event Bus Topics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2 Section 10 Domain Event Catalog</w:t>
            </w:r>
          </w:p>
        </w:tc>
      </w:tr>
      <w:tr>
        <w:tc>
          <w:tcPr>
            <w:tcW w:type="dxa" w:w="3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10 Feature Flags</w:t>
            </w:r>
          </w:p>
        </w:tc>
        <w:tc>
          <w:tcPr>
            <w:tcW w:type="dxa" w:w="58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Section 9 Editions &amp; Packaging Strategy</w:t>
            </w:r>
          </w:p>
        </w:tc>
      </w:tr>
      <w:tr>
        <w:tc>
          <w:tcPr>
            <w:tcW w:type="dxa" w:w="35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11 Multi-Tenancy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Principle P1</w:t>
            </w:r>
          </w:p>
        </w:tc>
      </w:tr>
      <w:tr>
        <w:tc>
          <w:tcPr>
            <w:tcW w:type="dxa" w:w="350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Section 12 Performance Targets</w:t>
            </w:r>
          </w:p>
        </w:tc>
        <w:tc>
          <w:tcPr>
            <w:tcW w:type="dxa" w:w="5850"/>
            <w:shd w:fill="DCE6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Vol. 1 Section 2.4 Business Goals &amp; Success Measures</w:t>
            </w:r>
          </w:p>
        </w:tc>
      </w:tr>
    </w:tbl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13.2 Open Questions for Sign-off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cloud provider preference (AWS/GCP/Azure) if one exists - this affects which managed services (Kafka, Redis, OpenSearch, object storage) Volume 7 will size and price.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whether Nx or Turborepo is preferred for the monorepo tooling, or whether the team has an existing preference/expertise to weigh 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Confirm the Release 3 tenant-isolation escape hatch (Section 11.1) is an acceptable answer to any known enterprise-customer data-residency requirements, or whether isolation needs to be available earlier.</w:t>
      </w:r>
    </w:p>
    <w:p>
      <w:pPr>
        <w:pStyle w:val="Heading2"/>
        <w:spacing w:before="300" w:after="150"/>
      </w:pPr>
      <w:r>
        <w:rPr>
          <w:b/>
          <w:bCs/>
          <w:color w:val="2E75B6"/>
          <w:sz w:val="26"/>
          <w:szCs w:val="26"/>
        </w:rPr>
        <w:t xml:space="preserve">13.3 Next Phase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approval, Phase 4 begins: Data Architecture (Volume 4) - entity-relationship diagrams, physical schema design (including the tenant_id/RLS pattern from Section 11), indexing and partitioning strategy for high-volume tables, and the migration strategy, all built on the module boundaries (Vol. 2) and stack decisions (this volume).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Enterprise Architecture Blueprint - Vol. 3: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Architecture Blueprint - Volume 3: Technical Architecture</dc:title>
  <dc:creator>Claude</dc:creator>
  <cp:lastModifiedBy>Un-named</cp:lastModifiedBy>
  <cp:revision>1</cp:revision>
  <dcterms:created xsi:type="dcterms:W3CDTF">2026-07-13T06:09:19.538Z</dcterms:created>
  <dcterms:modified xsi:type="dcterms:W3CDTF">2026-07-13T06:09:19.538Z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