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/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ENTERPRISE ARCHITECTURE BLUEPRINT</w:t>
      </w:r>
    </w:p>
    <w:p>
      <w:pPr>
        <w:spacing w:before="200" w:after="100"/>
        <w:jc w:val="center"/>
      </w:pPr>
      <w:r>
        <w:rPr>
          <w:color w:val="2E75B6"/>
          <w:sz w:val="32"/>
          <w:szCs w:val="32"/>
        </w:rPr>
        <w:t xml:space="preserve">Cloud Accounting &amp; Business Management Platform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(Codename "Ledger" - Zoho Books-class product)</w:t>
      </w:r>
    </w:p>
    <w:p>
      <w:pPr>
        <w:spacing w:before="800" w:after="100"/>
        <w:jc w:val="center"/>
      </w:pPr>
      <w:r>
        <w:rPr>
          <w:b/>
          <w:bCs/>
          <w:color w:val="1F3864"/>
          <w:sz w:val="30"/>
          <w:szCs w:val="30"/>
        </w:rPr>
        <w:t xml:space="preserve">VOLUME 5 OF 9</w:t>
      </w:r>
    </w:p>
    <w:p>
      <w:pPr>
        <w:spacing w:after="100"/>
        <w:jc w:val="center"/>
      </w:pPr>
      <w:r>
        <w:rPr>
          <w:b/>
          <w:bCs/>
          <w:color w:val="2E75B6"/>
          <w:sz w:val="40"/>
          <w:szCs w:val="40"/>
        </w:rPr>
        <w:t xml:space="preserve">INTEGRATION ARCHITECTURE</w:t>
      </w:r>
    </w:p>
    <w:p>
      <w:pPr>
        <w:spacing w:after="1200"/>
        <w:jc w:val="center"/>
      </w:pPr>
      <w:r>
        <w:rPr>
          <w:color w:val="595959"/>
          <w:sz w:val="22"/>
          <w:szCs w:val="22"/>
        </w:rPr>
        <w:t xml:space="preserve">Banking - Payments - Tax &amp; E-filing - E-commerce - Public API &amp; Webhooks</w:t>
      </w:r>
    </w:p>
    <w:p>
      <w:pPr>
        <w:spacing w:before="4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Draft - v0.1 - Phase 5 of 9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caldim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Prepared By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Claude (Enterprise Architecture Assistant)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 July 2026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Internal - Pre-Development Planning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Upstream Dependency</w:t>
            </w:r>
          </w:p>
        </w:tc>
        <w:tc>
          <w:tcPr>
            <w:tcW w:type="dxa" w:w="6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1 BC-05, BC-06, BC-11, BC-19; Vol. 2 CTX-05 Banking, CTX-06 Payments, CTX-10 Tax, CTX-16 Integration Gateway; Vol. 3 event bus &amp; anti-corruption layer pattern; Vol. 4 banking/tax schemas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Downstream Volumes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6 Security Architecture; Vol. 7 Infrastructure &amp; Deployment; Vol. 8 Testing &amp; QA; Vol. 9 UI/UX &amp; API Design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1. Introduction &amp; Scope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1.1 Purpose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volume designs the platform's integrations with the external systems identified in Vol. 1's system context (Section 4 personas, BC-05 Banking, BC-06 Online Payments, BC-11 Tax Compliance, BC-19 Integration &amp; Ecosystem) and the C4 Level 1 diagram (Vol. 2 Section 4): bank feed providers, payment gateways, tax/e-filing services, e-commerce channels, and the platform's own outbound public API and webhook surface for third-party integrators. Every integration in this volume is owned by the Integration Gateway bounded context (CTX-16) or a directly adjacent context (Banking CTX-05, Payments CTX-06, Tax CTX-10) per Vol. 2's context map, and every external call crosses through an anti-corruption layer per Vol. 2 Section 2.2.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1.2 Why Integrations Get Their Own Volume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Third-party financial integrations carry disproportionate operational risk relative to their apparent scope: they are the platform's least controllable dependency (rate limits, breaking API changes, downtime outside the platform's control), the most security-sensitive surface (credentials, tokenized payment data), and the hardest to test end-to-end before production. This volume exists to make every integration's failure mode, retry behavior, and data-ownership boundary explicit before implementation begins, rather than discovering them during an incident.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2. Integration Architecture Principles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545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5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Implication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I1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external integration sits behind an anti-corruption layer (ACL)</w:t>
            </w:r>
          </w:p>
        </w:tc>
        <w:tc>
          <w:tcPr>
            <w:tcW w:type="dxa" w:w="5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third-party API shape (field names, enums, pagination style) ever leaks past the Integration Gateway module into core domain modules (Vol. 2 Section 3.3); the ACL translates to the platform's own domain events/DTOs.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I2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Prefer webhooks over polling wherever the provider supports it</w:t>
            </w:r>
          </w:p>
        </w:tc>
        <w:tc>
          <w:tcPr>
            <w:tcW w:type="dxa" w:w="5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Reduces latency and API-quota consumption; polling is the documented fallback, not the default (Section 3, 6).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I3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inbound webhooks are verified before processing</w:t>
            </w:r>
          </w:p>
        </w:tc>
        <w:tc>
          <w:tcPr>
            <w:tcW w:type="dxa" w:w="5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Signature verification (HMAC or provider-specific scheme) is mandatory before a webhook payload touches any domain logic - unverified webhooks are rejected with 401, not silently ignored, so failures are visible in monitoring.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I4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integrations are idempotent on both inbound and outbound sides</w:t>
            </w:r>
          </w:p>
        </w:tc>
        <w:tc>
          <w:tcPr>
            <w:tcW w:type="dxa" w:w="5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Inbound: webhook processing dedupes on provider event ID. Outbound: every mutating call to a third party carries an idempotency key (Vol. 3 Section 5) so retries after a timeout cannot double-charge or double-submit.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I5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Integration failures degrade gracefully, they do not corrupt financial state</w:t>
            </w:r>
          </w:p>
        </w:tc>
        <w:tc>
          <w:tcPr>
            <w:tcW w:type="dxa" w:w="5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failed tax-calculation call blocks invoice send with a clear error rather than posting an invoice with an unknown tax amount; a failed bank-feed sync leaves reconciliation state unchanged rather than partially applying transactions.</w:t>
            </w:r>
          </w:p>
        </w:tc>
      </w:tr>
      <w:tr>
        <w:tc>
          <w:tcPr>
            <w:tcW w:type="dxa" w:w="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I6</w:t>
            </w:r>
          </w:p>
        </w:tc>
        <w:tc>
          <w:tcPr>
            <w:tcW w:type="dxa" w:w="3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Outbound event delivery uses the transactional outbox pattern</w:t>
            </w:r>
          </w:p>
        </w:tc>
        <w:tc>
          <w:tcPr>
            <w:tcW w:type="dxa" w:w="5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domain event and the database write that caused it commit in the same transaction; a separate relay process publishes to Kafka, guaranteeing no event is lost even if Kafka is briefly unavailable (Section 8).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3. Banking Integration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3.1 Provider Strategy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Direct bank-by-bank integration is not viable at MVP scale (thousands of individual bank connections). The platform integrates with a bank-data aggregator (Plaid/Yodlee/TrueLayer-class, region-dependent - see Section 11 vendor evaluation) that itself maintains the individual bank connections, exposing a single normalized API and webhook stream to the platform.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3.2 Account Linking Flow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Bank account linking (OAuth-style aggregator flow)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sequenceDiagram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participant User as Business Owner/Bookkeeper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participant Web as Web App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participant GW as Integration Gateway (CTX-16)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participant Agg as Bank Aggregator (Plaid-class)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participant Bank as User's Bank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User-&gt;&gt;Web: Click "Connect Bank Account"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Web-&gt;&gt;GW: request link token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GW-&gt;&gt;Agg: create link token (tenant-scoped)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Agg--&gt;&gt;GW: link token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GW--&gt;&gt;Web: link token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Web-&gt;&gt;Agg: open hosted link UI (redirect/iframe)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User-&gt;&gt;Bank: authenticate directly with bank (credentials never touch platform)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Bank--&gt;&gt;Agg: consent granted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Agg--&gt;&gt;Web: public token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Web-&gt;&gt;GW: exchange public token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GW-&gt;&gt;Agg: exchange for access token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Agg--&gt;&gt;GW: access token (stored encrypted, Vol.6)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GW-&gt;&gt;GW: create banking.bank_accounts record via Banking module API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User bank credentials never pass through the platform's own servers - this is a deliberate security and compliance boundary (formalized in Vol. 6) that also reduces the platform's liability surface.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3.3 Transaction Sync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 Used</w:t>
            </w:r>
          </w:p>
        </w:tc>
        <w:tc>
          <w:tcPr>
            <w:tcW w:type="dxa" w:w="3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Webhook (preferred)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Provider supports push notifications for new transactions</w:t>
            </w:r>
          </w:p>
        </w:tc>
        <w:tc>
          <w:tcPr>
            <w:tcW w:type="dxa" w:w="3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Aggregator calls the Integration Gateway's webhook endpoint on new transaction availability; Gateway then pulls the transaction batch via API and publishes BankTransactionImported (Vol.2 Section 10)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Scheduled poll (fallback)</w:t>
            </w:r>
          </w:p>
        </w:tc>
        <w:tc>
          <w:tcPr>
            <w:tcW w:type="dxa" w:w="37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Provider/bank connection does not support webhooks, or webhook delivery has failed repeatedly</w:t>
            </w:r>
          </w:p>
        </w:tc>
        <w:tc>
          <w:tcPr>
            <w:tcW w:type="dxa" w:w="3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Poll every 4 hours per Vol.3 Section 9 background job design; poll frequency is configurable per tenant edition (Enterprise tenants may get more frequent polling)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3.4 Anti-Corruption Layer Responsibilities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Normalize provider-specific transaction categories into the platform's own category taxonomy before they reach the Banking module.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Normalize currency/amount representation (some providers return minor units, others decimal) into the platform's NUMERIC(19,4) convention (Vol. 4 Section 8).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Translate provider-specific error codes into the platform's namespaced error codes (Vol. 3 Section 4.3).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Shield the rest of the platform from provider API version changes - only the ACL adapter needs to change when the provider ships a breaking API update.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4. Payment Gateway Integration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4.1 Provider Strategy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platform integrates with a small set of tokenizing payment gateways (Stripe-class for card/ACH in US/EU markets, Razorpay-class for India, expandable per Section 11) via the Payments bounded context (CTX-06), which Vol. 2 Section 2.1 already scoped as an independently-deployable service from Release 1 given its inherent dependency on volatile third-party APIs.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4.2 PCI Scope Reduction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platform never stores raw card numbers. All card capture happens via the gateway's hosted fields or client-side tokenization SDK, so card data goes directly from the customer's browser to the gateway, and the platform only ever handles an opaque payment token/method ID. This keeps the platform at PCI SAQ-A (Vol. 1 Section 10), the lowest self-assessment tier, rather than SAQ-D.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4.3 Payment Link &amp; Auto-Charge Flow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Payment link generation and webhook confirmation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sequenceDiagram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participant AR as Receivables Module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participant Pay as Payments Service (CTX-06)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participant GW as Payment Gateway (Stripe-class)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participant Cust as Customer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AR-&gt;&gt;Pay: request payment link for Invoice INV-0042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Pay-&gt;&gt;GW: create payment intent (idempotency key = invoiceId)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GW--&gt;&gt;Pay: payment intent + hosted checkout URL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Pay--&gt;&gt;AR: payment link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AR-&gt;&gt;Cust: send invoice with payment link (Vol.1 VS-01)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Cust-&gt;&gt;GW: completes payment on hosted checkout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GW--&gt;&gt;Pay: webhook: payment_intent.succeeded (signed)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Pay-&gt;&gt;Pay: verify webhook signature (Principle I3)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Pay-&gt;&gt;Pay: dedupe on gateway event ID (Principle I4)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Pay-&gt;&gt;AR: publish PaymentRecorded (via event bus, Vol.2 Section 10)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AR-&gt;&gt;AR: apply payment to invoice (Vol.2 Section 9.1 flow continues)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4.4 Recurring / Auto-Charge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recurring invoices (Vol. 1 BC-02, Vol. 3 Section 9 scheduled job), the Payments service stores a reusable payment-method token (not the platform's own credential) and initiates a server-side charge on the recurrence date, with the same idempotency-key and webhook-confirmation pattern as Section 4.3. A failed auto-charge triggers a dunning workflow (Automation module, CTX-14) rather than silent failure.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5. Tax &amp; E-Filing Integration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5.1 Build vs. Buy Decision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Options Considered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(a) Build an in-house tax rate/rules engine, (b) Integrate a specialized tax-calculation vendor (Avalara/TaxJar-class), (c) Hybrid: simple flat-rate calculation built in-house for MVP, vendor integration for multi-jurisdiction complexity in R2/R3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Hybrid: in-house single-jurisdiction flat/tiered rate calculation for MVP (Vol.1 Section 6 BC-11 MVP scope), with a pluggable tax-provider interface designed from day one so a specialized vendor can be integrated in R2/R3 without changing the Receivables/Payables call sites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Tax jurisdiction rules (especially US sales tax nexus and multi-state rates) are notoriously complex and change frequently; building this in-house beyond simple cases is a poor use of engineering effort relative to buying it from a vendor that specializes in exactly this. The pluggable interface (Section 5.2) avoids a costly rework when that vendor integration is added.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5.2 Tax Provider Interface (Pluggable)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Tax module - pluggable calculation interface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interface TaxCalculationProvider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calculateTax(input: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tenantId: string;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lineItems: LineItem[];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customerAddress: Address;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sellerAddress: Address;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transactionDate: Date;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}): Promise&lt;TaxBreakdown&gt;;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// MVP implementation: FlatRateTaxProvider (in-house, single jurisdiction)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// R2/R3 implementation: AvalaraTaxProvider (vendor-integrated, multi-jurisdiction)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// Selected per-tenant via configuration (Vol.3 Section 10 feature flag pattern)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5.3 E-Filing Integrations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4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1099-NEC/MISC e-filing (US)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R3 per Vol.1 Section 6</w:t>
            </w:r>
          </w:p>
        </w:tc>
        <w:tc>
          <w:tcPr>
            <w:tcW w:type="dxa" w:w="4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Batch export to IRS-compatible format (IRIS) or a filing intermediary (Tax1099/Yerli-class); asynchronous job, not real-time API call</w:t>
            </w:r>
          </w:p>
        </w:tc>
      </w:tr>
      <w:tr>
        <w:tc>
          <w:tcPr>
            <w:tcW w:type="dxa" w:w="2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Sales tax return filing</w:t>
            </w:r>
          </w:p>
        </w:tc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R3, jurisdiction-dependent</w:t>
            </w:r>
          </w:p>
        </w:tc>
        <w:tc>
          <w:tcPr>
            <w:tcW w:type="dxa" w:w="4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Where the tax vendor (Section 5.1) offers filing-as-a-service, delegate to it; otherwise generate a filing-ready report for manual submission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GST filing (India)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R3</w:t>
            </w:r>
          </w:p>
        </w:tc>
        <w:tc>
          <w:tcPr>
            <w:tcW w:type="dxa" w:w="4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Integration with GSTN-compatible filing API or intermediary, similar batch-export pattern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6. E-Commerce Channel Integration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6.1 Supported Channels &amp; Sync Direction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50"/>
        <w:gridCol w:w="2450"/>
        <w:gridCol w:w="275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2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Inventory Sync</w:t>
            </w:r>
          </w:p>
        </w:tc>
        <w:tc>
          <w:tcPr>
            <w:tcW w:type="dxa" w:w="2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Order Import</w:t>
            </w:r>
          </w:p>
        </w:tc>
        <w:tc>
          <w:tcPr>
            <w:tcW w:type="dxa" w:w="2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Shopify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Platform -&gt; Channel (stock levels)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Channel -&gt; Platform (new orders)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Webhook for orders; scheduled push for stock levels (batched to respect rate limits)</w:t>
            </w:r>
          </w:p>
        </w:tc>
      </w:tr>
      <w:tr>
        <w:tc>
          <w:tcPr>
            <w:tcW w:type="dxa" w:w="17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Amazon</w:t>
            </w:r>
          </w:p>
        </w:tc>
        <w:tc>
          <w:tcPr>
            <w:tcW w:type="dxa" w:w="2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Platform -&gt; Channel</w:t>
            </w:r>
          </w:p>
        </w:tc>
        <w:tc>
          <w:tcPr>
            <w:tcW w:type="dxa" w:w="2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Channel -&gt; Platform</w:t>
            </w:r>
          </w:p>
        </w:tc>
        <w:tc>
          <w:tcPr>
            <w:tcW w:type="dxa" w:w="2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Amazon SP-API; polling required for several resource types per API constraints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Walmart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Platform -&gt; Channel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Channel -&gt; Platform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Includes shipment tracking and payout/settlement reconciliation per Vol.1 research (2026 Walmart integration feature)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6.2 Order Import Flow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E-commerce order import to Sales Order/Invoice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sequenceDiagram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participant Ch as E-commerce Channel (Shopify-class)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participant GW as Integration Gateway (CTX-16)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participant INV as Inventory Module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participant AR as Receivables Module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Ch-&gt;&gt;GW: webhook: order created (signed)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GW-&gt;&gt;GW: verify signature, dedupe on channel order ID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GW-&gt;&gt;INV: check/reserve stock for order line items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INV--&gt;&gt;GW: stock confirmed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GW-&gt;&gt;AR: create Sales Order (channel = Shopify, external ref = order ID)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AR-&gt;&gt;AR: optionally auto-convert to Invoice per tenant configuration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GW-&gt;&gt;Ch: acknowledge webhook (200 OK)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Note over GW,Ch: On stock update elsewhere (Vol.2 StockAdjusted event),&lt;br/&gt;Gateway pushes updated stock levels back to Channel (rate-limited batch)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6.3 Conflict Handling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If a channel order references a SKU not found in the platform's item master, the order is imported in a Needs Review state rather than silently dropped or auto-created as a new item.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If stock is insufficient at import time, the order still imports (the sale already happened on the channel) but flags a backorder/oversell warning for the Inventory Manager (PER-06).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Channel-side price/tax figures are treated as informational; the platform recalculates tax via the Tax module (Section 5) as the authoritative figure for financial posting.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7. Public API &amp; Webhook Platform (Outbound)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the platform acting as the upstream integration provider for third-party developers and partner apps - the mirror image of Sections 3-6. It builds directly on Vol. 3 Section 5's API conventions.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7.1 Outbound Webhook Delivery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Design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Subscription model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Tenant/developer registers a webhook URL per event type (subset of Vol.2 Section 10's domain event catalog, e.g. invoice.sent, payment.recorded)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Signing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outbound webhook payload is signed with an HMAC secret unique per subscription, verifiable by the receiving third party (mirrors Principle I3 for inbound)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Delivery guarantee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At-least-once, with exponential backoff retry (up to 24 hours) and a dead-letter queue for permanently failing endpoints, surfaced in a developer-facing delivery log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Ordering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Best-effort ordering per aggregate (same partitioning as the internal event bus, Vol.3 Section 8.1); receivers must not assume strict global ordering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7.2 Public API Rate Limiting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Rate limits are enforced at the API Gateway (Vol. 2 Section 5) using the Redis-backed counters described in Vol. 3 Section 7.1, tiered by edition (Vol. 1 Section 9): Standard/Professional get a shared default quota, Enterprise tenants get a higher or dedicated quota. Limit responses follow standard 429 + Retry-After conventions.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8. Integration Resilience Patterns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8.1 Transactional Outbox Pattern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Outbox pattern - reliable event publishing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flowchart LR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A[Domain service writes entity change + outbox row in ONE DB transaction] --&gt; B[(Postgres)]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B --&gt; C[Outbox Relay Process - polls or uses logical replication/CDC]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 --&gt; D{{Kafka - Vol.3 Section 8.1 topics}}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 --&gt; E[Mark outbox row published]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guarantees that a committed domain event (e.g. InvoiceSent) is never lost even if Kafka is briefly unreachable, and that no event is published for a database write that ultimately rolled back - both failure modes that a naive "publish then write" or "write then publish" approach would allow.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8.2 Circuit Breaker for Outbound Calls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7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Closed (normal)</w:t>
            </w:r>
          </w:p>
        </w:tc>
        <w:tc>
          <w:tcPr>
            <w:tcW w:type="dxa" w:w="7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Calls to the external provider proceed normally; failures are counted in a rolling window</w:t>
            </w:r>
          </w:p>
        </w:tc>
      </w:tr>
      <w:tr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(tripped)</w:t>
            </w:r>
          </w:p>
        </w:tc>
        <w:tc>
          <w:tcPr>
            <w:tcW w:type="dxa" w:w="7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a failure-rate threshold is crossed, calls fail fast without hitting the provider, protecting both the platform (no thread/connection exhaustion) and the already-struggling provider from additional load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Half-open (probing)</w:t>
            </w:r>
          </w:p>
        </w:tc>
        <w:tc>
          <w:tcPr>
            <w:tcW w:type="dxa" w:w="7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a cooldown period, a limited number of calls are allowed through to test recovery before fully closing the circuit again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8.3 Retry Policy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00"/>
        <w:gridCol w:w="245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Retry Strategy</w:t>
            </w:r>
          </w:p>
        </w:tc>
        <w:tc>
          <w:tcPr>
            <w:tcW w:type="dxa" w:w="2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 Attempts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Outbound webhook delivery (Section 7.1)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Exponential backoff, starting at 30s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Retries for up to 24h, then dead-letter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Bank aggregator API calls (Section 3)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Exponential backoff with jitter</w:t>
            </w:r>
          </w:p>
        </w:tc>
        <w:tc>
          <w:tcPr>
            <w:tcW w:type="dxa" w:w="2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attempts, then flagged for manual review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Payment gateway calls (Section 4)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automatic retry on charge creation (to avoid double-charge risk) - relies on idempotency key + gateway's own idempotent handling instead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attempt; failure surfaces to user immediately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Internal Kafka consumer processing (Vol.3 Section 8.2)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Exponential backoff</w:t>
            </w:r>
          </w:p>
        </w:tc>
        <w:tc>
          <w:tcPr>
            <w:tcW w:type="dxa" w:w="2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attempts, then dead-letter topic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9. Integration Gateway Service Architecture (CTX-16)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Component detail for the Integration Gateway, extending Vol. 2 Section 6's C4 Level 3 diagrams to this context, which Vol. 2 Section 2.1 already scoped as an independently-deployable service.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C4 Level 3 - Integration Gateway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flowchart TB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subgraph GW[CTX-16 Integration Gateway Service]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InWebhook[Inbound Webhook Receiver - signature verification]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OutWebhook[Outbound Webhook Dispatcher - Section 7.1]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BankAdapter[Bank Aggregator Adapter - ACL, Section 3]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EcomAdapter[E-commerce Channel Adapters - ACL, Section 6]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CircuitBreaker[Circuit Breaker / Retry Layer - Section 8]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Outbox[Outbox Relay - Section 8.1]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  CredStore[Encrypted Credential Store - tokens/secrets, Vol.6]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end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InWebhook --&gt; BankAdapter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InWebhook --&gt; EcomAdapter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BankAdapter --&gt; CircuitBreaker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EcomAdapter --&gt; CircuitBreaker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CircuitBreaker --&gt; ExtAPIs[[External Provider APIs]]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BankAdapter --&gt; CredStore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EcomAdapter --&gt; CredStore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Outbox --&gt; OutWebhook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Outbox --&gt; Bus{{Internal Event Bus}}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10. Third-Party Vendor Evaluation Matrix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a starting evaluation frame, not a final vendor selection - final selection depends on target-market confirmation (Vol. 1 Section 13.2 open question on countries) and commercial negotiation outside this document's scope.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5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Candidate Vendors (region-dependent)</w:t>
            </w:r>
          </w:p>
        </w:tc>
        <w:tc>
          <w:tcPr>
            <w:tcW w:type="dxa" w:w="4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Evaluation Criteria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Bank data aggregation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Plaid, Yodlee, TrueLayer, Salt Edge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Bank coverage in target markets, webhook support, pricing per connected account, data normalization quality</w:t>
            </w:r>
          </w:p>
        </w:tc>
      </w:tr>
      <w:tr>
        <w:tc>
          <w:tcPr>
            <w:tcW w:type="dxa" w:w="1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Payment gateway</w:t>
            </w:r>
          </w:p>
        </w:tc>
        <w:tc>
          <w:tcPr>
            <w:tcW w:type="dxa" w:w="3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Stripe, Razorpay, Adyen, Braintree</w:t>
            </w:r>
          </w:p>
        </w:tc>
        <w:tc>
          <w:tcPr>
            <w:tcW w:type="dxa" w:w="4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PCI SAQ-A compatibility (Section 4.2), supported payment methods per market, payout/settlement reporting quality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Tax calculation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Avalara, TaxJar, Vertex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Jurisdiction coverage, filing-as-a-service availability (Section 5.3), API latency (blocks invoice send, Vol.1 Section 2.4 P95 target)</w:t>
            </w:r>
          </w:p>
        </w:tc>
      </w:tr>
      <w:tr>
        <w:tc>
          <w:tcPr>
            <w:tcW w:type="dxa" w:w="1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E-filing (1099/GST)</w:t>
            </w:r>
          </w:p>
        </w:tc>
        <w:tc>
          <w:tcPr>
            <w:tcW w:type="dxa" w:w="3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Tax1099, Yerli, direct IRS IRIS, GSTN-certified providers</w:t>
            </w:r>
          </w:p>
        </w:tc>
        <w:tc>
          <w:tcPr>
            <w:tcW w:type="dxa" w:w="4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Direct government API access vs. intermediary, batch vs. real-time filing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11. Traceability &amp; Next Phase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11.1 Traceability to Volumes 1-4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5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Vol. 5 Artifact</w:t>
            </w:r>
          </w:p>
        </w:tc>
        <w:tc>
          <w:tcPr>
            <w:tcW w:type="dxa" w:w="6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Traces To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3 Banking Integration</w:t>
            </w:r>
          </w:p>
        </w:tc>
        <w:tc>
          <w:tcPr>
            <w:tcW w:type="dxa" w:w="6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1 BC-05; Vol. 2 CTX-05; Vol. 4 banking.bank_transactions schema</w:t>
            </w:r>
          </w:p>
        </w:tc>
      </w:tr>
      <w:tr>
        <w:tc>
          <w:tcPr>
            <w:tcW w:type="dxa" w:w="3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4 Payment Gateway Integration</w:t>
            </w:r>
          </w:p>
        </w:tc>
        <w:tc>
          <w:tcPr>
            <w:tcW w:type="dxa" w:w="6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1 BC-06; Vol. 2 CTX-06 (scoped as independent service, Section 2.1)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5 Tax &amp; E-filing</w:t>
            </w:r>
          </w:p>
        </w:tc>
        <w:tc>
          <w:tcPr>
            <w:tcW w:type="dxa" w:w="6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1 BC-11; Vol. 2 CTX-10</w:t>
            </w:r>
          </w:p>
        </w:tc>
      </w:tr>
      <w:tr>
        <w:tc>
          <w:tcPr>
            <w:tcW w:type="dxa" w:w="3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6 E-commerce</w:t>
            </w:r>
          </w:p>
        </w:tc>
        <w:tc>
          <w:tcPr>
            <w:tcW w:type="dxa" w:w="6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1 BC-19 (Walmart integration research finding)</w:t>
            </w:r>
          </w:p>
        </w:tc>
      </w:tr>
      <w:tr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7 Public API/Webhooks</w:t>
            </w:r>
          </w:p>
        </w:tc>
        <w:tc>
          <w:tcPr>
            <w:tcW w:type="dxa" w:w="6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3 Section 5 API conventions; Vol. 2 Section 10 event catalog (outbound subset)</w:t>
            </w:r>
          </w:p>
        </w:tc>
      </w:tr>
      <w:tr>
        <w:tc>
          <w:tcPr>
            <w:tcW w:type="dxa" w:w="3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8 Resilience Patterns</w:t>
            </w:r>
          </w:p>
        </w:tc>
        <w:tc>
          <w:tcPr>
            <w:tcW w:type="dxa" w:w="6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3 Section 8.2 idempotent consumers; Vol. 1 Principle P4 (auditability - outbox guarantees no lost financial events)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11.2 Open Questions for Sign-off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target markets (Vol.1 Section 13.2 Q1) to finalize which bank aggregator and tax vendor candidates (Section 10) are actually in-region.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whether a payment gateway aggregator/orchestration layer (to support multiple gateways per region without duplicating integration work) is worth the added complexity at MVP, or whether a single gateway per initial market is acceptable.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risk tolerance for the Section 5.1 hybrid tax approach - is flat-rate MVP tax calculation acceptable to launch with, or does the first target market require multi-jurisdiction accuracy from day one?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11.3 Next Phase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approval, Phase 6 begins: Security Architecture (Volume 6) - threat model, IAM design, encryption/credential-storage standards (referenced but not detailed in this volume's Section 9 Credential Store), and compliance control mapping (SOC2/GDPR/PCI) covering both the core platform and every integration surface defined here.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Enterprise Architecture Blueprint - Vol. 5: Integration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Architecture Blueprint - Volume 5: Integration Architecture</dc:title>
  <dc:creator>Claude</dc:creator>
  <cp:lastModifiedBy>Un-named</cp:lastModifiedBy>
  <cp:revision>1</cp:revision>
  <dcterms:created xsi:type="dcterms:W3CDTF">2026-07-13T06:19:07.344Z</dcterms:created>
  <dcterms:modified xsi:type="dcterms:W3CDTF">2026-07-13T06:19:07.345Z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