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p>
    <w:p>
      <w:pPr>
        <w:jc w:val="center"/>
      </w:pPr>
      <w:r>
        <w:rPr>
          <w:b/>
          <w:bCs/>
          <w:color w:val="1F3864"/>
          <w:sz w:val="56"/>
          <w:szCs w:val="56"/>
        </w:rPr>
        <w:t xml:space="preserve">ENTERPRISE ARCHITECTURE BLUEPRINT</w:t>
      </w:r>
    </w:p>
    <w:p>
      <w:pPr>
        <w:spacing w:before="200" w:after="100"/>
        <w:jc w:val="center"/>
      </w:pPr>
      <w:r>
        <w:rPr>
          <w:color w:val="2E75B6"/>
          <w:sz w:val="32"/>
          <w:szCs w:val="32"/>
        </w:rPr>
        <w:t xml:space="preserve">Cloud Accounting &amp; Business Management Platform</w:t>
      </w:r>
    </w:p>
    <w:p>
      <w:pPr>
        <w:spacing w:after="600"/>
        <w:jc w:val="center"/>
      </w:pPr>
      <w:r>
        <w:rPr>
          <w:i/>
          <w:iCs/>
          <w:color w:val="595959"/>
          <w:sz w:val="22"/>
          <w:szCs w:val="22"/>
        </w:rPr>
        <w:t xml:space="preserve">(Codename "Ledger" - Zoho Books-class product)</w:t>
      </w:r>
    </w:p>
    <w:p>
      <w:pPr>
        <w:spacing w:before="800" w:after="100"/>
        <w:jc w:val="center"/>
      </w:pPr>
      <w:r>
        <w:rPr>
          <w:b/>
          <w:bCs/>
          <w:color w:val="1F3864"/>
          <w:sz w:val="30"/>
          <w:szCs w:val="30"/>
        </w:rPr>
        <w:t xml:space="preserve">VOLUME 8 OF 9</w:t>
      </w:r>
    </w:p>
    <w:p>
      <w:pPr>
        <w:spacing w:after="100"/>
        <w:jc w:val="center"/>
      </w:pPr>
      <w:r>
        <w:rPr>
          <w:b/>
          <w:bCs/>
          <w:color w:val="2E75B6"/>
          <w:sz w:val="40"/>
          <w:szCs w:val="40"/>
        </w:rPr>
        <w:t xml:space="preserve">TESTING &amp; QA SPECIFICATION</w:t>
      </w:r>
    </w:p>
    <w:p>
      <w:pPr>
        <w:spacing w:after="1200"/>
        <w:jc w:val="center"/>
      </w:pPr>
      <w:r>
        <w:rPr>
          <w:color w:val="595959"/>
          <w:sz w:val="22"/>
          <w:szCs w:val="22"/>
        </w:rPr>
        <w:t xml:space="preserve">Test Strategy - Security &amp; Load Testing - Multi-Tenancy Integrity - UAT - Release Gates</w:t>
      </w:r>
    </w:p>
    <w:p>
      <w:pPr>
        <w:spacing w:before="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635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000"/>
            <w:shd w:fill="FFFFFF" w:val="clear"/>
            <w:tcMar>
              <w:top w:type="dxa" w:w="70"/>
              <w:left w:type="dxa" w:w="100"/>
              <w:bottom w:type="dxa" w:w="70"/>
              <w:right w:type="dxa" w:w="100"/>
            </w:tcMar>
          </w:tcPr>
          <w:p>
            <w:r>
              <w:rPr>
                <w:sz w:val="19"/>
                <w:szCs w:val="19"/>
              </w:rPr>
              <w:t xml:space="preserve">Document Status</w:t>
            </w:r>
          </w:p>
        </w:tc>
        <w:tc>
          <w:tcPr>
            <w:tcW w:type="dxa" w:w="6350"/>
            <w:shd w:fill="FFFFFF" w:val="clear"/>
            <w:tcMar>
              <w:top w:type="dxa" w:w="70"/>
              <w:left w:type="dxa" w:w="100"/>
              <w:bottom w:type="dxa" w:w="70"/>
              <w:right w:type="dxa" w:w="100"/>
            </w:tcMar>
          </w:tcPr>
          <w:p>
            <w:r>
              <w:rPr>
                <w:sz w:val="19"/>
                <w:szCs w:val="19"/>
              </w:rPr>
              <w:t xml:space="preserve">Draft - v0.1 - Phase 8 of 9</w:t>
            </w:r>
          </w:p>
        </w:tc>
      </w:tr>
      <w:tr>
        <w:tc>
          <w:tcPr>
            <w:tcW w:type="dxa" w:w="3000"/>
            <w:shd w:fill="DCE6F1" w:val="clear"/>
            <w:tcMar>
              <w:top w:type="dxa" w:w="70"/>
              <w:left w:type="dxa" w:w="100"/>
              <w:bottom w:type="dxa" w:w="70"/>
              <w:right w:type="dxa" w:w="100"/>
            </w:tcMar>
          </w:tcPr>
          <w:p>
            <w:r>
              <w:rPr>
                <w:sz w:val="19"/>
                <w:szCs w:val="19"/>
              </w:rPr>
              <w:t xml:space="preserve">Prepared For</w:t>
            </w:r>
          </w:p>
        </w:tc>
        <w:tc>
          <w:tcPr>
            <w:tcW w:type="dxa" w:w="6350"/>
            <w:shd w:fill="DCE6F1" w:val="clear"/>
            <w:tcMar>
              <w:top w:type="dxa" w:w="70"/>
              <w:left w:type="dxa" w:w="100"/>
              <w:bottom w:type="dxa" w:w="70"/>
              <w:right w:type="dxa" w:w="100"/>
            </w:tcMar>
          </w:tcPr>
          <w:p>
            <w:r>
              <w:rPr>
                <w:sz w:val="19"/>
                <w:szCs w:val="19"/>
              </w:rPr>
              <w:t xml:space="preserve">caldim</w:t>
            </w:r>
          </w:p>
        </w:tc>
      </w:tr>
      <w:tr>
        <w:tc>
          <w:tcPr>
            <w:tcW w:type="dxa" w:w="3000"/>
            <w:shd w:fill="FFFFFF" w:val="clear"/>
            <w:tcMar>
              <w:top w:type="dxa" w:w="70"/>
              <w:left w:type="dxa" w:w="100"/>
              <w:bottom w:type="dxa" w:w="70"/>
              <w:right w:type="dxa" w:w="100"/>
            </w:tcMar>
          </w:tcPr>
          <w:p>
            <w:r>
              <w:rPr>
                <w:sz w:val="19"/>
                <w:szCs w:val="19"/>
              </w:rPr>
              <w:t xml:space="preserve">Prepared By</w:t>
            </w:r>
          </w:p>
        </w:tc>
        <w:tc>
          <w:tcPr>
            <w:tcW w:type="dxa" w:w="6350"/>
            <w:shd w:fill="FFFFFF" w:val="clear"/>
            <w:tcMar>
              <w:top w:type="dxa" w:w="70"/>
              <w:left w:type="dxa" w:w="100"/>
              <w:bottom w:type="dxa" w:w="70"/>
              <w:right w:type="dxa" w:w="100"/>
            </w:tcMar>
          </w:tcPr>
          <w:p>
            <w:r>
              <w:rPr>
                <w:sz w:val="19"/>
                <w:szCs w:val="19"/>
              </w:rPr>
              <w:t xml:space="preserve">Claude (Enterprise Architecture Assistant)</w:t>
            </w:r>
          </w:p>
        </w:tc>
      </w:tr>
      <w:tr>
        <w:tc>
          <w:tcPr>
            <w:tcW w:type="dxa" w:w="3000"/>
            <w:shd w:fill="DCE6F1" w:val="clear"/>
            <w:tcMar>
              <w:top w:type="dxa" w:w="70"/>
              <w:left w:type="dxa" w:w="100"/>
              <w:bottom w:type="dxa" w:w="70"/>
              <w:right w:type="dxa" w:w="100"/>
            </w:tcMar>
          </w:tcPr>
          <w:p>
            <w:r>
              <w:rPr>
                <w:sz w:val="19"/>
                <w:szCs w:val="19"/>
              </w:rPr>
              <w:t xml:space="preserve">Date</w:t>
            </w:r>
          </w:p>
        </w:tc>
        <w:tc>
          <w:tcPr>
            <w:tcW w:type="dxa" w:w="6350"/>
            <w:shd w:fill="DCE6F1" w:val="clear"/>
            <w:tcMar>
              <w:top w:type="dxa" w:w="70"/>
              <w:left w:type="dxa" w:w="100"/>
              <w:bottom w:type="dxa" w:w="70"/>
              <w:right w:type="dxa" w:w="100"/>
            </w:tcMar>
          </w:tcPr>
          <w:p>
            <w:r>
              <w:rPr>
                <w:sz w:val="19"/>
                <w:szCs w:val="19"/>
              </w:rPr>
              <w:t xml:space="preserve">13 July 2026</w:t>
            </w:r>
          </w:p>
        </w:tc>
      </w:tr>
      <w:tr>
        <w:tc>
          <w:tcPr>
            <w:tcW w:type="dxa" w:w="3000"/>
            <w:shd w:fill="FFFFFF" w:val="clear"/>
            <w:tcMar>
              <w:top w:type="dxa" w:w="70"/>
              <w:left w:type="dxa" w:w="100"/>
              <w:bottom w:type="dxa" w:w="70"/>
              <w:right w:type="dxa" w:w="100"/>
            </w:tcMar>
          </w:tcPr>
          <w:p>
            <w:r>
              <w:rPr>
                <w:sz w:val="19"/>
                <w:szCs w:val="19"/>
              </w:rPr>
              <w:t xml:space="preserve">Classification</w:t>
            </w:r>
          </w:p>
        </w:tc>
        <w:tc>
          <w:tcPr>
            <w:tcW w:type="dxa" w:w="6350"/>
            <w:shd w:fill="FFFFFF" w:val="clear"/>
            <w:tcMar>
              <w:top w:type="dxa" w:w="70"/>
              <w:left w:type="dxa" w:w="100"/>
              <w:bottom w:type="dxa" w:w="70"/>
              <w:right w:type="dxa" w:w="100"/>
            </w:tcMar>
          </w:tcPr>
          <w:p>
            <w:r>
              <w:rPr>
                <w:sz w:val="19"/>
                <w:szCs w:val="19"/>
              </w:rPr>
              <w:t xml:space="preserve">Internal - Pre-Development Planning</w:t>
            </w:r>
          </w:p>
        </w:tc>
      </w:tr>
      <w:tr>
        <w:tc>
          <w:tcPr>
            <w:tcW w:type="dxa" w:w="3000"/>
            <w:shd w:fill="DCE6F1" w:val="clear"/>
            <w:tcMar>
              <w:top w:type="dxa" w:w="70"/>
              <w:left w:type="dxa" w:w="100"/>
              <w:bottom w:type="dxa" w:w="70"/>
              <w:right w:type="dxa" w:w="100"/>
            </w:tcMar>
          </w:tcPr>
          <w:p>
            <w:r>
              <w:rPr>
                <w:sz w:val="19"/>
                <w:szCs w:val="19"/>
              </w:rPr>
              <w:t xml:space="preserve">Upstream Dependency</w:t>
            </w:r>
          </w:p>
        </w:tc>
        <w:tc>
          <w:tcPr>
            <w:tcW w:type="dxa" w:w="6350"/>
            <w:shd w:fill="DCE6F1" w:val="clear"/>
            <w:tcMar>
              <w:top w:type="dxa" w:w="70"/>
              <w:left w:type="dxa" w:w="100"/>
              <w:bottom w:type="dxa" w:w="70"/>
              <w:right w:type="dxa" w:w="100"/>
            </w:tcMar>
          </w:tcPr>
          <w:p>
            <w:r>
              <w:rPr>
                <w:sz w:val="19"/>
                <w:szCs w:val="19"/>
              </w:rPr>
              <w:t xml:space="preserve">Vol. 1 Value Streams &amp; Module Scope; Vol. 2 Sequence Diagrams; Vol. 3 Coding Standards &amp; Performance Targets; Vol. 4 RLS; Vol. 5 Resilience Patterns; Vol. 6 Security Test Requirements; Vol. 7 CI/CD Pipeline &amp; Environments</w:t>
            </w:r>
          </w:p>
        </w:tc>
      </w:tr>
      <w:tr>
        <w:tc>
          <w:tcPr>
            <w:tcW w:type="dxa" w:w="3000"/>
            <w:shd w:fill="FFFFFF" w:val="clear"/>
            <w:tcMar>
              <w:top w:type="dxa" w:w="70"/>
              <w:left w:type="dxa" w:w="100"/>
              <w:bottom w:type="dxa" w:w="70"/>
              <w:right w:type="dxa" w:w="100"/>
            </w:tcMar>
          </w:tcPr>
          <w:p>
            <w:r>
              <w:rPr>
                <w:sz w:val="19"/>
                <w:szCs w:val="19"/>
              </w:rPr>
              <w:t xml:space="preserve">Downstream Volumes</w:t>
            </w:r>
          </w:p>
        </w:tc>
        <w:tc>
          <w:tcPr>
            <w:tcW w:type="dxa" w:w="6350"/>
            <w:shd w:fill="FFFFFF" w:val="clear"/>
            <w:tcMar>
              <w:top w:type="dxa" w:w="70"/>
              <w:left w:type="dxa" w:w="100"/>
              <w:bottom w:type="dxa" w:w="70"/>
              <w:right w:type="dxa" w:w="100"/>
            </w:tcMar>
          </w:tcPr>
          <w:p>
            <w:r>
              <w:rPr>
                <w:sz w:val="19"/>
                <w:szCs w:val="19"/>
              </w:rPr>
              <w:t xml:space="preserve">Vol. 9 UI/UX &amp; API Design Document</w:t>
            </w:r>
          </w:p>
        </w:tc>
      </w:tr>
    </w:tbl>
    <w:p>
      <w:r>
        <w:br w:type="page"/>
      </w:r>
    </w:p>
    <w:p>
      <w:pPr>
        <w:pStyle w:val="Heading1"/>
        <w:spacing w:before="400" w:after="2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1F3864"/>
          <w:sz w:val="32"/>
          <w:szCs w:val="32"/>
        </w:rPr>
        <w:t xml:space="preserve">1. Introduction &amp; Scope</w:t>
      </w:r>
    </w:p>
    <w:p>
      <w:pPr>
        <w:pStyle w:val="Heading2"/>
        <w:spacing w:before="300" w:after="150"/>
      </w:pPr>
      <w:r>
        <w:rPr>
          <w:b/>
          <w:bCs/>
          <w:color w:val="2E75B6"/>
          <w:sz w:val="26"/>
          <w:szCs w:val="26"/>
        </w:rPr>
        <w:t xml:space="preserve">1.1 Purpose</w:t>
      </w:r>
    </w:p>
    <w:p>
      <w:pPr>
        <w:spacing w:after="160" w:line="276"/>
      </w:pPr>
      <w:r>
        <w:rPr>
          <w:b w:val="false"/>
          <w:bCs w:val="false"/>
          <w:i w:val="false"/>
          <w:iCs w:val="false"/>
          <w:color w:val="1A1A1A"/>
          <w:sz w:val="22"/>
          <w:szCs w:val="22"/>
        </w:rPr>
        <w:t xml:space="preserve">This volume defines the complete test strategy needed to ship the platform with confidence: the test pyramid and ownership model, concrete testing standards for each layer (unit, integration, contract, end-to-end), the formalized security test plan promised by Vol. 6 Section 12, performance/load testing against Vol. 3's targets, the multi-tenancy and financial-integrity test suites that protect the platform's highest-severity risks, resilience/chaos testing for Vol. 5's integration failure modes, test data management, user acceptance criteria tied to Vol. 1's module scope, and the defect/release-gate process that plugs into Vol. 7's CI/CD pipeline.</w:t>
      </w:r>
    </w:p>
    <w:p>
      <w:pPr>
        <w:pStyle w:val="Heading2"/>
        <w:spacing w:before="300" w:after="150"/>
      </w:pPr>
      <w:r>
        <w:rPr>
          <w:b/>
          <w:bCs/>
          <w:color w:val="2E75B6"/>
          <w:sz w:val="26"/>
          <w:szCs w:val="26"/>
        </w:rPr>
        <w:t xml:space="preserve">1.2 Testing Philosophy</w:t>
      </w:r>
    </w:p>
    <w:p>
      <w:pPr>
        <w:spacing w:after="160" w:line="276"/>
      </w:pPr>
      <w:r>
        <w:rPr>
          <w:b w:val="false"/>
          <w:bCs w:val="false"/>
          <w:i w:val="false"/>
          <w:iCs w:val="false"/>
          <w:color w:val="1A1A1A"/>
          <w:sz w:val="22"/>
          <w:szCs w:val="22"/>
        </w:rPr>
        <w:t xml:space="preserve">Given the modular-monolith-first decision (Vol. 2 Section 2.1) and the financial-integrity stakes (Vol. 1 Principle P4), this platform favors a test pyramid weighted toward fast, deterministic unit and integration tests, with a thin layer of end-to-end tests reserved for the value streams where cross-module correctness cannot be verified any other way (Section 6). Manual exploratory testing is retained deliberately for UI/UX judgment calls (Vol. 9) that automation cannot meaningfully assess.</w:t>
      </w:r>
    </w:p>
    <w:p>
      <w:r>
        <w:br w:type="page"/>
      </w:r>
    </w:p>
    <w:p>
      <w:pPr>
        <w:pStyle w:val="Heading1"/>
        <w:spacing w:before="400" w:after="200"/>
      </w:pPr>
      <w:r>
        <w:rPr>
          <w:b/>
          <w:bCs/>
          <w:color w:val="1F3864"/>
          <w:sz w:val="32"/>
          <w:szCs w:val="32"/>
        </w:rPr>
        <w:t xml:space="preserve">2. Test Strategy &amp; Pyramid</w:t>
      </w:r>
    </w:p>
    <w:p>
      <w:pPr>
        <w:pStyle w:val="Heading2"/>
        <w:spacing w:before="300" w:after="150"/>
      </w:pPr>
      <w:r>
        <w:rPr>
          <w:b/>
          <w:bCs/>
          <w:color w:val="2E75B6"/>
          <w:sz w:val="26"/>
          <w:szCs w:val="26"/>
        </w:rPr>
        <w:t xml:space="preserve">2.1 Pyramid Shape</w:t>
      </w:r>
    </w:p>
    <w:p>
      <w:pPr>
        <w:spacing w:before="200" w:after="60"/>
      </w:pPr>
      <w:r>
        <w:rPr>
          <w:b/>
          <w:bCs/>
          <w:i/>
          <w:iCs/>
          <w:color w:val="2E75B6"/>
          <w:sz w:val="20"/>
          <w:szCs w:val="20"/>
        </w:rPr>
        <w:t xml:space="preserve">Test pyramid (approximate proportion of total test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TB</w:t>
            </w:r>
          </w:p>
          <w:p>
            <w:r>
              <w:rPr>
                <w:color w:val="333333"/>
                <w:sz w:val="18"/>
                <w:szCs w:val="18"/>
                <w:rFonts w:ascii="Consolas" w:cs="Consolas" w:eastAsia="Consolas" w:hAnsi="Consolas"/>
              </w:rPr>
              <w:t xml:space="preserve">    E2E["E2E / UAT - ~5% - Section 6, 12"]</w:t>
            </w:r>
          </w:p>
          <w:p>
            <w:r>
              <w:rPr>
                <w:color w:val="333333"/>
                <w:sz w:val="18"/>
                <w:szCs w:val="18"/>
                <w:rFonts w:ascii="Consolas" w:cs="Consolas" w:eastAsia="Consolas" w:hAnsi="Consolas"/>
              </w:rPr>
              <w:t xml:space="preserve">    Contract["Contract Tests - ~10% - Section 5"]</w:t>
            </w:r>
          </w:p>
          <w:p>
            <w:r>
              <w:rPr>
                <w:color w:val="333333"/>
                <w:sz w:val="18"/>
                <w:szCs w:val="18"/>
                <w:rFonts w:ascii="Consolas" w:cs="Consolas" w:eastAsia="Consolas" w:hAnsi="Consolas"/>
              </w:rPr>
              <w:t xml:space="preserve">    Integration["Integration Tests - ~25% - Section 4"]</w:t>
            </w:r>
          </w:p>
          <w:p>
            <w:r>
              <w:rPr>
                <w:color w:val="333333"/>
                <w:sz w:val="18"/>
                <w:szCs w:val="18"/>
                <w:rFonts w:ascii="Consolas" w:cs="Consolas" w:eastAsia="Consolas" w:hAnsi="Consolas"/>
              </w:rPr>
              <w:t xml:space="preserve">    Unit["Unit Tests - ~60% - Section 3"]</w:t>
            </w:r>
          </w:p>
          <w:p>
            <w:r>
              <w:rPr>
                <w:color w:val="333333"/>
                <w:sz w:val="18"/>
                <w:szCs w:val="18"/>
                <w:rFonts w:ascii="Consolas" w:cs="Consolas" w:eastAsia="Consolas" w:hAnsi="Consolas"/>
              </w:rPr>
              <w:t xml:space="preserve">    E2E --- Contract --- Integration --- Unit</w:t>
            </w:r>
          </w:p>
        </w:tc>
      </w:tr>
    </w:tbl>
    <w:p>
      <w:pPr>
        <w:spacing w:after="200"/>
      </w:pPr>
      <w:r>
        <w:rPr>
          <w:sz w:val="10"/>
          <w:szCs w:val="10"/>
        </w:rPr>
      </w:r>
    </w:p>
    <w:p>
      <w:pPr>
        <w:pStyle w:val="Heading2"/>
        <w:spacing w:before="300" w:after="150"/>
      </w:pPr>
      <w:r>
        <w:rPr>
          <w:b/>
          <w:bCs/>
          <w:color w:val="2E75B6"/>
          <w:sz w:val="26"/>
          <w:szCs w:val="26"/>
        </w:rPr>
        <w:t xml:space="preserve">2.2 Ownership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5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Test Layer</w:t>
            </w:r>
          </w:p>
        </w:tc>
        <w:tc>
          <w:tcPr>
            <w:tcW w:type="dxa" w:w="4400"/>
            <w:shd w:fill="1F3864" w:val="clear"/>
            <w:tcMar>
              <w:top w:type="dxa" w:w="80"/>
              <w:left w:type="dxa" w:w="100"/>
              <w:bottom w:type="dxa" w:w="80"/>
              <w:right w:type="dxa" w:w="100"/>
            </w:tcMar>
            <w:vAlign w:val="center"/>
          </w:tcPr>
          <w:p>
            <w:r>
              <w:rPr>
                <w:b/>
                <w:bCs/>
                <w:color w:val="FFFFFF"/>
                <w:sz w:val="19"/>
                <w:szCs w:val="19"/>
              </w:rPr>
              <w:t xml:space="preserve">Owned By</w:t>
            </w:r>
          </w:p>
        </w:tc>
        <w:tc>
          <w:tcPr>
            <w:tcW w:type="dxa" w:w="2550"/>
            <w:shd w:fill="1F3864" w:val="clear"/>
            <w:tcMar>
              <w:top w:type="dxa" w:w="80"/>
              <w:left w:type="dxa" w:w="100"/>
              <w:bottom w:type="dxa" w:w="80"/>
              <w:right w:type="dxa" w:w="100"/>
            </w:tcMar>
            <w:vAlign w:val="center"/>
          </w:tcPr>
          <w:p>
            <w:r>
              <w:rPr>
                <w:b/>
                <w:bCs/>
                <w:color w:val="FFFFFF"/>
                <w:sz w:val="19"/>
                <w:szCs w:val="19"/>
              </w:rPr>
              <w:t xml:space="preserve">Runs</w:t>
            </w:r>
          </w:p>
        </w:tc>
      </w:tr>
      <w:tr>
        <w:tc>
          <w:tcPr>
            <w:tcW w:type="dxa" w:w="2400"/>
            <w:shd w:fill="FFFFFF" w:val="clear"/>
            <w:tcMar>
              <w:top w:type="dxa" w:w="70"/>
              <w:left w:type="dxa" w:w="100"/>
              <w:bottom w:type="dxa" w:w="70"/>
              <w:right w:type="dxa" w:w="100"/>
            </w:tcMar>
          </w:tcPr>
          <w:p>
            <w:r>
              <w:rPr>
                <w:sz w:val="19"/>
                <w:szCs w:val="19"/>
              </w:rPr>
              <w:t xml:space="preserve">Unit</w:t>
            </w:r>
          </w:p>
        </w:tc>
        <w:tc>
          <w:tcPr>
            <w:tcW w:type="dxa" w:w="4400"/>
            <w:shd w:fill="FFFFFF" w:val="clear"/>
            <w:tcMar>
              <w:top w:type="dxa" w:w="70"/>
              <w:left w:type="dxa" w:w="100"/>
              <w:bottom w:type="dxa" w:w="70"/>
              <w:right w:type="dxa" w:w="100"/>
            </w:tcMar>
          </w:tcPr>
          <w:p>
            <w:r>
              <w:rPr>
                <w:sz w:val="19"/>
                <w:szCs w:val="19"/>
              </w:rPr>
              <w:t xml:space="preserve">Feature engineer authoring the change, per bounded context (Vol.2 Section 3.2)</w:t>
            </w:r>
          </w:p>
        </w:tc>
        <w:tc>
          <w:tcPr>
            <w:tcW w:type="dxa" w:w="2550"/>
            <w:shd w:fill="FFFFFF" w:val="clear"/>
            <w:tcMar>
              <w:top w:type="dxa" w:w="70"/>
              <w:left w:type="dxa" w:w="100"/>
              <w:bottom w:type="dxa" w:w="70"/>
              <w:right w:type="dxa" w:w="100"/>
            </w:tcMar>
          </w:tcPr>
          <w:p>
            <w:r>
              <w:rPr>
                <w:sz w:val="19"/>
                <w:szCs w:val="19"/>
              </w:rPr>
              <w:t xml:space="preserve">Every commit, local + CI (Vol.7 Section 5.1)</w:t>
            </w:r>
          </w:p>
        </w:tc>
      </w:tr>
      <w:tr>
        <w:tc>
          <w:tcPr>
            <w:tcW w:type="dxa" w:w="2400"/>
            <w:shd w:fill="DCE6F1" w:val="clear"/>
            <w:tcMar>
              <w:top w:type="dxa" w:w="70"/>
              <w:left w:type="dxa" w:w="100"/>
              <w:bottom w:type="dxa" w:w="70"/>
              <w:right w:type="dxa" w:w="100"/>
            </w:tcMar>
          </w:tcPr>
          <w:p>
            <w:r>
              <w:rPr>
                <w:sz w:val="19"/>
                <w:szCs w:val="19"/>
              </w:rPr>
              <w:t xml:space="preserve">Integration</w:t>
            </w:r>
          </w:p>
        </w:tc>
        <w:tc>
          <w:tcPr>
            <w:tcW w:type="dxa" w:w="4400"/>
            <w:shd w:fill="DCE6F1" w:val="clear"/>
            <w:tcMar>
              <w:top w:type="dxa" w:w="70"/>
              <w:left w:type="dxa" w:w="100"/>
              <w:bottom w:type="dxa" w:w="70"/>
              <w:right w:type="dxa" w:w="100"/>
            </w:tcMar>
          </w:tcPr>
          <w:p>
            <w:r>
              <w:rPr>
                <w:sz w:val="19"/>
                <w:szCs w:val="19"/>
              </w:rPr>
              <w:t xml:space="preserve">Feature engineer + module owner</w:t>
            </w:r>
          </w:p>
        </w:tc>
        <w:tc>
          <w:tcPr>
            <w:tcW w:type="dxa" w:w="2550"/>
            <w:shd w:fill="DCE6F1" w:val="clear"/>
            <w:tcMar>
              <w:top w:type="dxa" w:w="70"/>
              <w:left w:type="dxa" w:w="100"/>
              <w:bottom w:type="dxa" w:w="70"/>
              <w:right w:type="dxa" w:w="100"/>
            </w:tcMar>
          </w:tcPr>
          <w:p>
            <w:r>
              <w:rPr>
                <w:sz w:val="19"/>
                <w:szCs w:val="19"/>
              </w:rPr>
              <w:t xml:space="preserve">Every pull request, ephemeral CI environment (Vol.7 Section 2.1)</w:t>
            </w:r>
          </w:p>
        </w:tc>
      </w:tr>
      <w:tr>
        <w:tc>
          <w:tcPr>
            <w:tcW w:type="dxa" w:w="2400"/>
            <w:shd w:fill="FFFFFF" w:val="clear"/>
            <w:tcMar>
              <w:top w:type="dxa" w:w="70"/>
              <w:left w:type="dxa" w:w="100"/>
              <w:bottom w:type="dxa" w:w="70"/>
              <w:right w:type="dxa" w:w="100"/>
            </w:tcMar>
          </w:tcPr>
          <w:p>
            <w:r>
              <w:rPr>
                <w:sz w:val="19"/>
                <w:szCs w:val="19"/>
              </w:rPr>
              <w:t xml:space="preserve">Contract</w:t>
            </w:r>
          </w:p>
        </w:tc>
        <w:tc>
          <w:tcPr>
            <w:tcW w:type="dxa" w:w="4400"/>
            <w:shd w:fill="FFFFFF" w:val="clear"/>
            <w:tcMar>
              <w:top w:type="dxa" w:w="70"/>
              <w:left w:type="dxa" w:w="100"/>
              <w:bottom w:type="dxa" w:w="70"/>
              <w:right w:type="dxa" w:w="100"/>
            </w:tcMar>
          </w:tcPr>
          <w:p>
            <w:r>
              <w:rPr>
                <w:sz w:val="19"/>
                <w:szCs w:val="19"/>
              </w:rPr>
              <w:t xml:space="preserve">API/event producer and consumer teams jointly</w:t>
            </w:r>
          </w:p>
        </w:tc>
        <w:tc>
          <w:tcPr>
            <w:tcW w:type="dxa" w:w="2550"/>
            <w:shd w:fill="FFFFFF" w:val="clear"/>
            <w:tcMar>
              <w:top w:type="dxa" w:w="70"/>
              <w:left w:type="dxa" w:w="100"/>
              <w:bottom w:type="dxa" w:w="70"/>
              <w:right w:type="dxa" w:w="100"/>
            </w:tcMar>
          </w:tcPr>
          <w:p>
            <w:r>
              <w:rPr>
                <w:sz w:val="19"/>
                <w:szCs w:val="19"/>
              </w:rPr>
              <w:t xml:space="preserve">Every pull request affecting a public contract</w:t>
            </w:r>
          </w:p>
        </w:tc>
      </w:tr>
      <w:tr>
        <w:tc>
          <w:tcPr>
            <w:tcW w:type="dxa" w:w="2400"/>
            <w:shd w:fill="DCE6F1" w:val="clear"/>
            <w:tcMar>
              <w:top w:type="dxa" w:w="70"/>
              <w:left w:type="dxa" w:w="100"/>
              <w:bottom w:type="dxa" w:w="70"/>
              <w:right w:type="dxa" w:w="100"/>
            </w:tcMar>
          </w:tcPr>
          <w:p>
            <w:r>
              <w:rPr>
                <w:sz w:val="19"/>
                <w:szCs w:val="19"/>
              </w:rPr>
              <w:t xml:space="preserve">End-to-end</w:t>
            </w:r>
          </w:p>
        </w:tc>
        <w:tc>
          <w:tcPr>
            <w:tcW w:type="dxa" w:w="4400"/>
            <w:shd w:fill="DCE6F1" w:val="clear"/>
            <w:tcMar>
              <w:top w:type="dxa" w:w="70"/>
              <w:left w:type="dxa" w:w="100"/>
              <w:bottom w:type="dxa" w:w="70"/>
              <w:right w:type="dxa" w:w="100"/>
            </w:tcMar>
          </w:tcPr>
          <w:p>
            <w:r>
              <w:rPr>
                <w:sz w:val="19"/>
                <w:szCs w:val="19"/>
              </w:rPr>
              <w:t xml:space="preserve">QA function (or rotating engineering ownership pre-dedicated-QA-hire)</w:t>
            </w:r>
          </w:p>
        </w:tc>
        <w:tc>
          <w:tcPr>
            <w:tcW w:type="dxa" w:w="2550"/>
            <w:shd w:fill="DCE6F1" w:val="clear"/>
            <w:tcMar>
              <w:top w:type="dxa" w:w="70"/>
              <w:left w:type="dxa" w:w="100"/>
              <w:bottom w:type="dxa" w:w="70"/>
              <w:right w:type="dxa" w:w="100"/>
            </w:tcMar>
          </w:tcPr>
          <w:p>
            <w:r>
              <w:rPr>
                <w:sz w:val="19"/>
                <w:szCs w:val="19"/>
              </w:rPr>
              <w:t xml:space="preserve">Every merge to main, against staging (Vol.7 Section 2.1)</w:t>
            </w:r>
          </w:p>
        </w:tc>
      </w:tr>
      <w:tr>
        <w:tc>
          <w:tcPr>
            <w:tcW w:type="dxa" w:w="2400"/>
            <w:shd w:fill="FFFFFF" w:val="clear"/>
            <w:tcMar>
              <w:top w:type="dxa" w:w="70"/>
              <w:left w:type="dxa" w:w="100"/>
              <w:bottom w:type="dxa" w:w="70"/>
              <w:right w:type="dxa" w:w="100"/>
            </w:tcMar>
          </w:tcPr>
          <w:p>
            <w:r>
              <w:rPr>
                <w:sz w:val="19"/>
                <w:szCs w:val="19"/>
              </w:rPr>
              <w:t xml:space="preserve">Security</w:t>
            </w:r>
          </w:p>
        </w:tc>
        <w:tc>
          <w:tcPr>
            <w:tcW w:type="dxa" w:w="4400"/>
            <w:shd w:fill="FFFFFF" w:val="clear"/>
            <w:tcMar>
              <w:top w:type="dxa" w:w="70"/>
              <w:left w:type="dxa" w:w="100"/>
              <w:bottom w:type="dxa" w:w="70"/>
              <w:right w:type="dxa" w:w="100"/>
            </w:tcMar>
          </w:tcPr>
          <w:p>
            <w:r>
              <w:rPr>
                <w:sz w:val="19"/>
                <w:szCs w:val="19"/>
              </w:rPr>
              <w:t xml:space="preserve">Security-conscious engineer + Vol.6-defined gates</w:t>
            </w:r>
          </w:p>
        </w:tc>
        <w:tc>
          <w:tcPr>
            <w:tcW w:type="dxa" w:w="2550"/>
            <w:shd w:fill="FFFFFF" w:val="clear"/>
            <w:tcMar>
              <w:top w:type="dxa" w:w="70"/>
              <w:left w:type="dxa" w:w="100"/>
              <w:bottom w:type="dxa" w:w="70"/>
              <w:right w:type="dxa" w:w="100"/>
            </w:tcMar>
          </w:tcPr>
          <w:p>
            <w:r>
              <w:rPr>
                <w:sz w:val="19"/>
                <w:szCs w:val="19"/>
              </w:rPr>
              <w:t xml:space="preserve">Per Vol.6 Section 12 cadence (CI build, weekly, pre-GA)</w:t>
            </w:r>
          </w:p>
        </w:tc>
      </w:tr>
      <w:tr>
        <w:tc>
          <w:tcPr>
            <w:tcW w:type="dxa" w:w="2400"/>
            <w:shd w:fill="DCE6F1" w:val="clear"/>
            <w:tcMar>
              <w:top w:type="dxa" w:w="70"/>
              <w:left w:type="dxa" w:w="100"/>
              <w:bottom w:type="dxa" w:w="70"/>
              <w:right w:type="dxa" w:w="100"/>
            </w:tcMar>
          </w:tcPr>
          <w:p>
            <w:r>
              <w:rPr>
                <w:sz w:val="19"/>
                <w:szCs w:val="19"/>
              </w:rPr>
              <w:t xml:space="preserve">Performance/load</w:t>
            </w:r>
          </w:p>
        </w:tc>
        <w:tc>
          <w:tcPr>
            <w:tcW w:type="dxa" w:w="4400"/>
            <w:shd w:fill="DCE6F1" w:val="clear"/>
            <w:tcMar>
              <w:top w:type="dxa" w:w="70"/>
              <w:left w:type="dxa" w:w="100"/>
              <w:bottom w:type="dxa" w:w="70"/>
              <w:right w:type="dxa" w:w="100"/>
            </w:tcMar>
          </w:tcPr>
          <w:p>
            <w:r>
              <w:rPr>
                <w:sz w:val="19"/>
                <w:szCs w:val="19"/>
              </w:rPr>
              <w:t xml:space="preserve">Platform/infra owner</w:t>
            </w:r>
          </w:p>
        </w:tc>
        <w:tc>
          <w:tcPr>
            <w:tcW w:type="dxa" w:w="2550"/>
            <w:shd w:fill="DCE6F1" w:val="clear"/>
            <w:tcMar>
              <w:top w:type="dxa" w:w="70"/>
              <w:left w:type="dxa" w:w="100"/>
              <w:bottom w:type="dxa" w:w="70"/>
              <w:right w:type="dxa" w:w="100"/>
            </w:tcMar>
          </w:tcPr>
          <w:p>
            <w:r>
              <w:rPr>
                <w:sz w:val="19"/>
                <w:szCs w:val="19"/>
              </w:rPr>
              <w:t xml:space="preserve">Pre-release and on-demand against staging</w:t>
            </w:r>
          </w:p>
        </w:tc>
      </w:tr>
    </w:tbl>
    <w:p>
      <w:r>
        <w:br w:type="page"/>
      </w:r>
    </w:p>
    <w:p>
      <w:pPr>
        <w:pStyle w:val="Heading1"/>
        <w:spacing w:before="400" w:after="200"/>
      </w:pPr>
      <w:r>
        <w:rPr>
          <w:b/>
          <w:bCs/>
          <w:color w:val="1F3864"/>
          <w:sz w:val="32"/>
          <w:szCs w:val="32"/>
        </w:rPr>
        <w:t xml:space="preserve">3. Unit Testing Standards</w:t>
      </w:r>
    </w:p>
    <w:p>
      <w:pPr>
        <w:pStyle w:val="Heading2"/>
        <w:spacing w:before="300" w:after="150"/>
      </w:pPr>
      <w:r>
        <w:rPr>
          <w:b/>
          <w:bCs/>
          <w:color w:val="2E75B6"/>
          <w:sz w:val="26"/>
          <w:szCs w:val="26"/>
        </w:rPr>
        <w:t xml:space="preserve">3.1 Coverage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45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Module Category</w:t>
            </w:r>
          </w:p>
        </w:tc>
        <w:tc>
          <w:tcPr>
            <w:tcW w:type="dxa" w:w="3700"/>
            <w:shd w:fill="1F3864" w:val="clear"/>
            <w:tcMar>
              <w:top w:type="dxa" w:w="80"/>
              <w:left w:type="dxa" w:w="100"/>
              <w:bottom w:type="dxa" w:w="80"/>
              <w:right w:type="dxa" w:w="100"/>
            </w:tcMar>
            <w:vAlign w:val="center"/>
          </w:tcPr>
          <w:p>
            <w:r>
              <w:rPr>
                <w:b/>
                <w:bCs/>
                <w:color w:val="FFFFFF"/>
                <w:sz w:val="19"/>
                <w:szCs w:val="19"/>
              </w:rPr>
              <w:t xml:space="preserve">Coverage Target</w:t>
            </w:r>
          </w:p>
        </w:tc>
        <w:tc>
          <w:tcPr>
            <w:tcW w:type="dxa" w:w="2450"/>
            <w:shd w:fill="1F3864" w:val="clear"/>
            <w:tcMar>
              <w:top w:type="dxa" w:w="80"/>
              <w:left w:type="dxa" w:w="100"/>
              <w:bottom w:type="dxa" w:w="80"/>
              <w:right w:type="dxa" w:w="100"/>
            </w:tcMar>
            <w:vAlign w:val="center"/>
          </w:tcPr>
          <w:p>
            <w:r>
              <w:rPr>
                <w:b/>
                <w:bCs/>
                <w:color w:val="FFFFFF"/>
                <w:sz w:val="19"/>
                <w:szCs w:val="19"/>
              </w:rPr>
              <w:t xml:space="preserve">Rationale</w:t>
            </w:r>
          </w:p>
        </w:tc>
      </w:tr>
      <w:tr>
        <w:tc>
          <w:tcPr>
            <w:tcW w:type="dxa" w:w="3200"/>
            <w:shd w:fill="FFFFFF" w:val="clear"/>
            <w:tcMar>
              <w:top w:type="dxa" w:w="70"/>
              <w:left w:type="dxa" w:w="100"/>
              <w:bottom w:type="dxa" w:w="70"/>
              <w:right w:type="dxa" w:w="100"/>
            </w:tcMar>
          </w:tcPr>
          <w:p>
            <w:r>
              <w:rPr>
                <w:sz w:val="19"/>
                <w:szCs w:val="19"/>
              </w:rPr>
              <w:t xml:space="preserve">Ledger, Receivables, Payables domain logic (CTX-02/03/04)</w:t>
            </w:r>
          </w:p>
        </w:tc>
        <w:tc>
          <w:tcPr>
            <w:tcW w:type="dxa" w:w="3700"/>
            <w:shd w:fill="FFFFFF" w:val="clear"/>
            <w:tcMar>
              <w:top w:type="dxa" w:w="70"/>
              <w:left w:type="dxa" w:w="100"/>
              <w:bottom w:type="dxa" w:w="70"/>
              <w:right w:type="dxa" w:w="100"/>
            </w:tcMar>
          </w:tcPr>
          <w:p>
            <w:r>
              <w:rPr>
                <w:sz w:val="19"/>
                <w:szCs w:val="19"/>
              </w:rPr>
              <w:t xml:space="preserve">90%+ line coverage on domain services; 100% on the posting/state-machine logic (Vol.2 Section 8.1 invoice lifecycle, double-entry validation)</w:t>
            </w:r>
          </w:p>
        </w:tc>
        <w:tc>
          <w:tcPr>
            <w:tcW w:type="dxa" w:w="2450"/>
            <w:shd w:fill="FFFFFF" w:val="clear"/>
            <w:tcMar>
              <w:top w:type="dxa" w:w="70"/>
              <w:left w:type="dxa" w:w="100"/>
              <w:bottom w:type="dxa" w:w="70"/>
              <w:right w:type="dxa" w:w="100"/>
            </w:tcMar>
          </w:tcPr>
          <w:p>
            <w:r>
              <w:rPr>
                <w:sz w:val="19"/>
                <w:szCs w:val="19"/>
              </w:rPr>
              <w:t xml:space="preserve">Highest financial-correctness risk (Vol.1 Principle P4)</w:t>
            </w:r>
          </w:p>
        </w:tc>
      </w:tr>
      <w:tr>
        <w:tc>
          <w:tcPr>
            <w:tcW w:type="dxa" w:w="3200"/>
            <w:shd w:fill="DCE6F1" w:val="clear"/>
            <w:tcMar>
              <w:top w:type="dxa" w:w="70"/>
              <w:left w:type="dxa" w:w="100"/>
              <w:bottom w:type="dxa" w:w="70"/>
              <w:right w:type="dxa" w:w="100"/>
            </w:tcMar>
          </w:tcPr>
          <w:p>
            <w:r>
              <w:rPr>
                <w:sz w:val="19"/>
                <w:szCs w:val="19"/>
              </w:rPr>
              <w:t xml:space="preserve">Other core modules (Inventory, Banking, Tax, Projects)</w:t>
            </w:r>
          </w:p>
        </w:tc>
        <w:tc>
          <w:tcPr>
            <w:tcW w:type="dxa" w:w="3700"/>
            <w:shd w:fill="DCE6F1" w:val="clear"/>
            <w:tcMar>
              <w:top w:type="dxa" w:w="70"/>
              <w:left w:type="dxa" w:w="100"/>
              <w:bottom w:type="dxa" w:w="70"/>
              <w:right w:type="dxa" w:w="100"/>
            </w:tcMar>
          </w:tcPr>
          <w:p>
            <w:r>
              <w:rPr>
                <w:sz w:val="19"/>
                <w:szCs w:val="19"/>
              </w:rPr>
              <w:t xml:space="preserve">80%+</w:t>
            </w:r>
          </w:p>
        </w:tc>
        <w:tc>
          <w:tcPr>
            <w:tcW w:type="dxa" w:w="2450"/>
            <w:shd w:fill="DCE6F1" w:val="clear"/>
            <w:tcMar>
              <w:top w:type="dxa" w:w="70"/>
              <w:left w:type="dxa" w:w="100"/>
              <w:bottom w:type="dxa" w:w="70"/>
              <w:right w:type="dxa" w:w="100"/>
            </w:tcMar>
          </w:tcPr>
          <w:p>
            <w:r>
              <w:rPr>
                <w:sz w:val="19"/>
                <w:szCs w:val="19"/>
              </w:rPr>
              <w:t xml:space="preserve">High business value, lower correctness risk than the ledger itself</w:t>
            </w:r>
          </w:p>
        </w:tc>
      </w:tr>
      <w:tr>
        <w:tc>
          <w:tcPr>
            <w:tcW w:type="dxa" w:w="3200"/>
            <w:shd w:fill="FFFFFF" w:val="clear"/>
            <w:tcMar>
              <w:top w:type="dxa" w:w="70"/>
              <w:left w:type="dxa" w:w="100"/>
              <w:bottom w:type="dxa" w:w="70"/>
              <w:right w:type="dxa" w:w="100"/>
            </w:tcMar>
          </w:tcPr>
          <w:p>
            <w:r>
              <w:rPr>
                <w:sz w:val="19"/>
                <w:szCs w:val="19"/>
              </w:rPr>
              <w:t xml:space="preserve">Supporting/generic modules (Documents, Collaboration, Automation)</w:t>
            </w:r>
          </w:p>
        </w:tc>
        <w:tc>
          <w:tcPr>
            <w:tcW w:type="dxa" w:w="3700"/>
            <w:shd w:fill="FFFFFF" w:val="clear"/>
            <w:tcMar>
              <w:top w:type="dxa" w:w="70"/>
              <w:left w:type="dxa" w:w="100"/>
              <w:bottom w:type="dxa" w:w="70"/>
              <w:right w:type="dxa" w:w="100"/>
            </w:tcMar>
          </w:tcPr>
          <w:p>
            <w:r>
              <w:rPr>
                <w:sz w:val="19"/>
                <w:szCs w:val="19"/>
              </w:rPr>
              <w:t xml:space="preserve">70%+</w:t>
            </w:r>
          </w:p>
        </w:tc>
        <w:tc>
          <w:tcPr>
            <w:tcW w:type="dxa" w:w="2450"/>
            <w:shd w:fill="FFFFFF" w:val="clear"/>
            <w:tcMar>
              <w:top w:type="dxa" w:w="70"/>
              <w:left w:type="dxa" w:w="100"/>
              <w:bottom w:type="dxa" w:w="70"/>
              <w:right w:type="dxa" w:w="100"/>
            </w:tcMar>
          </w:tcPr>
          <w:p>
            <w:r>
              <w:rPr>
                <w:sz w:val="19"/>
                <w:szCs w:val="19"/>
              </w:rPr>
              <w:t xml:space="preserve">Lower risk; over-testing here has diminishing returns</w:t>
            </w:r>
          </w:p>
        </w:tc>
      </w:tr>
      <w:tr>
        <w:tc>
          <w:tcPr>
            <w:tcW w:type="dxa" w:w="3200"/>
            <w:shd w:fill="DCE6F1" w:val="clear"/>
            <w:tcMar>
              <w:top w:type="dxa" w:w="70"/>
              <w:left w:type="dxa" w:w="100"/>
              <w:bottom w:type="dxa" w:w="70"/>
              <w:right w:type="dxa" w:w="100"/>
            </w:tcMar>
          </w:tcPr>
          <w:p>
            <w:r>
              <w:rPr>
                <w:sz w:val="19"/>
                <w:szCs w:val="19"/>
              </w:rPr>
              <w:t xml:space="preserve">Cross-cutting infrastructure (caching, logging utilities, Vol.3 Section 6-7)</w:t>
            </w:r>
          </w:p>
        </w:tc>
        <w:tc>
          <w:tcPr>
            <w:tcW w:type="dxa" w:w="3700"/>
            <w:shd w:fill="DCE6F1" w:val="clear"/>
            <w:tcMar>
              <w:top w:type="dxa" w:w="70"/>
              <w:left w:type="dxa" w:w="100"/>
              <w:bottom w:type="dxa" w:w="70"/>
              <w:right w:type="dxa" w:w="100"/>
            </w:tcMar>
          </w:tcPr>
          <w:p>
            <w:r>
              <w:rPr>
                <w:sz w:val="19"/>
                <w:szCs w:val="19"/>
              </w:rPr>
              <w:t xml:space="preserve">80%+, with explicit tests for the tenant-key-prefix enforcement (Vol.3 Section 7.2)</w:t>
            </w:r>
          </w:p>
        </w:tc>
        <w:tc>
          <w:tcPr>
            <w:tcW w:type="dxa" w:w="2450"/>
            <w:shd w:fill="DCE6F1" w:val="clear"/>
            <w:tcMar>
              <w:top w:type="dxa" w:w="70"/>
              <w:left w:type="dxa" w:w="100"/>
              <w:bottom w:type="dxa" w:w="70"/>
              <w:right w:type="dxa" w:w="100"/>
            </w:tcMar>
          </w:tcPr>
          <w:p>
            <w:r>
              <w:rPr>
                <w:sz w:val="19"/>
                <w:szCs w:val="19"/>
              </w:rPr>
              <w:t xml:space="preserve">A bug here risks the cross-tenant leakage failure mode (Vol.6 Section 2.2)</w:t>
            </w:r>
          </w:p>
        </w:tc>
      </w:tr>
    </w:tbl>
    <w:p>
      <w:pPr>
        <w:pStyle w:val="Heading2"/>
        <w:spacing w:before="300" w:after="150"/>
      </w:pPr>
      <w:r>
        <w:rPr>
          <w:b/>
          <w:bCs/>
          <w:color w:val="2E75B6"/>
          <w:sz w:val="26"/>
          <w:szCs w:val="26"/>
        </w:rPr>
        <w:t xml:space="preserve">3.2 What Must Be Unit Tested</w:t>
      </w:r>
    </w:p>
    <w:p>
      <w:pPr>
        <w:pStyle w:val="ListParagraph"/>
        <w:numPr>
          <w:ilvl w:val="0"/>
          <w:numId w:val="1"/>
        </w:numPr>
        <w:spacing w:after="80"/>
      </w:pPr>
      <w:r>
        <w:rPr>
          <w:sz w:val="22"/>
          <w:szCs w:val="22"/>
        </w:rPr>
        <w:t xml:space="preserve">Every CS-03 Money-type arithmetic path (Vol.3 Section 4.2) - explicit tests for rounding, currency mismatches, and negative-amount rejection.</w:t>
      </w:r>
    </w:p>
    <w:p>
      <w:pPr>
        <w:pStyle w:val="ListParagraph"/>
        <w:numPr>
          <w:ilvl w:val="0"/>
          <w:numId w:val="1"/>
        </w:numPr>
        <w:spacing w:after="80"/>
      </w:pPr>
      <w:r>
        <w:rPr>
          <w:sz w:val="22"/>
          <w:szCs w:val="22"/>
        </w:rPr>
        <w:t xml:space="preserve">Every state transition in a domain state machine (e.g. Vol.2 Section 8.1 invoice lifecycle) - both valid and invalid transition attempts.</w:t>
      </w:r>
    </w:p>
    <w:p>
      <w:pPr>
        <w:pStyle w:val="ListParagraph"/>
        <w:numPr>
          <w:ilvl w:val="0"/>
          <w:numId w:val="1"/>
        </w:numPr>
        <w:spacing w:after="80"/>
      </w:pPr>
      <w:r>
        <w:rPr>
          <w:sz w:val="22"/>
          <w:szCs w:val="22"/>
        </w:rPr>
        <w:t xml:space="preserve">Every validation rule that produces a namespaced error code (Vol.3 Section 4.3) - one test per error code, asserting the exact code is returned.</w:t>
      </w:r>
    </w:p>
    <w:p>
      <w:pPr>
        <w:pStyle w:val="ListParagraph"/>
        <w:numPr>
          <w:ilvl w:val="0"/>
          <w:numId w:val="1"/>
        </w:numPr>
        <w:spacing w:after="80"/>
      </w:pPr>
      <w:r>
        <w:rPr>
          <w:sz w:val="22"/>
          <w:szCs w:val="22"/>
        </w:rPr>
        <w:t xml:space="preserve">Every branch of a business rule with a Vol.1 BC-xx-numbered acceptance criterion (Section 12 traces these).</w:t>
      </w:r>
    </w:p>
    <w:p>
      <w:r>
        <w:br w:type="page"/>
      </w:r>
    </w:p>
    <w:p>
      <w:pPr>
        <w:pStyle w:val="Heading1"/>
        <w:spacing w:before="400" w:after="200"/>
      </w:pPr>
      <w:r>
        <w:rPr>
          <w:b/>
          <w:bCs/>
          <w:color w:val="1F3864"/>
          <w:sz w:val="32"/>
          <w:szCs w:val="32"/>
        </w:rPr>
        <w:t xml:space="preserve">4. Integration Testing</w:t>
      </w:r>
    </w:p>
    <w:p>
      <w:pPr>
        <w:pStyle w:val="Heading2"/>
        <w:spacing w:before="300" w:after="150"/>
      </w:pPr>
      <w:r>
        <w:rPr>
          <w:b/>
          <w:bCs/>
          <w:color w:val="2E75B6"/>
          <w:sz w:val="26"/>
          <w:szCs w:val="26"/>
        </w:rPr>
        <w:t xml:space="preserve">4.1 Scope</w:t>
      </w:r>
    </w:p>
    <w:p>
      <w:pPr>
        <w:spacing w:after="160" w:line="276"/>
      </w:pPr>
      <w:r>
        <w:rPr>
          <w:b w:val="false"/>
          <w:bCs w:val="false"/>
          <w:i w:val="false"/>
          <w:iCs w:val="false"/>
          <w:color w:val="1A1A1A"/>
          <w:sz w:val="22"/>
          <w:szCs w:val="22"/>
        </w:rPr>
        <w:t xml:space="preserve">Integration tests verify a module's interaction with its own database schema (Vol.4), its published/consumed domain events (Vol.2 Section 10), and its calls into other modules' public APIs (Vol.2 Section 11) - run against the ephemeral CI environment (Vol.7 Section 2.1) with real PostgreSQL, Kafka, and Redis instances (via containers), not mocks, since the highest-value bugs in this platform live at exactly these boundaries.</w:t>
      </w:r>
    </w:p>
    <w:p>
      <w:pPr>
        <w:pStyle w:val="Heading2"/>
        <w:spacing w:before="300" w:after="150"/>
      </w:pPr>
      <w:r>
        <w:rPr>
          <w:b/>
          <w:bCs/>
          <w:color w:val="2E75B6"/>
          <w:sz w:val="26"/>
          <w:szCs w:val="26"/>
        </w:rPr>
        <w:t xml:space="preserve">4.2 Required Integration Test Scenarios (representative)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5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Scenario</w:t>
            </w:r>
          </w:p>
        </w:tc>
        <w:tc>
          <w:tcPr>
            <w:tcW w:type="dxa" w:w="3800"/>
            <w:shd w:fill="1F3864" w:val="clear"/>
            <w:tcMar>
              <w:top w:type="dxa" w:w="80"/>
              <w:left w:type="dxa" w:w="100"/>
              <w:bottom w:type="dxa" w:w="80"/>
              <w:right w:type="dxa" w:w="100"/>
            </w:tcMar>
            <w:vAlign w:val="center"/>
          </w:tcPr>
          <w:p>
            <w:r>
              <w:rPr>
                <w:b/>
                <w:bCs/>
                <w:color w:val="FFFFFF"/>
                <w:sz w:val="19"/>
                <w:szCs w:val="19"/>
              </w:rPr>
              <w:t xml:space="preserve">Verifies</w:t>
            </w:r>
          </w:p>
        </w:tc>
        <w:tc>
          <w:tcPr>
            <w:tcW w:type="dxa" w:w="2550"/>
            <w:shd w:fill="1F3864" w:val="clear"/>
            <w:tcMar>
              <w:top w:type="dxa" w:w="80"/>
              <w:left w:type="dxa" w:w="100"/>
              <w:bottom w:type="dxa" w:w="80"/>
              <w:right w:type="dxa" w:w="100"/>
            </w:tcMar>
            <w:vAlign w:val="center"/>
          </w:tcPr>
          <w:p>
            <w:r>
              <w:rPr>
                <w:b/>
                <w:bCs/>
                <w:color w:val="FFFFFF"/>
                <w:sz w:val="19"/>
                <w:szCs w:val="19"/>
              </w:rPr>
              <w:t xml:space="preserve">Traces To</w:t>
            </w:r>
          </w:p>
        </w:tc>
      </w:tr>
      <w:tr>
        <w:tc>
          <w:tcPr>
            <w:tcW w:type="dxa" w:w="3000"/>
            <w:shd w:fill="FFFFFF" w:val="clear"/>
            <w:tcMar>
              <w:top w:type="dxa" w:w="70"/>
              <w:left w:type="dxa" w:w="100"/>
              <w:bottom w:type="dxa" w:w="70"/>
              <w:right w:type="dxa" w:w="100"/>
            </w:tcMar>
          </w:tcPr>
          <w:p>
            <w:r>
              <w:rPr>
                <w:sz w:val="19"/>
                <w:szCs w:val="19"/>
              </w:rPr>
              <w:t xml:space="preserve">Invoice sent triggers correct journal posting</w:t>
            </w:r>
          </w:p>
        </w:tc>
        <w:tc>
          <w:tcPr>
            <w:tcW w:type="dxa" w:w="3800"/>
            <w:shd w:fill="FFFFFF" w:val="clear"/>
            <w:tcMar>
              <w:top w:type="dxa" w:w="70"/>
              <w:left w:type="dxa" w:w="100"/>
              <w:bottom w:type="dxa" w:w="70"/>
              <w:right w:type="dxa" w:w="100"/>
            </w:tcMar>
          </w:tcPr>
          <w:p>
            <w:r>
              <w:rPr>
                <w:sz w:val="19"/>
                <w:szCs w:val="19"/>
              </w:rPr>
              <w:t xml:space="preserve">Receivables -&gt; Ledger event flow produces the expected debit/credit pair</w:t>
            </w:r>
          </w:p>
        </w:tc>
        <w:tc>
          <w:tcPr>
            <w:tcW w:type="dxa" w:w="2550"/>
            <w:shd w:fill="FFFFFF" w:val="clear"/>
            <w:tcMar>
              <w:top w:type="dxa" w:w="70"/>
              <w:left w:type="dxa" w:w="100"/>
              <w:bottom w:type="dxa" w:w="70"/>
              <w:right w:type="dxa" w:w="100"/>
            </w:tcMar>
          </w:tcPr>
          <w:p>
            <w:r>
              <w:rPr>
                <w:sz w:val="19"/>
                <w:szCs w:val="19"/>
              </w:rPr>
              <w:t xml:space="preserve">Vol.2 Section 9.1 sequence diagram</w:t>
            </w:r>
          </w:p>
        </w:tc>
      </w:tr>
      <w:tr>
        <w:tc>
          <w:tcPr>
            <w:tcW w:type="dxa" w:w="3000"/>
            <w:shd w:fill="DCE6F1" w:val="clear"/>
            <w:tcMar>
              <w:top w:type="dxa" w:w="70"/>
              <w:left w:type="dxa" w:w="100"/>
              <w:bottom w:type="dxa" w:w="70"/>
              <w:right w:type="dxa" w:w="100"/>
            </w:tcMar>
          </w:tcPr>
          <w:p>
            <w:r>
              <w:rPr>
                <w:sz w:val="19"/>
                <w:szCs w:val="19"/>
              </w:rPr>
              <w:t xml:space="preserve">Payment received matches and updates invoice balance</w:t>
            </w:r>
          </w:p>
        </w:tc>
        <w:tc>
          <w:tcPr>
            <w:tcW w:type="dxa" w:w="3800"/>
            <w:shd w:fill="DCE6F1" w:val="clear"/>
            <w:tcMar>
              <w:top w:type="dxa" w:w="70"/>
              <w:left w:type="dxa" w:w="100"/>
              <w:bottom w:type="dxa" w:w="70"/>
              <w:right w:type="dxa" w:w="100"/>
            </w:tcMar>
          </w:tcPr>
          <w:p>
            <w:r>
              <w:rPr>
                <w:sz w:val="19"/>
                <w:szCs w:val="19"/>
              </w:rPr>
              <w:t xml:space="preserve">Receivables + Banking reconciliation flow</w:t>
            </w:r>
          </w:p>
        </w:tc>
        <w:tc>
          <w:tcPr>
            <w:tcW w:type="dxa" w:w="2550"/>
            <w:shd w:fill="DCE6F1" w:val="clear"/>
            <w:tcMar>
              <w:top w:type="dxa" w:w="70"/>
              <w:left w:type="dxa" w:w="100"/>
              <w:bottom w:type="dxa" w:w="70"/>
              <w:right w:type="dxa" w:w="100"/>
            </w:tcMar>
          </w:tcPr>
          <w:p>
            <w:r>
              <w:rPr>
                <w:sz w:val="19"/>
                <w:szCs w:val="19"/>
              </w:rPr>
              <w:t xml:space="preserve">Vol.2 Section 9.2</w:t>
            </w:r>
          </w:p>
        </w:tc>
      </w:tr>
      <w:tr>
        <w:tc>
          <w:tcPr>
            <w:tcW w:type="dxa" w:w="3000"/>
            <w:shd w:fill="FFFFFF" w:val="clear"/>
            <w:tcMar>
              <w:top w:type="dxa" w:w="70"/>
              <w:left w:type="dxa" w:w="100"/>
              <w:bottom w:type="dxa" w:w="70"/>
              <w:right w:type="dxa" w:w="100"/>
            </w:tcMar>
          </w:tcPr>
          <w:p>
            <w:r>
              <w:rPr>
                <w:sz w:val="19"/>
                <w:szCs w:val="19"/>
              </w:rPr>
              <w:t xml:space="preserve">3-way match approves or flags a bill correctly</w:t>
            </w:r>
          </w:p>
        </w:tc>
        <w:tc>
          <w:tcPr>
            <w:tcW w:type="dxa" w:w="3800"/>
            <w:shd w:fill="FFFFFF" w:val="clear"/>
            <w:tcMar>
              <w:top w:type="dxa" w:w="70"/>
              <w:left w:type="dxa" w:w="100"/>
              <w:bottom w:type="dxa" w:w="70"/>
              <w:right w:type="dxa" w:w="100"/>
            </w:tcMar>
          </w:tcPr>
          <w:p>
            <w:r>
              <w:rPr>
                <w:sz w:val="19"/>
                <w:szCs w:val="19"/>
              </w:rPr>
              <w:t xml:space="preserve">Payables + Inventory event choreography</w:t>
            </w:r>
          </w:p>
        </w:tc>
        <w:tc>
          <w:tcPr>
            <w:tcW w:type="dxa" w:w="2550"/>
            <w:shd w:fill="FFFFFF" w:val="clear"/>
            <w:tcMar>
              <w:top w:type="dxa" w:w="70"/>
              <w:left w:type="dxa" w:w="100"/>
              <w:bottom w:type="dxa" w:w="70"/>
              <w:right w:type="dxa" w:w="100"/>
            </w:tcMar>
          </w:tcPr>
          <w:p>
            <w:r>
              <w:rPr>
                <w:sz w:val="19"/>
                <w:szCs w:val="19"/>
              </w:rPr>
              <w:t xml:space="preserve">Vol.2 Section 9.3</w:t>
            </w:r>
          </w:p>
        </w:tc>
      </w:tr>
      <w:tr>
        <w:tc>
          <w:tcPr>
            <w:tcW w:type="dxa" w:w="3000"/>
            <w:shd w:fill="DCE6F1" w:val="clear"/>
            <w:tcMar>
              <w:top w:type="dxa" w:w="70"/>
              <w:left w:type="dxa" w:w="100"/>
              <w:bottom w:type="dxa" w:w="70"/>
              <w:right w:type="dxa" w:w="100"/>
            </w:tcMar>
          </w:tcPr>
          <w:p>
            <w:r>
              <w:rPr>
                <w:sz w:val="19"/>
                <w:szCs w:val="19"/>
              </w:rPr>
              <w:t xml:space="preserve">RLS blocks cross-tenant read/write at the repository layer</w:t>
            </w:r>
          </w:p>
        </w:tc>
        <w:tc>
          <w:tcPr>
            <w:tcW w:type="dxa" w:w="3800"/>
            <w:shd w:fill="DCE6F1" w:val="clear"/>
            <w:tcMar>
              <w:top w:type="dxa" w:w="70"/>
              <w:left w:type="dxa" w:w="100"/>
              <w:bottom w:type="dxa" w:w="70"/>
              <w:right w:type="dxa" w:w="100"/>
            </w:tcMar>
          </w:tcPr>
          <w:p>
            <w:r>
              <w:rPr>
                <w:sz w:val="19"/>
                <w:szCs w:val="19"/>
              </w:rPr>
              <w:t xml:space="preserve">Data-layer tenant isolation (layer 1 of Vol.6 Section 8 defense-in-depth)</w:t>
            </w:r>
          </w:p>
        </w:tc>
        <w:tc>
          <w:tcPr>
            <w:tcW w:type="dxa" w:w="2550"/>
            <w:shd w:fill="DCE6F1" w:val="clear"/>
            <w:tcMar>
              <w:top w:type="dxa" w:w="70"/>
              <w:left w:type="dxa" w:w="100"/>
              <w:bottom w:type="dxa" w:w="70"/>
              <w:right w:type="dxa" w:w="100"/>
            </w:tcMar>
          </w:tcPr>
          <w:p>
            <w:r>
              <w:rPr>
                <w:sz w:val="19"/>
                <w:szCs w:val="19"/>
              </w:rPr>
              <w:t xml:space="preserve">Vol.4 Section 7</w:t>
            </w:r>
          </w:p>
        </w:tc>
      </w:tr>
      <w:tr>
        <w:tc>
          <w:tcPr>
            <w:tcW w:type="dxa" w:w="3000"/>
            <w:shd w:fill="FFFFFF" w:val="clear"/>
            <w:tcMar>
              <w:top w:type="dxa" w:w="70"/>
              <w:left w:type="dxa" w:w="100"/>
              <w:bottom w:type="dxa" w:w="70"/>
              <w:right w:type="dxa" w:w="100"/>
            </w:tcMar>
          </w:tcPr>
          <w:p>
            <w:r>
              <w:rPr>
                <w:sz w:val="19"/>
                <w:szCs w:val="19"/>
              </w:rPr>
              <w:t xml:space="preserve">Idempotency key prevents duplicate financial mutation on retry</w:t>
            </w:r>
          </w:p>
        </w:tc>
        <w:tc>
          <w:tcPr>
            <w:tcW w:type="dxa" w:w="3800"/>
            <w:shd w:fill="FFFFFF" w:val="clear"/>
            <w:tcMar>
              <w:top w:type="dxa" w:w="70"/>
              <w:left w:type="dxa" w:w="100"/>
              <w:bottom w:type="dxa" w:w="70"/>
              <w:right w:type="dxa" w:w="100"/>
            </w:tcMar>
          </w:tcPr>
          <w:p>
            <w:r>
              <w:rPr>
                <w:sz w:val="19"/>
                <w:szCs w:val="19"/>
              </w:rPr>
              <w:t xml:space="preserve">Vol.3 Section 5 API convention + Vol.5 Principle I4</w:t>
            </w:r>
          </w:p>
        </w:tc>
        <w:tc>
          <w:tcPr>
            <w:tcW w:type="dxa" w:w="2550"/>
            <w:shd w:fill="FFFFFF" w:val="clear"/>
            <w:tcMar>
              <w:top w:type="dxa" w:w="70"/>
              <w:left w:type="dxa" w:w="100"/>
              <w:bottom w:type="dxa" w:w="70"/>
              <w:right w:type="dxa" w:w="100"/>
            </w:tcMar>
          </w:tcPr>
          <w:p>
            <w:r>
              <w:rPr>
                <w:sz w:val="19"/>
                <w:szCs w:val="19"/>
              </w:rPr>
              <w:t xml:space="preserve">Vol.3 Section 5, Vol.5 Section 2</w:t>
            </w:r>
          </w:p>
        </w:tc>
      </w:tr>
      <w:tr>
        <w:tc>
          <w:tcPr>
            <w:tcW w:type="dxa" w:w="3000"/>
            <w:shd w:fill="DCE6F1" w:val="clear"/>
            <w:tcMar>
              <w:top w:type="dxa" w:w="70"/>
              <w:left w:type="dxa" w:w="100"/>
              <w:bottom w:type="dxa" w:w="70"/>
              <w:right w:type="dxa" w:w="100"/>
            </w:tcMar>
          </w:tcPr>
          <w:p>
            <w:r>
              <w:rPr>
                <w:sz w:val="19"/>
                <w:szCs w:val="19"/>
              </w:rPr>
              <w:t xml:space="preserve">Outbox relay publishes an event exactly once per committed transaction, even after a simulated relay crash</w:t>
            </w:r>
          </w:p>
        </w:tc>
        <w:tc>
          <w:tcPr>
            <w:tcW w:type="dxa" w:w="3800"/>
            <w:shd w:fill="DCE6F1" w:val="clear"/>
            <w:tcMar>
              <w:top w:type="dxa" w:w="70"/>
              <w:left w:type="dxa" w:w="100"/>
              <w:bottom w:type="dxa" w:w="70"/>
              <w:right w:type="dxa" w:w="100"/>
            </w:tcMar>
          </w:tcPr>
          <w:p>
            <w:r>
              <w:rPr>
                <w:sz w:val="19"/>
                <w:szCs w:val="19"/>
              </w:rPr>
              <w:t xml:space="preserve">Vol.5 Section 8.1 outbox pattern reliability</w:t>
            </w:r>
          </w:p>
        </w:tc>
        <w:tc>
          <w:tcPr>
            <w:tcW w:type="dxa" w:w="2550"/>
            <w:shd w:fill="DCE6F1" w:val="clear"/>
            <w:tcMar>
              <w:top w:type="dxa" w:w="70"/>
              <w:left w:type="dxa" w:w="100"/>
              <w:bottom w:type="dxa" w:w="70"/>
              <w:right w:type="dxa" w:w="100"/>
            </w:tcMar>
          </w:tcPr>
          <w:p>
            <w:r>
              <w:rPr>
                <w:sz w:val="19"/>
                <w:szCs w:val="19"/>
              </w:rPr>
              <w:t xml:space="preserve">Vol.5 Section 8.1</w:t>
            </w:r>
          </w:p>
        </w:tc>
      </w:tr>
    </w:tbl>
    <w:p>
      <w:r>
        <w:br w:type="page"/>
      </w:r>
    </w:p>
    <w:p>
      <w:pPr>
        <w:pStyle w:val="Heading1"/>
        <w:spacing w:before="400" w:after="200"/>
      </w:pPr>
      <w:r>
        <w:rPr>
          <w:b/>
          <w:bCs/>
          <w:color w:val="1F3864"/>
          <w:sz w:val="32"/>
          <w:szCs w:val="32"/>
        </w:rPr>
        <w:t xml:space="preserve">5. Contract Testing</w:t>
      </w:r>
    </w:p>
    <w:p>
      <w:pPr>
        <w:pStyle w:val="Heading2"/>
        <w:spacing w:before="300" w:after="150"/>
      </w:pPr>
      <w:r>
        <w:rPr>
          <w:b/>
          <w:bCs/>
          <w:color w:val="2E75B6"/>
          <w:sz w:val="26"/>
          <w:szCs w:val="26"/>
        </w:rPr>
        <w:t xml:space="preserve">5.1 API Contract Tests</w:t>
      </w:r>
    </w:p>
    <w:p>
      <w:pPr>
        <w:spacing w:after="160" w:line="276"/>
      </w:pPr>
      <w:r>
        <w:rPr>
          <w:b w:val="false"/>
          <w:bCs w:val="false"/>
          <w:i w:val="false"/>
          <w:iCs w:val="false"/>
          <w:color w:val="1A1A1A"/>
          <w:sz w:val="22"/>
          <w:szCs w:val="22"/>
        </w:rPr>
        <w:t xml:space="preserve">Every public API endpoint (Vol.3 Section 5, Vol.2 Section 11) has a contract test asserting its request/response schema matches its published OpenAPI definition (Vol.3 Section 4.2 CS-05) - run in CI on every change to either the endpoint implementation or the schema, catching drift before it reaches an external integrator (Vol.5 Section 7).</w:t>
      </w:r>
    </w:p>
    <w:p>
      <w:pPr>
        <w:pStyle w:val="Heading2"/>
        <w:spacing w:before="300" w:after="150"/>
      </w:pPr>
      <w:r>
        <w:rPr>
          <w:b/>
          <w:bCs/>
          <w:color w:val="2E75B6"/>
          <w:sz w:val="26"/>
          <w:szCs w:val="26"/>
        </w:rPr>
        <w:t xml:space="preserve">5.2 Event Schema Contract Tests</w:t>
      </w:r>
    </w:p>
    <w:p>
      <w:pPr>
        <w:spacing w:after="160" w:line="276"/>
      </w:pPr>
      <w:r>
        <w:rPr>
          <w:b w:val="false"/>
          <w:bCs w:val="false"/>
          <w:i w:val="false"/>
          <w:iCs w:val="false"/>
          <w:color w:val="1A1A1A"/>
          <w:sz w:val="22"/>
          <w:szCs w:val="22"/>
        </w:rPr>
        <w:t xml:space="preserve">Every domain event (Vol.2 Section 10 catalog) has a schema-registry-backed contract test (Vol.3 Section 4.2 CS-06): a producer cannot publish a payload that violates the registered schema, and a new schema version must be backward-compatible (additive only) unless explicitly declared as a new major version. This is what makes the event-driven architecture in Vol. 2 Section 2.2 safe to evolve without breaking every downstream consumer simultaneously.</w:t>
      </w:r>
    </w:p>
    <w:p>
      <w:pPr>
        <w:pStyle w:val="Heading2"/>
        <w:spacing w:before="300" w:after="150"/>
      </w:pPr>
      <w:r>
        <w:rPr>
          <w:b/>
          <w:bCs/>
          <w:color w:val="2E75B6"/>
          <w:sz w:val="26"/>
          <w:szCs w:val="26"/>
        </w:rPr>
        <w:t xml:space="preserve">5.3 Consumer-Driven Contract Verification</w:t>
      </w:r>
    </w:p>
    <w:p>
      <w:pPr>
        <w:spacing w:after="160" w:line="276"/>
      </w:pPr>
      <w:r>
        <w:rPr>
          <w:b w:val="false"/>
          <w:bCs w:val="false"/>
          <w:i w:val="false"/>
          <w:iCs w:val="false"/>
          <w:color w:val="1A1A1A"/>
          <w:sz w:val="22"/>
          <w:szCs w:val="22"/>
        </w:rPr>
        <w:t xml:space="preserve">For the highest-fan-out events (JournalPosted, InvoiceSent - Vol.2 Section 10), each consumer module publishes its own expectations of the event shape it depends on; the producer's CI pipeline runs all registered consumer contracts before merge, catching a breaking producer change even if the consumer's own repository/module hasn't been touched.</w:t>
      </w:r>
    </w:p>
    <w:p>
      <w:r>
        <w:br w:type="page"/>
      </w:r>
    </w:p>
    <w:p>
      <w:pPr>
        <w:pStyle w:val="Heading1"/>
        <w:spacing w:before="400" w:after="200"/>
      </w:pPr>
      <w:r>
        <w:rPr>
          <w:b/>
          <w:bCs/>
          <w:color w:val="1F3864"/>
          <w:sz w:val="32"/>
          <w:szCs w:val="32"/>
        </w:rPr>
        <w:t xml:space="preserve">6. End-to-End Testing</w:t>
      </w:r>
    </w:p>
    <w:p>
      <w:pPr>
        <w:spacing w:after="160" w:line="276"/>
      </w:pPr>
      <w:r>
        <w:rPr>
          <w:b w:val="false"/>
          <w:bCs w:val="false"/>
          <w:i w:val="false"/>
          <w:iCs w:val="false"/>
          <w:color w:val="1A1A1A"/>
          <w:sz w:val="22"/>
          <w:szCs w:val="22"/>
        </w:rPr>
        <w:t xml:space="preserve">E2E tests are scoped to the six value streams defined in Vol. 1 Section 7 - each value stream gets one or more E2E scenarios exercised through the real API surface against staging (Vol.7 Section 2.1), not through internal module calls.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800"/>
        <w:gridCol w:w="2450"/>
      </w:tblGrid>
      <w:tr>
        <w:trPr>
          <w:tblHeader/>
        </w:trPr>
        <w:tc>
          <w:tcPr>
            <w:tcW w:type="dxa" w:w="2100"/>
            <w:shd w:fill="1F3864" w:val="clear"/>
            <w:tcMar>
              <w:top w:type="dxa" w:w="80"/>
              <w:left w:type="dxa" w:w="100"/>
              <w:bottom w:type="dxa" w:w="80"/>
              <w:right w:type="dxa" w:w="100"/>
            </w:tcMar>
            <w:vAlign w:val="center"/>
          </w:tcPr>
          <w:p>
            <w:r>
              <w:rPr>
                <w:b/>
                <w:bCs/>
                <w:color w:val="FFFFFF"/>
                <w:sz w:val="19"/>
                <w:szCs w:val="19"/>
              </w:rPr>
              <w:t xml:space="preserve">Value Stream</w:t>
            </w:r>
          </w:p>
        </w:tc>
        <w:tc>
          <w:tcPr>
            <w:tcW w:type="dxa" w:w="4800"/>
            <w:shd w:fill="1F3864" w:val="clear"/>
            <w:tcMar>
              <w:top w:type="dxa" w:w="80"/>
              <w:left w:type="dxa" w:w="100"/>
              <w:bottom w:type="dxa" w:w="80"/>
              <w:right w:type="dxa" w:w="100"/>
            </w:tcMar>
            <w:vAlign w:val="center"/>
          </w:tcPr>
          <w:p>
            <w:r>
              <w:rPr>
                <w:b/>
                <w:bCs/>
                <w:color w:val="FFFFFF"/>
                <w:sz w:val="19"/>
                <w:szCs w:val="19"/>
              </w:rPr>
              <w:t xml:space="preserve">E2E Scenario</w:t>
            </w:r>
          </w:p>
        </w:tc>
        <w:tc>
          <w:tcPr>
            <w:tcW w:type="dxa" w:w="2450"/>
            <w:shd w:fill="1F3864" w:val="clear"/>
            <w:tcMar>
              <w:top w:type="dxa" w:w="80"/>
              <w:left w:type="dxa" w:w="100"/>
              <w:bottom w:type="dxa" w:w="80"/>
              <w:right w:type="dxa" w:w="100"/>
            </w:tcMar>
            <w:vAlign w:val="center"/>
          </w:tcPr>
          <w:p>
            <w:r>
              <w:rPr>
                <w:b/>
                <w:bCs/>
                <w:color w:val="FFFFFF"/>
                <w:sz w:val="19"/>
                <w:szCs w:val="19"/>
              </w:rPr>
              <w:t xml:space="preserve">Persona Simulated</w:t>
            </w:r>
          </w:p>
        </w:tc>
      </w:tr>
      <w:tr>
        <w:tc>
          <w:tcPr>
            <w:tcW w:type="dxa" w:w="2100"/>
            <w:shd w:fill="FFFFFF" w:val="clear"/>
            <w:tcMar>
              <w:top w:type="dxa" w:w="70"/>
              <w:left w:type="dxa" w:w="100"/>
              <w:bottom w:type="dxa" w:w="70"/>
              <w:right w:type="dxa" w:w="100"/>
            </w:tcMar>
          </w:tcPr>
          <w:p>
            <w:r>
              <w:rPr>
                <w:sz w:val="19"/>
                <w:szCs w:val="19"/>
              </w:rPr>
              <w:t xml:space="preserve">VS-01 Order-to-Cash</w:t>
            </w:r>
          </w:p>
        </w:tc>
        <w:tc>
          <w:tcPr>
            <w:tcW w:type="dxa" w:w="4800"/>
            <w:shd w:fill="FFFFFF" w:val="clear"/>
            <w:tcMar>
              <w:top w:type="dxa" w:w="70"/>
              <w:left w:type="dxa" w:w="100"/>
              <w:bottom w:type="dxa" w:w="70"/>
              <w:right w:type="dxa" w:w="100"/>
            </w:tcMar>
          </w:tcPr>
          <w:p>
            <w:r>
              <w:rPr>
                <w:sz w:val="19"/>
                <w:szCs w:val="19"/>
              </w:rPr>
              <w:t xml:space="preserve">Create quote -&gt; convert to invoice -&gt; send -&gt; customer pays via portal -&gt; reconcile -&gt; verify ledger balance</w:t>
            </w:r>
          </w:p>
        </w:tc>
        <w:tc>
          <w:tcPr>
            <w:tcW w:type="dxa" w:w="2450"/>
            <w:shd w:fill="FFFFFF" w:val="clear"/>
            <w:tcMar>
              <w:top w:type="dxa" w:w="70"/>
              <w:left w:type="dxa" w:w="100"/>
              <w:bottom w:type="dxa" w:w="70"/>
              <w:right w:type="dxa" w:w="100"/>
            </w:tcMar>
          </w:tcPr>
          <w:p>
            <w:r>
              <w:rPr>
                <w:sz w:val="19"/>
                <w:szCs w:val="19"/>
              </w:rPr>
              <w:t xml:space="preserve">PER-04, PER-09</w:t>
            </w:r>
          </w:p>
        </w:tc>
      </w:tr>
      <w:tr>
        <w:tc>
          <w:tcPr>
            <w:tcW w:type="dxa" w:w="2100"/>
            <w:shd w:fill="DCE6F1" w:val="clear"/>
            <w:tcMar>
              <w:top w:type="dxa" w:w="70"/>
              <w:left w:type="dxa" w:w="100"/>
              <w:bottom w:type="dxa" w:w="70"/>
              <w:right w:type="dxa" w:w="100"/>
            </w:tcMar>
          </w:tcPr>
          <w:p>
            <w:r>
              <w:rPr>
                <w:sz w:val="19"/>
                <w:szCs w:val="19"/>
              </w:rPr>
              <w:t xml:space="preserve">VS-02 Procure-to-Pay</w:t>
            </w:r>
          </w:p>
        </w:tc>
        <w:tc>
          <w:tcPr>
            <w:tcW w:type="dxa" w:w="4800"/>
            <w:shd w:fill="DCE6F1" w:val="clear"/>
            <w:tcMar>
              <w:top w:type="dxa" w:w="70"/>
              <w:left w:type="dxa" w:w="100"/>
              <w:bottom w:type="dxa" w:w="70"/>
              <w:right w:type="dxa" w:w="100"/>
            </w:tcMar>
          </w:tcPr>
          <w:p>
            <w:r>
              <w:rPr>
                <w:sz w:val="19"/>
                <w:szCs w:val="19"/>
              </w:rPr>
              <w:t xml:space="preserve">Raise PO -&gt; receive goods -&gt; vendor submits bill via portal -&gt; 3-way match -&gt; pay -&gt; reconcile</w:t>
            </w:r>
          </w:p>
        </w:tc>
        <w:tc>
          <w:tcPr>
            <w:tcW w:type="dxa" w:w="2450"/>
            <w:shd w:fill="DCE6F1" w:val="clear"/>
            <w:tcMar>
              <w:top w:type="dxa" w:w="70"/>
              <w:left w:type="dxa" w:w="100"/>
              <w:bottom w:type="dxa" w:w="70"/>
              <w:right w:type="dxa" w:w="100"/>
            </w:tcMar>
          </w:tcPr>
          <w:p>
            <w:r>
              <w:rPr>
                <w:sz w:val="19"/>
                <w:szCs w:val="19"/>
              </w:rPr>
              <w:t xml:space="preserve">PER-05, PER-10</w:t>
            </w:r>
          </w:p>
        </w:tc>
      </w:tr>
      <w:tr>
        <w:tc>
          <w:tcPr>
            <w:tcW w:type="dxa" w:w="2100"/>
            <w:shd w:fill="FFFFFF" w:val="clear"/>
            <w:tcMar>
              <w:top w:type="dxa" w:w="70"/>
              <w:left w:type="dxa" w:w="100"/>
              <w:bottom w:type="dxa" w:w="70"/>
              <w:right w:type="dxa" w:w="100"/>
            </w:tcMar>
          </w:tcPr>
          <w:p>
            <w:r>
              <w:rPr>
                <w:sz w:val="19"/>
                <w:szCs w:val="19"/>
              </w:rPr>
              <w:t xml:space="preserve">VS-03 Record-to-Report</w:t>
            </w:r>
          </w:p>
        </w:tc>
        <w:tc>
          <w:tcPr>
            <w:tcW w:type="dxa" w:w="4800"/>
            <w:shd w:fill="FFFFFF" w:val="clear"/>
            <w:tcMar>
              <w:top w:type="dxa" w:w="70"/>
              <w:left w:type="dxa" w:w="100"/>
              <w:bottom w:type="dxa" w:w="70"/>
              <w:right w:type="dxa" w:w="100"/>
            </w:tcMar>
          </w:tcPr>
          <w:p>
            <w:r>
              <w:rPr>
                <w:sz w:val="19"/>
                <w:szCs w:val="19"/>
              </w:rPr>
              <w:t xml:space="preserve">Post transactions across a period -&gt; lock period -&gt; generate financial statements -&gt; verify report figures against known input</w:t>
            </w:r>
          </w:p>
        </w:tc>
        <w:tc>
          <w:tcPr>
            <w:tcW w:type="dxa" w:w="2450"/>
            <w:shd w:fill="FFFFFF" w:val="clear"/>
            <w:tcMar>
              <w:top w:type="dxa" w:w="70"/>
              <w:left w:type="dxa" w:w="100"/>
              <w:bottom w:type="dxa" w:w="70"/>
              <w:right w:type="dxa" w:w="100"/>
            </w:tcMar>
          </w:tcPr>
          <w:p>
            <w:r>
              <w:rPr>
                <w:sz w:val="19"/>
                <w:szCs w:val="19"/>
              </w:rPr>
              <w:t xml:space="preserve">PER-02</w:t>
            </w:r>
          </w:p>
        </w:tc>
      </w:tr>
      <w:tr>
        <w:tc>
          <w:tcPr>
            <w:tcW w:type="dxa" w:w="2100"/>
            <w:shd w:fill="DCE6F1" w:val="clear"/>
            <w:tcMar>
              <w:top w:type="dxa" w:w="70"/>
              <w:left w:type="dxa" w:w="100"/>
              <w:bottom w:type="dxa" w:w="70"/>
              <w:right w:type="dxa" w:w="100"/>
            </w:tcMar>
          </w:tcPr>
          <w:p>
            <w:r>
              <w:rPr>
                <w:sz w:val="19"/>
                <w:szCs w:val="19"/>
              </w:rPr>
              <w:t xml:space="preserve">VS-04 Project-to-Bill</w:t>
            </w:r>
          </w:p>
        </w:tc>
        <w:tc>
          <w:tcPr>
            <w:tcW w:type="dxa" w:w="4800"/>
            <w:shd w:fill="DCE6F1" w:val="clear"/>
            <w:tcMar>
              <w:top w:type="dxa" w:w="70"/>
              <w:left w:type="dxa" w:w="100"/>
              <w:bottom w:type="dxa" w:w="70"/>
              <w:right w:type="dxa" w:w="100"/>
            </w:tcMar>
          </w:tcPr>
          <w:p>
            <w:r>
              <w:rPr>
                <w:sz w:val="19"/>
                <w:szCs w:val="19"/>
              </w:rPr>
              <w:t xml:space="preserve">Log timesheets -&gt; approve -&gt; bill client -&gt; verify invoice line items match logged hours</w:t>
            </w:r>
          </w:p>
        </w:tc>
        <w:tc>
          <w:tcPr>
            <w:tcW w:type="dxa" w:w="2450"/>
            <w:shd w:fill="DCE6F1" w:val="clear"/>
            <w:tcMar>
              <w:top w:type="dxa" w:w="70"/>
              <w:left w:type="dxa" w:w="100"/>
              <w:bottom w:type="dxa" w:w="70"/>
              <w:right w:type="dxa" w:w="100"/>
            </w:tcMar>
          </w:tcPr>
          <w:p>
            <w:r>
              <w:rPr>
                <w:sz w:val="19"/>
                <w:szCs w:val="19"/>
              </w:rPr>
              <w:t xml:space="preserve">PER-07</w:t>
            </w:r>
          </w:p>
        </w:tc>
      </w:tr>
      <w:tr>
        <w:tc>
          <w:tcPr>
            <w:tcW w:type="dxa" w:w="2100"/>
            <w:shd w:fill="FFFFFF" w:val="clear"/>
            <w:tcMar>
              <w:top w:type="dxa" w:w="70"/>
              <w:left w:type="dxa" w:w="100"/>
              <w:bottom w:type="dxa" w:w="70"/>
              <w:right w:type="dxa" w:w="100"/>
            </w:tcMar>
          </w:tcPr>
          <w:p>
            <w:r>
              <w:rPr>
                <w:sz w:val="19"/>
                <w:szCs w:val="19"/>
              </w:rPr>
              <w:t xml:space="preserve">VS-06 Close-the-Books</w:t>
            </w:r>
          </w:p>
        </w:tc>
        <w:tc>
          <w:tcPr>
            <w:tcW w:type="dxa" w:w="4800"/>
            <w:shd w:fill="FFFFFF" w:val="clear"/>
            <w:tcMar>
              <w:top w:type="dxa" w:w="70"/>
              <w:left w:type="dxa" w:w="100"/>
              <w:bottom w:type="dxa" w:w="70"/>
              <w:right w:type="dxa" w:w="100"/>
            </w:tcMar>
          </w:tcPr>
          <w:p>
            <w:r>
              <w:rPr>
                <w:sz w:val="19"/>
                <w:szCs w:val="19"/>
              </w:rPr>
              <w:t xml:space="preserve">Full month-end close simulation -&gt; accountant review -&gt; approve -&gt; verify period lock prevents further posting</w:t>
            </w:r>
          </w:p>
        </w:tc>
        <w:tc>
          <w:tcPr>
            <w:tcW w:type="dxa" w:w="2450"/>
            <w:shd w:fill="FFFFFF" w:val="clear"/>
            <w:tcMar>
              <w:top w:type="dxa" w:w="70"/>
              <w:left w:type="dxa" w:w="100"/>
              <w:bottom w:type="dxa" w:w="70"/>
              <w:right w:type="dxa" w:w="100"/>
            </w:tcMar>
          </w:tcPr>
          <w:p>
            <w:r>
              <w:rPr>
                <w:sz w:val="19"/>
                <w:szCs w:val="19"/>
              </w:rPr>
              <w:t xml:space="preserve">PER-02, PER-03</w:t>
            </w:r>
          </w:p>
        </w:tc>
      </w:tr>
    </w:tbl>
    <w:p>
      <w:pPr>
        <w:spacing w:after="160" w:line="276"/>
      </w:pPr>
      <w:r>
        <w:rPr>
          <w:b w:val="false"/>
          <w:bCs w:val="false"/>
          <w:i w:val="false"/>
          <w:iCs w:val="false"/>
          <w:color w:val="1A1A1A"/>
          <w:sz w:val="22"/>
          <w:szCs w:val="22"/>
        </w:rPr>
        <w:t xml:space="preserve">VS-05 (Hire-to-Pay/Payroll) is excluded from the Release 1 E2E suite per Vol. 1 Section 6's R3 scoping and will be added when Payroll (CTX-09) is built.</w:t>
      </w:r>
    </w:p>
    <w:p>
      <w:r>
        <w:br w:type="page"/>
      </w:r>
    </w:p>
    <w:p>
      <w:pPr>
        <w:pStyle w:val="Heading1"/>
        <w:spacing w:before="400" w:after="200"/>
      </w:pPr>
      <w:r>
        <w:rPr>
          <w:b/>
          <w:bCs/>
          <w:color w:val="1F3864"/>
          <w:sz w:val="32"/>
          <w:szCs w:val="32"/>
        </w:rPr>
        <w:t xml:space="preserve">7. Security Testing (Formalized from Volume 6)</w:t>
      </w:r>
    </w:p>
    <w:p>
      <w:pPr>
        <w:spacing w:after="160" w:line="276"/>
      </w:pPr>
      <w:r>
        <w:rPr>
          <w:b w:val="false"/>
          <w:bCs w:val="false"/>
          <w:i w:val="false"/>
          <w:iCs w:val="false"/>
          <w:color w:val="1A1A1A"/>
          <w:sz w:val="22"/>
          <w:szCs w:val="22"/>
        </w:rPr>
        <w:t xml:space="preserve">Volume 6 Section 12 specified which security tests must exist; this section is their concrete test-plan detail and CI wiring.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900"/>
        <w:gridCol w:w="2350"/>
      </w:tblGrid>
      <w:tr>
        <w:trPr>
          <w:tblHeader/>
        </w:trPr>
        <w:tc>
          <w:tcPr>
            <w:tcW w:type="dxa" w:w="2100"/>
            <w:shd w:fill="1F3864" w:val="clear"/>
            <w:tcMar>
              <w:top w:type="dxa" w:w="80"/>
              <w:left w:type="dxa" w:w="100"/>
              <w:bottom w:type="dxa" w:w="80"/>
              <w:right w:type="dxa" w:w="100"/>
            </w:tcMar>
            <w:vAlign w:val="center"/>
          </w:tcPr>
          <w:p>
            <w:r>
              <w:rPr>
                <w:b/>
                <w:bCs/>
                <w:color w:val="FFFFFF"/>
                <w:sz w:val="19"/>
                <w:szCs w:val="19"/>
              </w:rPr>
              <w:t xml:space="preserve">Test</w:t>
            </w:r>
          </w:p>
        </w:tc>
        <w:tc>
          <w:tcPr>
            <w:tcW w:type="dxa" w:w="4900"/>
            <w:shd w:fill="1F3864" w:val="clear"/>
            <w:tcMar>
              <w:top w:type="dxa" w:w="80"/>
              <w:left w:type="dxa" w:w="100"/>
              <w:bottom w:type="dxa" w:w="80"/>
              <w:right w:type="dxa" w:w="100"/>
            </w:tcMar>
            <w:vAlign w:val="center"/>
          </w:tcPr>
          <w:p>
            <w:r>
              <w:rPr>
                <w:b/>
                <w:bCs/>
                <w:color w:val="FFFFFF"/>
                <w:sz w:val="19"/>
                <w:szCs w:val="19"/>
              </w:rPr>
              <w:t xml:space="preserve">Detail</w:t>
            </w:r>
          </w:p>
        </w:tc>
        <w:tc>
          <w:tcPr>
            <w:tcW w:type="dxa" w:w="2350"/>
            <w:shd w:fill="1F3864" w:val="clear"/>
            <w:tcMar>
              <w:top w:type="dxa" w:w="80"/>
              <w:left w:type="dxa" w:w="100"/>
              <w:bottom w:type="dxa" w:w="80"/>
              <w:right w:type="dxa" w:w="100"/>
            </w:tcMar>
            <w:vAlign w:val="center"/>
          </w:tcPr>
          <w:p>
            <w:r>
              <w:rPr>
                <w:b/>
                <w:bCs/>
                <w:color w:val="FFFFFF"/>
                <w:sz w:val="19"/>
                <w:szCs w:val="19"/>
              </w:rPr>
              <w:t xml:space="preserve">Gate</w:t>
            </w:r>
          </w:p>
        </w:tc>
      </w:tr>
      <w:tr>
        <w:tc>
          <w:tcPr>
            <w:tcW w:type="dxa" w:w="2100"/>
            <w:shd w:fill="FFFFFF" w:val="clear"/>
            <w:tcMar>
              <w:top w:type="dxa" w:w="70"/>
              <w:left w:type="dxa" w:w="100"/>
              <w:bottom w:type="dxa" w:w="70"/>
              <w:right w:type="dxa" w:w="100"/>
            </w:tcMar>
          </w:tcPr>
          <w:p>
            <w:r>
              <w:rPr>
                <w:sz w:val="19"/>
                <w:szCs w:val="19"/>
              </w:rPr>
              <w:t xml:space="preserve">Cross-tenant leakage suite</w:t>
            </w:r>
          </w:p>
        </w:tc>
        <w:tc>
          <w:tcPr>
            <w:tcW w:type="dxa" w:w="4900"/>
            <w:shd w:fill="FFFFFF" w:val="clear"/>
            <w:tcMar>
              <w:top w:type="dxa" w:w="70"/>
              <w:left w:type="dxa" w:w="100"/>
              <w:bottom w:type="dxa" w:w="70"/>
              <w:right w:type="dxa" w:w="100"/>
            </w:tcMar>
          </w:tcPr>
          <w:p>
            <w:r>
              <w:rPr>
                <w:sz w:val="19"/>
                <w:szCs w:val="19"/>
              </w:rPr>
              <w:t xml:space="preserve">For every RLS-protected table (Vol.4 Section 7): authenticate as tenant A, attempt every read/write operation against tenant B's known record IDs, assert zero rows/access in every case</w:t>
            </w:r>
          </w:p>
        </w:tc>
        <w:tc>
          <w:tcPr>
            <w:tcW w:type="dxa" w:w="2350"/>
            <w:shd w:fill="FFFFFF" w:val="clear"/>
            <w:tcMar>
              <w:top w:type="dxa" w:w="70"/>
              <w:left w:type="dxa" w:w="100"/>
              <w:bottom w:type="dxa" w:w="70"/>
              <w:right w:type="dxa" w:w="100"/>
            </w:tcMar>
          </w:tcPr>
          <w:p>
            <w:r>
              <w:rPr>
                <w:sz w:val="19"/>
                <w:szCs w:val="19"/>
              </w:rPr>
              <w:t xml:space="preserve">Blocks merge on any failure - zero tolerance</w:t>
            </w:r>
          </w:p>
        </w:tc>
      </w:tr>
      <w:tr>
        <w:tc>
          <w:tcPr>
            <w:tcW w:type="dxa" w:w="2100"/>
            <w:shd w:fill="DCE6F1" w:val="clear"/>
            <w:tcMar>
              <w:top w:type="dxa" w:w="70"/>
              <w:left w:type="dxa" w:w="100"/>
              <w:bottom w:type="dxa" w:w="70"/>
              <w:right w:type="dxa" w:w="100"/>
            </w:tcMar>
          </w:tcPr>
          <w:p>
            <w:r>
              <w:rPr>
                <w:sz w:val="19"/>
                <w:szCs w:val="19"/>
              </w:rPr>
              <w:t xml:space="preserve">SAST</w:t>
            </w:r>
          </w:p>
        </w:tc>
        <w:tc>
          <w:tcPr>
            <w:tcW w:type="dxa" w:w="4900"/>
            <w:shd w:fill="DCE6F1" w:val="clear"/>
            <w:tcMar>
              <w:top w:type="dxa" w:w="70"/>
              <w:left w:type="dxa" w:w="100"/>
              <w:bottom w:type="dxa" w:w="70"/>
              <w:right w:type="dxa" w:w="100"/>
            </w:tcMar>
          </w:tcPr>
          <w:p>
            <w:r>
              <w:rPr>
                <w:sz w:val="19"/>
                <w:szCs w:val="19"/>
              </w:rPr>
              <w:t xml:space="preserve">Static analysis across the monorepo (Vol.3 Section 3.1) for OWASP Top 10 patterns and the Vol.3 Section 4.2 CS rules (e.g. CS-03 float-for-money misuse)</w:t>
            </w:r>
          </w:p>
        </w:tc>
        <w:tc>
          <w:tcPr>
            <w:tcW w:type="dxa" w:w="2350"/>
            <w:shd w:fill="DCE6F1" w:val="clear"/>
            <w:tcMar>
              <w:top w:type="dxa" w:w="70"/>
              <w:left w:type="dxa" w:w="100"/>
              <w:bottom w:type="dxa" w:w="70"/>
              <w:right w:type="dxa" w:w="100"/>
            </w:tcMar>
          </w:tcPr>
          <w:p>
            <w:r>
              <w:rPr>
                <w:sz w:val="19"/>
                <w:szCs w:val="19"/>
              </w:rPr>
              <w:t xml:space="preserve">Blocks merge on high/critical findings</w:t>
            </w:r>
          </w:p>
        </w:tc>
      </w:tr>
      <w:tr>
        <w:tc>
          <w:tcPr>
            <w:tcW w:type="dxa" w:w="2100"/>
            <w:shd w:fill="FFFFFF" w:val="clear"/>
            <w:tcMar>
              <w:top w:type="dxa" w:w="70"/>
              <w:left w:type="dxa" w:w="100"/>
              <w:bottom w:type="dxa" w:w="70"/>
              <w:right w:type="dxa" w:w="100"/>
            </w:tcMar>
          </w:tcPr>
          <w:p>
            <w:r>
              <w:rPr>
                <w:sz w:val="19"/>
                <w:szCs w:val="19"/>
              </w:rPr>
              <w:t xml:space="preserve">Dependency scanning</w:t>
            </w:r>
          </w:p>
        </w:tc>
        <w:tc>
          <w:tcPr>
            <w:tcW w:type="dxa" w:w="4900"/>
            <w:shd w:fill="FFFFFF" w:val="clear"/>
            <w:tcMar>
              <w:top w:type="dxa" w:w="70"/>
              <w:left w:type="dxa" w:w="100"/>
              <w:bottom w:type="dxa" w:w="70"/>
              <w:right w:type="dxa" w:w="100"/>
            </w:tcMar>
          </w:tcPr>
          <w:p>
            <w:r>
              <w:rPr>
                <w:sz w:val="19"/>
                <w:szCs w:val="19"/>
              </w:rPr>
              <w:t xml:space="preserve">npm audit-equivalent against every package in the monorepo</w:t>
            </w:r>
          </w:p>
        </w:tc>
        <w:tc>
          <w:tcPr>
            <w:tcW w:type="dxa" w:w="2350"/>
            <w:shd w:fill="FFFFFF" w:val="clear"/>
            <w:tcMar>
              <w:top w:type="dxa" w:w="70"/>
              <w:left w:type="dxa" w:w="100"/>
              <w:bottom w:type="dxa" w:w="70"/>
              <w:right w:type="dxa" w:w="100"/>
            </w:tcMar>
          </w:tcPr>
          <w:p>
            <w:r>
              <w:rPr>
                <w:sz w:val="19"/>
                <w:szCs w:val="19"/>
              </w:rPr>
              <w:t xml:space="preserve">Blocks merge on known-critical CVEs; alerts (non-blocking) on medium</w:t>
            </w:r>
          </w:p>
        </w:tc>
      </w:tr>
      <w:tr>
        <w:tc>
          <w:tcPr>
            <w:tcW w:type="dxa" w:w="2100"/>
            <w:shd w:fill="DCE6F1" w:val="clear"/>
            <w:tcMar>
              <w:top w:type="dxa" w:w="70"/>
              <w:left w:type="dxa" w:w="100"/>
              <w:bottom w:type="dxa" w:w="70"/>
              <w:right w:type="dxa" w:w="100"/>
            </w:tcMar>
          </w:tcPr>
          <w:p>
            <w:r>
              <w:rPr>
                <w:sz w:val="19"/>
                <w:szCs w:val="19"/>
              </w:rPr>
              <w:t xml:space="preserve">DAST</w:t>
            </w:r>
          </w:p>
        </w:tc>
        <w:tc>
          <w:tcPr>
            <w:tcW w:type="dxa" w:w="4900"/>
            <w:shd w:fill="DCE6F1" w:val="clear"/>
            <w:tcMar>
              <w:top w:type="dxa" w:w="70"/>
              <w:left w:type="dxa" w:w="100"/>
              <w:bottom w:type="dxa" w:w="70"/>
              <w:right w:type="dxa" w:w="100"/>
            </w:tcMar>
          </w:tcPr>
          <w:p>
            <w:r>
              <w:rPr>
                <w:sz w:val="19"/>
                <w:szCs w:val="19"/>
              </w:rPr>
              <w:t xml:space="preserve">Automated scan of the public API surface and web app against staging</w:t>
            </w:r>
          </w:p>
        </w:tc>
        <w:tc>
          <w:tcPr>
            <w:tcW w:type="dxa" w:w="2350"/>
            <w:shd w:fill="DCE6F1" w:val="clear"/>
            <w:tcMar>
              <w:top w:type="dxa" w:w="70"/>
              <w:left w:type="dxa" w:w="100"/>
              <w:bottom w:type="dxa" w:w="70"/>
              <w:right w:type="dxa" w:w="100"/>
            </w:tcMar>
          </w:tcPr>
          <w:p>
            <w:r>
              <w:rPr>
                <w:sz w:val="19"/>
                <w:szCs w:val="19"/>
              </w:rPr>
              <w:t xml:space="preserve">Weekly; findings triaged within 5 business days</w:t>
            </w:r>
          </w:p>
        </w:tc>
      </w:tr>
      <w:tr>
        <w:tc>
          <w:tcPr>
            <w:tcW w:type="dxa" w:w="2100"/>
            <w:shd w:fill="FFFFFF" w:val="clear"/>
            <w:tcMar>
              <w:top w:type="dxa" w:w="70"/>
              <w:left w:type="dxa" w:w="100"/>
              <w:bottom w:type="dxa" w:w="70"/>
              <w:right w:type="dxa" w:w="100"/>
            </w:tcMar>
          </w:tcPr>
          <w:p>
            <w:r>
              <w:rPr>
                <w:sz w:val="19"/>
                <w:szCs w:val="19"/>
              </w:rPr>
              <w:t xml:space="preserve">Secrets-hygiene scan</w:t>
            </w:r>
          </w:p>
        </w:tc>
        <w:tc>
          <w:tcPr>
            <w:tcW w:type="dxa" w:w="4900"/>
            <w:shd w:fill="FFFFFF" w:val="clear"/>
            <w:tcMar>
              <w:top w:type="dxa" w:w="70"/>
              <w:left w:type="dxa" w:w="100"/>
              <w:bottom w:type="dxa" w:w="70"/>
              <w:right w:type="dxa" w:w="100"/>
            </w:tcMar>
          </w:tcPr>
          <w:p>
            <w:r>
              <w:rPr>
                <w:sz w:val="19"/>
                <w:szCs w:val="19"/>
              </w:rPr>
              <w:t xml:space="preserve">Pre-commit + CI scan for accidental credential commits (Vol.6 Section 6.3)</w:t>
            </w:r>
          </w:p>
        </w:tc>
        <w:tc>
          <w:tcPr>
            <w:tcW w:type="dxa" w:w="2350"/>
            <w:shd w:fill="FFFFFF" w:val="clear"/>
            <w:tcMar>
              <w:top w:type="dxa" w:w="70"/>
              <w:left w:type="dxa" w:w="100"/>
              <w:bottom w:type="dxa" w:w="70"/>
              <w:right w:type="dxa" w:w="100"/>
            </w:tcMar>
          </w:tcPr>
          <w:p>
            <w:r>
              <w:rPr>
                <w:sz w:val="19"/>
                <w:szCs w:val="19"/>
              </w:rPr>
              <w:t xml:space="preserve">Blocks commit/merge on any match</w:t>
            </w:r>
          </w:p>
        </w:tc>
      </w:tr>
      <w:tr>
        <w:tc>
          <w:tcPr>
            <w:tcW w:type="dxa" w:w="2100"/>
            <w:shd w:fill="DCE6F1" w:val="clear"/>
            <w:tcMar>
              <w:top w:type="dxa" w:w="70"/>
              <w:left w:type="dxa" w:w="100"/>
              <w:bottom w:type="dxa" w:w="70"/>
              <w:right w:type="dxa" w:w="100"/>
            </w:tcMar>
          </w:tcPr>
          <w:p>
            <w:r>
              <w:rPr>
                <w:sz w:val="19"/>
                <w:szCs w:val="19"/>
              </w:rPr>
              <w:t xml:space="preserve">Penetration test</w:t>
            </w:r>
          </w:p>
        </w:tc>
        <w:tc>
          <w:tcPr>
            <w:tcW w:type="dxa" w:w="4900"/>
            <w:shd w:fill="DCE6F1" w:val="clear"/>
            <w:tcMar>
              <w:top w:type="dxa" w:w="70"/>
              <w:left w:type="dxa" w:w="100"/>
              <w:bottom w:type="dxa" w:w="70"/>
              <w:right w:type="dxa" w:w="100"/>
            </w:tcMar>
          </w:tcPr>
          <w:p>
            <w:r>
              <w:rPr>
                <w:sz w:val="19"/>
                <w:szCs w:val="19"/>
              </w:rPr>
              <w:t xml:space="preserve">Third-party engagement covering integration surfaces (Vol.5) and multi-tenant isolation (Vol.6 Section 8)</w:t>
            </w:r>
          </w:p>
        </w:tc>
        <w:tc>
          <w:tcPr>
            <w:tcW w:type="dxa" w:w="2350"/>
            <w:shd w:fill="DCE6F1" w:val="clear"/>
            <w:tcMar>
              <w:top w:type="dxa" w:w="70"/>
              <w:left w:type="dxa" w:w="100"/>
              <w:bottom w:type="dxa" w:w="70"/>
              <w:right w:type="dxa" w:w="100"/>
            </w:tcMar>
          </w:tcPr>
          <w:p>
            <w:r>
              <w:rPr>
                <w:sz w:val="19"/>
                <w:szCs w:val="19"/>
              </w:rPr>
              <w:t xml:space="preserve">Required before Release 1 GA sign-off; annually thereafter</w:t>
            </w:r>
          </w:p>
        </w:tc>
      </w:tr>
      <w:tr>
        <w:tc>
          <w:tcPr>
            <w:tcW w:type="dxa" w:w="2100"/>
            <w:shd w:fill="FFFFFF" w:val="clear"/>
            <w:tcMar>
              <w:top w:type="dxa" w:w="70"/>
              <w:left w:type="dxa" w:w="100"/>
              <w:bottom w:type="dxa" w:w="70"/>
              <w:right w:type="dxa" w:w="100"/>
            </w:tcMar>
          </w:tcPr>
          <w:p>
            <w:r>
              <w:rPr>
                <w:sz w:val="19"/>
                <w:szCs w:val="19"/>
              </w:rPr>
              <w:t xml:space="preserve">Webhook/signature bypass testing</w:t>
            </w:r>
          </w:p>
        </w:tc>
        <w:tc>
          <w:tcPr>
            <w:tcW w:type="dxa" w:w="4900"/>
            <w:shd w:fill="FFFFFF" w:val="clear"/>
            <w:tcMar>
              <w:top w:type="dxa" w:w="70"/>
              <w:left w:type="dxa" w:w="100"/>
              <w:bottom w:type="dxa" w:w="70"/>
              <w:right w:type="dxa" w:w="100"/>
            </w:tcMar>
          </w:tcPr>
          <w:p>
            <w:r>
              <w:rPr>
                <w:sz w:val="19"/>
                <w:szCs w:val="19"/>
              </w:rPr>
              <w:t xml:space="preserve">Attempt to submit unsigned or badly-signed webhooks to every inbound receiver (Vol.5 Section 3.4, Section 7.1)</w:t>
            </w:r>
          </w:p>
        </w:tc>
        <w:tc>
          <w:tcPr>
            <w:tcW w:type="dxa" w:w="2350"/>
            <w:shd w:fill="FFFFFF" w:val="clear"/>
            <w:tcMar>
              <w:top w:type="dxa" w:w="70"/>
              <w:left w:type="dxa" w:w="100"/>
              <w:bottom w:type="dxa" w:w="70"/>
              <w:right w:type="dxa" w:w="100"/>
            </w:tcMar>
          </w:tcPr>
          <w:p>
            <w:r>
              <w:rPr>
                <w:sz w:val="19"/>
                <w:szCs w:val="19"/>
              </w:rPr>
              <w:t xml:space="preserve">Required before Release 1 GA</w:t>
            </w:r>
          </w:p>
        </w:tc>
      </w:tr>
    </w:tbl>
    <w:p>
      <w:r>
        <w:br w:type="page"/>
      </w:r>
    </w:p>
    <w:p>
      <w:pPr>
        <w:pStyle w:val="Heading1"/>
        <w:spacing w:before="400" w:after="200"/>
      </w:pPr>
      <w:r>
        <w:rPr>
          <w:b/>
          <w:bCs/>
          <w:color w:val="1F3864"/>
          <w:sz w:val="32"/>
          <w:szCs w:val="32"/>
        </w:rPr>
        <w:t xml:space="preserve">8. Performance &amp; Load Testing</w:t>
      </w:r>
    </w:p>
    <w:p>
      <w:pPr>
        <w:spacing w:after="160" w:line="276"/>
      </w:pPr>
      <w:r>
        <w:rPr>
          <w:b w:val="false"/>
          <w:bCs w:val="false"/>
          <w:i w:val="false"/>
          <w:iCs w:val="false"/>
          <w:color w:val="1A1A1A"/>
          <w:sz w:val="22"/>
          <w:szCs w:val="22"/>
        </w:rPr>
        <w:t xml:space="preserve">Verifies the Vol. 3 Section 12 performance targets under the Vol. 7 Section 7 scaling design, run against a staging environment sized to a known fraction of production capacity so results can be extrapolated.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0"/>
      </w:tblGrid>
      <w:tr>
        <w:trPr>
          <w:tblHeader/>
        </w:trPr>
        <w:tc>
          <w:tcPr>
            <w:tcW w:type="dxa" w:w="2500"/>
            <w:shd w:fill="1F3864" w:val="clear"/>
            <w:tcMar>
              <w:top w:type="dxa" w:w="80"/>
              <w:left w:type="dxa" w:w="100"/>
              <w:bottom w:type="dxa" w:w="80"/>
              <w:right w:type="dxa" w:w="100"/>
            </w:tcMar>
            <w:vAlign w:val="center"/>
          </w:tcPr>
          <w:p>
            <w:r>
              <w:rPr>
                <w:b/>
                <w:bCs/>
                <w:color w:val="FFFFFF"/>
                <w:sz w:val="19"/>
                <w:szCs w:val="19"/>
              </w:rPr>
              <w:t xml:space="preserve">Test</w:t>
            </w:r>
          </w:p>
        </w:tc>
        <w:tc>
          <w:tcPr>
            <w:tcW w:type="dxa" w:w="3500"/>
            <w:shd w:fill="1F3864" w:val="clear"/>
            <w:tcMar>
              <w:top w:type="dxa" w:w="80"/>
              <w:left w:type="dxa" w:w="100"/>
              <w:bottom w:type="dxa" w:w="80"/>
              <w:right w:type="dxa" w:w="100"/>
            </w:tcMar>
            <w:vAlign w:val="center"/>
          </w:tcPr>
          <w:p>
            <w:r>
              <w:rPr>
                <w:b/>
                <w:bCs/>
                <w:color w:val="FFFFFF"/>
                <w:sz w:val="19"/>
                <w:szCs w:val="19"/>
              </w:rPr>
              <w:t xml:space="preserve">Target Verified</w:t>
            </w:r>
          </w:p>
        </w:tc>
        <w:tc>
          <w:tcPr>
            <w:tcW w:type="dxa" w:w="3350"/>
            <w:shd w:fill="1F3864" w:val="clear"/>
            <w:tcMar>
              <w:top w:type="dxa" w:w="80"/>
              <w:left w:type="dxa" w:w="100"/>
              <w:bottom w:type="dxa" w:w="80"/>
              <w:right w:type="dxa" w:w="100"/>
            </w:tcMar>
            <w:vAlign w:val="center"/>
          </w:tcPr>
          <w:p>
            <w:r>
              <w:rPr>
                <w:b/>
                <w:bCs/>
                <w:color w:val="FFFFFF"/>
                <w:sz w:val="19"/>
                <w:szCs w:val="19"/>
              </w:rPr>
              <w:t xml:space="preserve">Method</w:t>
            </w:r>
          </w:p>
        </w:tc>
      </w:tr>
      <w:tr>
        <w:tc>
          <w:tcPr>
            <w:tcW w:type="dxa" w:w="2500"/>
            <w:shd w:fill="FFFFFF" w:val="clear"/>
            <w:tcMar>
              <w:top w:type="dxa" w:w="70"/>
              <w:left w:type="dxa" w:w="100"/>
              <w:bottom w:type="dxa" w:w="70"/>
              <w:right w:type="dxa" w:w="100"/>
            </w:tcMar>
          </w:tcPr>
          <w:p>
            <w:r>
              <w:rPr>
                <w:sz w:val="19"/>
                <w:szCs w:val="19"/>
              </w:rPr>
              <w:t xml:space="preserve">Core API load test</w:t>
            </w:r>
          </w:p>
        </w:tc>
        <w:tc>
          <w:tcPr>
            <w:tcW w:type="dxa" w:w="3500"/>
            <w:shd w:fill="FFFFFF" w:val="clear"/>
            <w:tcMar>
              <w:top w:type="dxa" w:w="70"/>
              <w:left w:type="dxa" w:w="100"/>
              <w:bottom w:type="dxa" w:w="70"/>
              <w:right w:type="dxa" w:w="100"/>
            </w:tcMar>
          </w:tcPr>
          <w:p>
            <w:r>
              <w:rPr>
                <w:sz w:val="19"/>
                <w:szCs w:val="19"/>
              </w:rPr>
              <w:t xml:space="preserve">P95 &lt; 300ms for CRUD operations (Vol.3 Section 12)</w:t>
            </w:r>
          </w:p>
        </w:tc>
        <w:tc>
          <w:tcPr>
            <w:tcW w:type="dxa" w:w="3350"/>
            <w:shd w:fill="FFFFFF" w:val="clear"/>
            <w:tcMar>
              <w:top w:type="dxa" w:w="70"/>
              <w:left w:type="dxa" w:w="100"/>
              <w:bottom w:type="dxa" w:w="70"/>
              <w:right w:type="dxa" w:w="100"/>
            </w:tcMar>
          </w:tcPr>
          <w:p>
            <w:r>
              <w:rPr>
                <w:sz w:val="19"/>
                <w:szCs w:val="19"/>
              </w:rPr>
              <w:t xml:space="preserve">Synthetic load generator ramping to the Release 1 concurrent-tenant target (1,000+), sustained for 30 min</w:t>
            </w:r>
          </w:p>
        </w:tc>
      </w:tr>
      <w:tr>
        <w:tc>
          <w:tcPr>
            <w:tcW w:type="dxa" w:w="2500"/>
            <w:shd w:fill="DCE6F1" w:val="clear"/>
            <w:tcMar>
              <w:top w:type="dxa" w:w="70"/>
              <w:left w:type="dxa" w:w="100"/>
              <w:bottom w:type="dxa" w:w="70"/>
              <w:right w:type="dxa" w:w="100"/>
            </w:tcMar>
          </w:tcPr>
          <w:p>
            <w:r>
              <w:rPr>
                <w:sz w:val="19"/>
                <w:szCs w:val="19"/>
              </w:rPr>
              <w:t xml:space="preserve">Reporting query load test</w:t>
            </w:r>
          </w:p>
        </w:tc>
        <w:tc>
          <w:tcPr>
            <w:tcW w:type="dxa" w:w="3500"/>
            <w:shd w:fill="DCE6F1" w:val="clear"/>
            <w:tcMar>
              <w:top w:type="dxa" w:w="70"/>
              <w:left w:type="dxa" w:w="100"/>
              <w:bottom w:type="dxa" w:w="70"/>
              <w:right w:type="dxa" w:w="100"/>
            </w:tcMar>
          </w:tcPr>
          <w:p>
            <w:r>
              <w:rPr>
                <w:sz w:val="19"/>
                <w:szCs w:val="19"/>
              </w:rPr>
              <w:t xml:space="preserve">P95 &lt; 2s for custom report generation (Vol.3 Section 12)</w:t>
            </w:r>
          </w:p>
        </w:tc>
        <w:tc>
          <w:tcPr>
            <w:tcW w:type="dxa" w:w="3350"/>
            <w:shd w:fill="DCE6F1" w:val="clear"/>
            <w:tcMar>
              <w:top w:type="dxa" w:w="70"/>
              <w:left w:type="dxa" w:w="100"/>
              <w:bottom w:type="dxa" w:w="70"/>
              <w:right w:type="dxa" w:w="100"/>
            </w:tcMar>
          </w:tcPr>
          <w:p>
            <w:r>
              <w:rPr>
                <w:sz w:val="19"/>
                <w:szCs w:val="19"/>
              </w:rPr>
              <w:t xml:space="preserve">Concurrent report-generation requests against a seeded large-dataset tenant</w:t>
            </w:r>
          </w:p>
        </w:tc>
      </w:tr>
      <w:tr>
        <w:tc>
          <w:tcPr>
            <w:tcW w:type="dxa" w:w="2500"/>
            <w:shd w:fill="FFFFFF" w:val="clear"/>
            <w:tcMar>
              <w:top w:type="dxa" w:w="70"/>
              <w:left w:type="dxa" w:w="100"/>
              <w:bottom w:type="dxa" w:w="70"/>
              <w:right w:type="dxa" w:w="100"/>
            </w:tcMar>
          </w:tcPr>
          <w:p>
            <w:r>
              <w:rPr>
                <w:sz w:val="19"/>
                <w:szCs w:val="19"/>
              </w:rPr>
              <w:t xml:space="preserve">Event processing lag test</w:t>
            </w:r>
          </w:p>
        </w:tc>
        <w:tc>
          <w:tcPr>
            <w:tcW w:type="dxa" w:w="3500"/>
            <w:shd w:fill="FFFFFF" w:val="clear"/>
            <w:tcMar>
              <w:top w:type="dxa" w:w="70"/>
              <w:left w:type="dxa" w:w="100"/>
              <w:bottom w:type="dxa" w:w="70"/>
              <w:right w:type="dxa" w:w="100"/>
            </w:tcMar>
          </w:tcPr>
          <w:p>
            <w:r>
              <w:rPr>
                <w:sz w:val="19"/>
                <w:szCs w:val="19"/>
              </w:rPr>
              <w:t xml:space="preserve">&lt; 5s P95 event-to-consumer-completion (Vol.3 Section 12)</w:t>
            </w:r>
          </w:p>
        </w:tc>
        <w:tc>
          <w:tcPr>
            <w:tcW w:type="dxa" w:w="3350"/>
            <w:shd w:fill="FFFFFF" w:val="clear"/>
            <w:tcMar>
              <w:top w:type="dxa" w:w="70"/>
              <w:left w:type="dxa" w:w="100"/>
              <w:bottom w:type="dxa" w:w="70"/>
              <w:right w:type="dxa" w:w="100"/>
            </w:tcMar>
          </w:tcPr>
          <w:p>
            <w:r>
              <w:rPr>
                <w:sz w:val="19"/>
                <w:szCs w:val="19"/>
              </w:rPr>
              <w:t xml:space="preserve">Inject a burst of domain events and measure consumer lag under the Vol.7 Section 7 Kafka sizing</w:t>
            </w:r>
          </w:p>
        </w:tc>
      </w:tr>
      <w:tr>
        <w:tc>
          <w:tcPr>
            <w:tcW w:type="dxa" w:w="2500"/>
            <w:shd w:fill="DCE6F1" w:val="clear"/>
            <w:tcMar>
              <w:top w:type="dxa" w:w="70"/>
              <w:left w:type="dxa" w:w="100"/>
              <w:bottom w:type="dxa" w:w="70"/>
              <w:right w:type="dxa" w:w="100"/>
            </w:tcMar>
          </w:tcPr>
          <w:p>
            <w:r>
              <w:rPr>
                <w:sz w:val="19"/>
                <w:szCs w:val="19"/>
              </w:rPr>
              <w:t xml:space="preserve">Recurring invoice batch test</w:t>
            </w:r>
          </w:p>
        </w:tc>
        <w:tc>
          <w:tcPr>
            <w:tcW w:type="dxa" w:w="3500"/>
            <w:shd w:fill="DCE6F1" w:val="clear"/>
            <w:tcMar>
              <w:top w:type="dxa" w:w="70"/>
              <w:left w:type="dxa" w:w="100"/>
              <w:bottom w:type="dxa" w:w="70"/>
              <w:right w:type="dxa" w:w="100"/>
            </w:tcMar>
          </w:tcPr>
          <w:p>
            <w:r>
              <w:rPr>
                <w:sz w:val="19"/>
                <w:szCs w:val="19"/>
              </w:rPr>
              <w:t xml:space="preserve">10,000-tenant nightly batch completes within a 1-hour window (Vol.3 Section 12)</w:t>
            </w:r>
          </w:p>
        </w:tc>
        <w:tc>
          <w:tcPr>
            <w:tcW w:type="dxa" w:w="3350"/>
            <w:shd w:fill="DCE6F1" w:val="clear"/>
            <w:tcMar>
              <w:top w:type="dxa" w:w="70"/>
              <w:left w:type="dxa" w:w="100"/>
              <w:bottom w:type="dxa" w:w="70"/>
              <w:right w:type="dxa" w:w="100"/>
            </w:tcMar>
          </w:tcPr>
          <w:p>
            <w:r>
              <w:rPr>
                <w:sz w:val="19"/>
                <w:szCs w:val="19"/>
              </w:rPr>
              <w:t xml:space="preserve">Simulated batch run against a seeded multi-tenant dataset in staging</w:t>
            </w:r>
          </w:p>
        </w:tc>
      </w:tr>
      <w:tr>
        <w:tc>
          <w:tcPr>
            <w:tcW w:type="dxa" w:w="2500"/>
            <w:shd w:fill="FFFFFF" w:val="clear"/>
            <w:tcMar>
              <w:top w:type="dxa" w:w="70"/>
              <w:left w:type="dxa" w:w="100"/>
              <w:bottom w:type="dxa" w:w="70"/>
              <w:right w:type="dxa" w:w="100"/>
            </w:tcMar>
          </w:tcPr>
          <w:p>
            <w:r>
              <w:rPr>
                <w:sz w:val="19"/>
                <w:szCs w:val="19"/>
              </w:rPr>
              <w:t xml:space="preserve">Soak test</w:t>
            </w:r>
          </w:p>
        </w:tc>
        <w:tc>
          <w:tcPr>
            <w:tcW w:type="dxa" w:w="3500"/>
            <w:shd w:fill="FFFFFF" w:val="clear"/>
            <w:tcMar>
              <w:top w:type="dxa" w:w="70"/>
              <w:left w:type="dxa" w:w="100"/>
              <w:bottom w:type="dxa" w:w="70"/>
              <w:right w:type="dxa" w:w="100"/>
            </w:tcMar>
          </w:tcPr>
          <w:p>
            <w:r>
              <w:rPr>
                <w:sz w:val="19"/>
                <w:szCs w:val="19"/>
              </w:rPr>
              <w:t xml:space="preserve">No memory/connection leak over sustained operation</w:t>
            </w:r>
          </w:p>
        </w:tc>
        <w:tc>
          <w:tcPr>
            <w:tcW w:type="dxa" w:w="3350"/>
            <w:shd w:fill="FFFFFF" w:val="clear"/>
            <w:tcMar>
              <w:top w:type="dxa" w:w="70"/>
              <w:left w:type="dxa" w:w="100"/>
              <w:bottom w:type="dxa" w:w="70"/>
              <w:right w:type="dxa" w:w="100"/>
            </w:tcMar>
          </w:tcPr>
          <w:p>
            <w:r>
              <w:rPr>
                <w:sz w:val="19"/>
                <w:szCs w:val="19"/>
              </w:rPr>
              <w:t xml:space="preserve">48-hour sustained moderate load prior to GA</w:t>
            </w:r>
          </w:p>
        </w:tc>
      </w:tr>
      <w:tr>
        <w:tc>
          <w:tcPr>
            <w:tcW w:type="dxa" w:w="2500"/>
            <w:shd w:fill="DCE6F1" w:val="clear"/>
            <w:tcMar>
              <w:top w:type="dxa" w:w="70"/>
              <w:left w:type="dxa" w:w="100"/>
              <w:bottom w:type="dxa" w:w="70"/>
              <w:right w:type="dxa" w:w="100"/>
            </w:tcMar>
          </w:tcPr>
          <w:p>
            <w:r>
              <w:rPr>
                <w:sz w:val="19"/>
                <w:szCs w:val="19"/>
              </w:rPr>
              <w:t xml:space="preserve">Spike test</w:t>
            </w:r>
          </w:p>
        </w:tc>
        <w:tc>
          <w:tcPr>
            <w:tcW w:type="dxa" w:w="3500"/>
            <w:shd w:fill="DCE6F1" w:val="clear"/>
            <w:tcMar>
              <w:top w:type="dxa" w:w="70"/>
              <w:left w:type="dxa" w:w="100"/>
              <w:bottom w:type="dxa" w:w="70"/>
              <w:right w:type="dxa" w:w="100"/>
            </w:tcMar>
          </w:tcPr>
          <w:p>
            <w:r>
              <w:rPr>
                <w:sz w:val="19"/>
                <w:szCs w:val="19"/>
              </w:rPr>
              <w:t xml:space="preserve">Autoscaling (Vol.7 Section 7) responds correctly to sudden load increase</w:t>
            </w:r>
          </w:p>
        </w:tc>
        <w:tc>
          <w:tcPr>
            <w:tcW w:type="dxa" w:w="3350"/>
            <w:shd w:fill="DCE6F1" w:val="clear"/>
            <w:tcMar>
              <w:top w:type="dxa" w:w="70"/>
              <w:left w:type="dxa" w:w="100"/>
              <w:bottom w:type="dxa" w:w="70"/>
              <w:right w:type="dxa" w:w="100"/>
            </w:tcMar>
          </w:tcPr>
          <w:p>
            <w:r>
              <w:rPr>
                <w:sz w:val="19"/>
                <w:szCs w:val="19"/>
              </w:rPr>
              <w:t xml:space="preserve">Abrupt 10x traffic increase, verify scale-out and no dropped requests beyond acceptable error budget</w:t>
            </w:r>
          </w:p>
        </w:tc>
      </w:tr>
    </w:tbl>
    <w:p>
      <w:r>
        <w:br w:type="page"/>
      </w:r>
    </w:p>
    <w:p>
      <w:pPr>
        <w:pStyle w:val="Heading1"/>
        <w:spacing w:before="400" w:after="200"/>
      </w:pPr>
      <w:r>
        <w:rPr>
          <w:b/>
          <w:bCs/>
          <w:color w:val="1F3864"/>
          <w:sz w:val="32"/>
          <w:szCs w:val="32"/>
        </w:rPr>
        <w:t xml:space="preserve">9. Multi-Tenancy &amp; Financial Data Integrity Testing</w:t>
      </w:r>
    </w:p>
    <w:p>
      <w:pPr>
        <w:pStyle w:val="Heading2"/>
        <w:spacing w:before="300" w:after="150"/>
      </w:pPr>
      <w:r>
        <w:rPr>
          <w:b/>
          <w:bCs/>
          <w:color w:val="2E75B6"/>
          <w:sz w:val="26"/>
          <w:szCs w:val="26"/>
        </w:rPr>
        <w:t xml:space="preserve">9.1 Multi-Tenancy Suite</w:t>
      </w:r>
    </w:p>
    <w:p>
      <w:pPr>
        <w:spacing w:after="160" w:line="276"/>
      </w:pPr>
      <w:r>
        <w:rPr>
          <w:b w:val="false"/>
          <w:bCs w:val="false"/>
          <w:i w:val="false"/>
          <w:iCs w:val="false"/>
          <w:color w:val="1A1A1A"/>
          <w:sz w:val="22"/>
          <w:szCs w:val="22"/>
        </w:rPr>
        <w:t xml:space="preserve">Beyond the cross-tenant leakage suite (Section 7), this includes cache-key isolation tests (Vol.3 Section 7.2 tenant-prefixed keys), tenant-context-propagation tests (Vol.3 Section 11.2 - verifying every async job and event consumer correctly carries tenantId, not just synchronous API requests), and tenant-deletion/offboarding tests (Vol.4 Section 10) verifying a deactivated tenant's data is inaccessible without being prematurely purged.</w:t>
      </w:r>
    </w:p>
    <w:p>
      <w:pPr>
        <w:pStyle w:val="Heading2"/>
        <w:spacing w:before="300" w:after="150"/>
      </w:pPr>
      <w:r>
        <w:rPr>
          <w:b/>
          <w:bCs/>
          <w:color w:val="2E75B6"/>
          <w:sz w:val="26"/>
          <w:szCs w:val="26"/>
        </w:rPr>
        <w:t xml:space="preserve">9.2 Financial Integrity Suite</w:t>
      </w:r>
    </w:p>
    <w:p>
      <w:pPr>
        <w:pStyle w:val="ListParagraph"/>
        <w:numPr>
          <w:ilvl w:val="0"/>
          <w:numId w:val="1"/>
        </w:numPr>
        <w:spacing w:after="80"/>
      </w:pPr>
      <w:r>
        <w:rPr>
          <w:sz w:val="22"/>
          <w:szCs w:val="22"/>
        </w:rPr>
        <w:t xml:space="preserve">Double-entry balance invariant: after every test scenario (unit, integration, or E2E) that posts to the ledger, assert total debits equal total credits for every affected journal entry and, in aggregate, for the tenant's full ledger.</w:t>
      </w:r>
    </w:p>
    <w:p>
      <w:pPr>
        <w:pStyle w:val="ListParagraph"/>
        <w:numPr>
          <w:ilvl w:val="0"/>
          <w:numId w:val="1"/>
        </w:numPr>
        <w:spacing w:after="80"/>
      </w:pPr>
      <w:r>
        <w:rPr>
          <w:sz w:val="22"/>
          <w:szCs w:val="22"/>
        </w:rPr>
        <w:t xml:space="preserve">Append-only enforcement: attempt direct UPDATE/DELETE against ledger.journal_lines using the application's database role and assert it is rejected (Vol.4 Section 4.1 principle D2).</w:t>
      </w:r>
    </w:p>
    <w:p>
      <w:pPr>
        <w:pStyle w:val="ListParagraph"/>
        <w:numPr>
          <w:ilvl w:val="0"/>
          <w:numId w:val="1"/>
        </w:numPr>
        <w:spacing w:after="80"/>
      </w:pPr>
      <w:r>
        <w:rPr>
          <w:sz w:val="22"/>
          <w:szCs w:val="22"/>
        </w:rPr>
        <w:t xml:space="preserve">Reversal correctness: for every voided/reversed transaction, assert the reversing entry exactly negates the original and that both remain queryable (never physically deleted).</w:t>
      </w:r>
    </w:p>
    <w:p>
      <w:pPr>
        <w:pStyle w:val="ListParagraph"/>
        <w:numPr>
          <w:ilvl w:val="0"/>
          <w:numId w:val="1"/>
        </w:numPr>
        <w:spacing w:after="80"/>
      </w:pPr>
      <w:r>
        <w:rPr>
          <w:sz w:val="22"/>
          <w:szCs w:val="22"/>
        </w:rPr>
        <w:t xml:space="preserve">Idempotent replay: replay the same domain event twice through a consumer and assert no double-posting occurs (Vol.3 Section 8.2 idempotent-consumer requirement).</w:t>
      </w:r>
    </w:p>
    <w:p>
      <w:pPr>
        <w:pStyle w:val="ListParagraph"/>
        <w:numPr>
          <w:ilvl w:val="0"/>
          <w:numId w:val="1"/>
        </w:numPr>
        <w:spacing w:after="80"/>
      </w:pPr>
      <w:r>
        <w:rPr>
          <w:sz w:val="22"/>
          <w:szCs w:val="22"/>
        </w:rPr>
        <w:t xml:space="preserve">Audit hash-chain integrity: run the periodic verification job (Vol.6 Section 9.2) against a seeded audit log and assert it detects an artificially tampered entry.</w:t>
      </w:r>
    </w:p>
    <w:p>
      <w:r>
        <w:br w:type="page"/>
      </w:r>
    </w:p>
    <w:p>
      <w:pPr>
        <w:pStyle w:val="Heading1"/>
        <w:spacing w:before="400" w:after="200"/>
      </w:pPr>
      <w:r>
        <w:rPr>
          <w:b/>
          <w:bCs/>
          <w:color w:val="1F3864"/>
          <w:sz w:val="32"/>
          <w:szCs w:val="32"/>
        </w:rPr>
        <w:t xml:space="preserve">10. Resilience &amp; Chaos Testing</w:t>
      </w:r>
    </w:p>
    <w:p>
      <w:pPr>
        <w:spacing w:after="160" w:line="276"/>
      </w:pPr>
      <w:r>
        <w:rPr>
          <w:b w:val="false"/>
          <w:bCs w:val="false"/>
          <w:i w:val="false"/>
          <w:iCs w:val="false"/>
          <w:color w:val="1A1A1A"/>
          <w:sz w:val="22"/>
          <w:szCs w:val="22"/>
        </w:rPr>
        <w:t xml:space="preserve">Verifies the failure-handling patterns from Vol. 5 Section 8 and the disaster-recovery posture from Vol. 7 Section 9 actually work, rather than trusting the design on paper.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4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Test</w:t>
            </w:r>
          </w:p>
        </w:tc>
        <w:tc>
          <w:tcPr>
            <w:tcW w:type="dxa" w:w="3350"/>
            <w:shd w:fill="1F3864" w:val="clear"/>
            <w:tcMar>
              <w:top w:type="dxa" w:w="80"/>
              <w:left w:type="dxa" w:w="100"/>
              <w:bottom w:type="dxa" w:w="80"/>
              <w:right w:type="dxa" w:w="100"/>
            </w:tcMar>
            <w:vAlign w:val="center"/>
          </w:tcPr>
          <w:p>
            <w:r>
              <w:rPr>
                <w:b/>
                <w:bCs/>
                <w:color w:val="FFFFFF"/>
                <w:sz w:val="19"/>
                <w:szCs w:val="19"/>
              </w:rPr>
              <w:t xml:space="preserve">Failure Injected</w:t>
            </w:r>
          </w:p>
        </w:tc>
        <w:tc>
          <w:tcPr>
            <w:tcW w:type="dxa" w:w="3400"/>
            <w:shd w:fill="1F3864" w:val="clear"/>
            <w:tcMar>
              <w:top w:type="dxa" w:w="80"/>
              <w:left w:type="dxa" w:w="100"/>
              <w:bottom w:type="dxa" w:w="80"/>
              <w:right w:type="dxa" w:w="100"/>
            </w:tcMar>
            <w:vAlign w:val="center"/>
          </w:tcPr>
          <w:p>
            <w:r>
              <w:rPr>
                <w:b/>
                <w:bCs/>
                <w:color w:val="FFFFFF"/>
                <w:sz w:val="19"/>
                <w:szCs w:val="19"/>
              </w:rPr>
              <w:t xml:space="preserve">Expected Behavior</w:t>
            </w:r>
          </w:p>
        </w:tc>
      </w:tr>
      <w:tr>
        <w:tc>
          <w:tcPr>
            <w:tcW w:type="dxa" w:w="2600"/>
            <w:shd w:fill="FFFFFF" w:val="clear"/>
            <w:tcMar>
              <w:top w:type="dxa" w:w="70"/>
              <w:left w:type="dxa" w:w="100"/>
              <w:bottom w:type="dxa" w:w="70"/>
              <w:right w:type="dxa" w:w="100"/>
            </w:tcMar>
          </w:tcPr>
          <w:p>
            <w:r>
              <w:rPr>
                <w:sz w:val="19"/>
                <w:szCs w:val="19"/>
              </w:rPr>
              <w:t xml:space="preserve">Circuit breaker trip</w:t>
            </w:r>
          </w:p>
        </w:tc>
        <w:tc>
          <w:tcPr>
            <w:tcW w:type="dxa" w:w="3350"/>
            <w:shd w:fill="FFFFFF" w:val="clear"/>
            <w:tcMar>
              <w:top w:type="dxa" w:w="70"/>
              <w:left w:type="dxa" w:w="100"/>
              <w:bottom w:type="dxa" w:w="70"/>
              <w:right w:type="dxa" w:w="100"/>
            </w:tcMar>
          </w:tcPr>
          <w:p>
            <w:r>
              <w:rPr>
                <w:sz w:val="19"/>
                <w:szCs w:val="19"/>
              </w:rPr>
              <w:t xml:space="preserve">Simulated third-party provider (bank aggregator/payment gateway, Vol.5) returns errors above threshold</w:t>
            </w:r>
          </w:p>
        </w:tc>
        <w:tc>
          <w:tcPr>
            <w:tcW w:type="dxa" w:w="3400"/>
            <w:shd w:fill="FFFFFF" w:val="clear"/>
            <w:tcMar>
              <w:top w:type="dxa" w:w="70"/>
              <w:left w:type="dxa" w:w="100"/>
              <w:bottom w:type="dxa" w:w="70"/>
              <w:right w:type="dxa" w:w="100"/>
            </w:tcMar>
          </w:tcPr>
          <w:p>
            <w:r>
              <w:rPr>
                <w:sz w:val="19"/>
                <w:szCs w:val="19"/>
              </w:rPr>
              <w:t xml:space="preserve">Circuit opens (Vol.5 Section 8.2), calls fail fast, platform remains responsive for unrelated operations</w:t>
            </w:r>
          </w:p>
        </w:tc>
      </w:tr>
      <w:tr>
        <w:tc>
          <w:tcPr>
            <w:tcW w:type="dxa" w:w="2600"/>
            <w:shd w:fill="DCE6F1" w:val="clear"/>
            <w:tcMar>
              <w:top w:type="dxa" w:w="70"/>
              <w:left w:type="dxa" w:w="100"/>
              <w:bottom w:type="dxa" w:w="70"/>
              <w:right w:type="dxa" w:w="100"/>
            </w:tcMar>
          </w:tcPr>
          <w:p>
            <w:r>
              <w:rPr>
                <w:sz w:val="19"/>
                <w:szCs w:val="19"/>
              </w:rPr>
              <w:t xml:space="preserve">Kafka broker unavailability (brief)</w:t>
            </w:r>
          </w:p>
        </w:tc>
        <w:tc>
          <w:tcPr>
            <w:tcW w:type="dxa" w:w="3350"/>
            <w:shd w:fill="DCE6F1" w:val="clear"/>
            <w:tcMar>
              <w:top w:type="dxa" w:w="70"/>
              <w:left w:type="dxa" w:w="100"/>
              <w:bottom w:type="dxa" w:w="70"/>
              <w:right w:type="dxa" w:w="100"/>
            </w:tcMar>
          </w:tcPr>
          <w:p>
            <w:r>
              <w:rPr>
                <w:sz w:val="19"/>
                <w:szCs w:val="19"/>
              </w:rPr>
              <w:t xml:space="preserve">MSK broker restart/failover (Vol.7 Section 7)</w:t>
            </w:r>
          </w:p>
        </w:tc>
        <w:tc>
          <w:tcPr>
            <w:tcW w:type="dxa" w:w="3400"/>
            <w:shd w:fill="DCE6F1" w:val="clear"/>
            <w:tcMar>
              <w:top w:type="dxa" w:w="70"/>
              <w:left w:type="dxa" w:w="100"/>
              <w:bottom w:type="dxa" w:w="70"/>
              <w:right w:type="dxa" w:w="100"/>
            </w:tcMar>
          </w:tcPr>
          <w:p>
            <w:r>
              <w:rPr>
                <w:sz w:val="19"/>
                <w:szCs w:val="19"/>
              </w:rPr>
              <w:t xml:space="preserve">Outbox pattern (Vol.5 Section 8.1) queues events without loss; consumers resume from last offset on recovery</w:t>
            </w:r>
          </w:p>
        </w:tc>
      </w:tr>
      <w:tr>
        <w:tc>
          <w:tcPr>
            <w:tcW w:type="dxa" w:w="2600"/>
            <w:shd w:fill="FFFFFF" w:val="clear"/>
            <w:tcMar>
              <w:top w:type="dxa" w:w="70"/>
              <w:left w:type="dxa" w:w="100"/>
              <w:bottom w:type="dxa" w:w="70"/>
              <w:right w:type="dxa" w:w="100"/>
            </w:tcMar>
          </w:tcPr>
          <w:p>
            <w:r>
              <w:rPr>
                <w:sz w:val="19"/>
                <w:szCs w:val="19"/>
              </w:rPr>
              <w:t xml:space="preserve">Database failover</w:t>
            </w:r>
          </w:p>
        </w:tc>
        <w:tc>
          <w:tcPr>
            <w:tcW w:type="dxa" w:w="3350"/>
            <w:shd w:fill="FFFFFF" w:val="clear"/>
            <w:tcMar>
              <w:top w:type="dxa" w:w="70"/>
              <w:left w:type="dxa" w:w="100"/>
              <w:bottom w:type="dxa" w:w="70"/>
              <w:right w:type="dxa" w:w="100"/>
            </w:tcMar>
          </w:tcPr>
          <w:p>
            <w:r>
              <w:rPr>
                <w:sz w:val="19"/>
                <w:szCs w:val="19"/>
              </w:rPr>
              <w:t xml:space="preserve">RDS Multi-AZ failover triggered (Vol.7 Section 9.3)</w:t>
            </w:r>
          </w:p>
        </w:tc>
        <w:tc>
          <w:tcPr>
            <w:tcW w:type="dxa" w:w="3400"/>
            <w:shd w:fill="FFFFFF" w:val="clear"/>
            <w:tcMar>
              <w:top w:type="dxa" w:w="70"/>
              <w:left w:type="dxa" w:w="100"/>
              <w:bottom w:type="dxa" w:w="70"/>
              <w:right w:type="dxa" w:w="100"/>
            </w:tcMar>
          </w:tcPr>
          <w:p>
            <w:r>
              <w:rPr>
                <w:sz w:val="19"/>
                <w:szCs w:val="19"/>
              </w:rPr>
              <w:t xml:space="preserve">Application reconnects within the Vol.7 Section 9.1 RTO target; no data loss within the RPO target</w:t>
            </w:r>
          </w:p>
        </w:tc>
      </w:tr>
      <w:tr>
        <w:tc>
          <w:tcPr>
            <w:tcW w:type="dxa" w:w="2600"/>
            <w:shd w:fill="DCE6F1" w:val="clear"/>
            <w:tcMar>
              <w:top w:type="dxa" w:w="70"/>
              <w:left w:type="dxa" w:w="100"/>
              <w:bottom w:type="dxa" w:w="70"/>
              <w:right w:type="dxa" w:w="100"/>
            </w:tcMar>
          </w:tcPr>
          <w:p>
            <w:r>
              <w:rPr>
                <w:sz w:val="19"/>
                <w:szCs w:val="19"/>
              </w:rPr>
              <w:t xml:space="preserve">Poison message handling</w:t>
            </w:r>
          </w:p>
        </w:tc>
        <w:tc>
          <w:tcPr>
            <w:tcW w:type="dxa" w:w="3350"/>
            <w:shd w:fill="DCE6F1" w:val="clear"/>
            <w:tcMar>
              <w:top w:type="dxa" w:w="70"/>
              <w:left w:type="dxa" w:w="100"/>
              <w:bottom w:type="dxa" w:w="70"/>
              <w:right w:type="dxa" w:w="100"/>
            </w:tcMar>
          </w:tcPr>
          <w:p>
            <w:r>
              <w:rPr>
                <w:sz w:val="19"/>
                <w:szCs w:val="19"/>
              </w:rPr>
              <w:t xml:space="preserve">A malformed event repeatedly fails consumer processing (Vol.3 Section 8.2)</w:t>
            </w:r>
          </w:p>
        </w:tc>
        <w:tc>
          <w:tcPr>
            <w:tcW w:type="dxa" w:w="3400"/>
            <w:shd w:fill="DCE6F1" w:val="clear"/>
            <w:tcMar>
              <w:top w:type="dxa" w:w="70"/>
              <w:left w:type="dxa" w:w="100"/>
              <w:bottom w:type="dxa" w:w="70"/>
              <w:right w:type="dxa" w:w="100"/>
            </w:tcMar>
          </w:tcPr>
          <w:p>
            <w:r>
              <w:rPr>
                <w:sz w:val="19"/>
                <w:szCs w:val="19"/>
              </w:rPr>
              <w:t xml:space="preserve">Routed to dead-letter topic after the configured retry count; alert fires (Vol.7 Section 8.2)</w:t>
            </w:r>
          </w:p>
        </w:tc>
      </w:tr>
      <w:tr>
        <w:tc>
          <w:tcPr>
            <w:tcW w:type="dxa" w:w="2600"/>
            <w:shd w:fill="FFFFFF" w:val="clear"/>
            <w:tcMar>
              <w:top w:type="dxa" w:w="70"/>
              <w:left w:type="dxa" w:w="100"/>
              <w:bottom w:type="dxa" w:w="70"/>
              <w:right w:type="dxa" w:w="100"/>
            </w:tcMar>
          </w:tcPr>
          <w:p>
            <w:r>
              <w:rPr>
                <w:sz w:val="19"/>
                <w:szCs w:val="19"/>
              </w:rPr>
              <w:t xml:space="preserve">Webhook endpoint failure (outbound)</w:t>
            </w:r>
          </w:p>
        </w:tc>
        <w:tc>
          <w:tcPr>
            <w:tcW w:type="dxa" w:w="3350"/>
            <w:shd w:fill="FFFFFF" w:val="clear"/>
            <w:tcMar>
              <w:top w:type="dxa" w:w="70"/>
              <w:left w:type="dxa" w:w="100"/>
              <w:bottom w:type="dxa" w:w="70"/>
              <w:right w:type="dxa" w:w="100"/>
            </w:tcMar>
          </w:tcPr>
          <w:p>
            <w:r>
              <w:rPr>
                <w:sz w:val="19"/>
                <w:szCs w:val="19"/>
              </w:rPr>
              <w:t xml:space="preserve">A third-party integrator's webhook receiver is down (Vol.5 Section 7.1)</w:t>
            </w:r>
          </w:p>
        </w:tc>
        <w:tc>
          <w:tcPr>
            <w:tcW w:type="dxa" w:w="3400"/>
            <w:shd w:fill="FFFFFF" w:val="clear"/>
            <w:tcMar>
              <w:top w:type="dxa" w:w="70"/>
              <w:left w:type="dxa" w:w="100"/>
              <w:bottom w:type="dxa" w:w="70"/>
              <w:right w:type="dxa" w:w="100"/>
            </w:tcMar>
          </w:tcPr>
          <w:p>
            <w:r>
              <w:rPr>
                <w:sz w:val="19"/>
                <w:szCs w:val="19"/>
              </w:rPr>
              <w:t xml:space="preserve">Exponential backoff retry for up to 24h, then dead-letter with visible delivery-log entry</w:t>
            </w:r>
          </w:p>
        </w:tc>
      </w:tr>
      <w:tr>
        <w:tc>
          <w:tcPr>
            <w:tcW w:type="dxa" w:w="2600"/>
            <w:shd w:fill="DCE6F1" w:val="clear"/>
            <w:tcMar>
              <w:top w:type="dxa" w:w="70"/>
              <w:left w:type="dxa" w:w="100"/>
              <w:bottom w:type="dxa" w:w="70"/>
              <w:right w:type="dxa" w:w="100"/>
            </w:tcMar>
          </w:tcPr>
          <w:p>
            <w:r>
              <w:rPr>
                <w:sz w:val="19"/>
                <w:szCs w:val="19"/>
              </w:rPr>
              <w:t xml:space="preserve">Region/AZ loss simulation</w:t>
            </w:r>
          </w:p>
        </w:tc>
        <w:tc>
          <w:tcPr>
            <w:tcW w:type="dxa" w:w="3350"/>
            <w:shd w:fill="DCE6F1" w:val="clear"/>
            <w:tcMar>
              <w:top w:type="dxa" w:w="70"/>
              <w:left w:type="dxa" w:w="100"/>
              <w:bottom w:type="dxa" w:w="70"/>
              <w:right w:type="dxa" w:w="100"/>
            </w:tcMar>
          </w:tcPr>
          <w:p>
            <w:r>
              <w:rPr>
                <w:sz w:val="19"/>
                <w:szCs w:val="19"/>
              </w:rPr>
              <w:t xml:space="preserve">Staging environment fails over to secondary AZ (Vol.7 Section 9.3)</w:t>
            </w:r>
          </w:p>
        </w:tc>
        <w:tc>
          <w:tcPr>
            <w:tcW w:type="dxa" w:w="3400"/>
            <w:shd w:fill="DCE6F1" w:val="clear"/>
            <w:tcMar>
              <w:top w:type="dxa" w:w="70"/>
              <w:left w:type="dxa" w:w="100"/>
              <w:bottom w:type="dxa" w:w="70"/>
              <w:right w:type="dxa" w:w="100"/>
            </w:tcMar>
          </w:tcPr>
          <w:p>
            <w:r>
              <w:rPr>
                <w:sz w:val="19"/>
                <w:szCs w:val="19"/>
              </w:rPr>
              <w:t xml:space="preserve">Meets or approaches the RTO/RPO targets in a documented game-day exercise</w:t>
            </w:r>
          </w:p>
        </w:tc>
      </w:tr>
    </w:tbl>
    <w:p>
      <w:r>
        <w:br w:type="page"/>
      </w:r>
    </w:p>
    <w:p>
      <w:pPr>
        <w:pStyle w:val="Heading1"/>
        <w:spacing w:before="400" w:after="200"/>
      </w:pPr>
      <w:r>
        <w:rPr>
          <w:b/>
          <w:bCs/>
          <w:color w:val="1F3864"/>
          <w:sz w:val="32"/>
          <w:szCs w:val="32"/>
        </w:rPr>
        <w:t xml:space="preserve">11. Test Data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Environment</w:t>
            </w:r>
          </w:p>
        </w:tc>
        <w:tc>
          <w:tcPr>
            <w:tcW w:type="dxa" w:w="6750"/>
            <w:shd w:fill="1F3864" w:val="clear"/>
            <w:tcMar>
              <w:top w:type="dxa" w:w="80"/>
              <w:left w:type="dxa" w:w="100"/>
              <w:bottom w:type="dxa" w:w="80"/>
              <w:right w:type="dxa" w:w="100"/>
            </w:tcMar>
            <w:vAlign w:val="center"/>
          </w:tcPr>
          <w:p>
            <w:r>
              <w:rPr>
                <w:b/>
                <w:bCs/>
                <w:color w:val="FFFFFF"/>
                <w:sz w:val="19"/>
                <w:szCs w:val="19"/>
              </w:rPr>
              <w:t xml:space="preserve">Data Approach</w:t>
            </w:r>
          </w:p>
        </w:tc>
      </w:tr>
      <w:tr>
        <w:tc>
          <w:tcPr>
            <w:tcW w:type="dxa" w:w="2600"/>
            <w:shd w:fill="FFFFFF" w:val="clear"/>
            <w:tcMar>
              <w:top w:type="dxa" w:w="70"/>
              <w:left w:type="dxa" w:w="100"/>
              <w:bottom w:type="dxa" w:w="70"/>
              <w:right w:type="dxa" w:w="100"/>
            </w:tcMar>
          </w:tcPr>
          <w:p>
            <w:r>
              <w:rPr>
                <w:sz w:val="19"/>
                <w:szCs w:val="19"/>
              </w:rPr>
              <w:t xml:space="preserve">Local/dev, CI/ephemeral (Vol.7 Section 2.1)</w:t>
            </w:r>
          </w:p>
        </w:tc>
        <w:tc>
          <w:tcPr>
            <w:tcW w:type="dxa" w:w="6750"/>
            <w:shd w:fill="FFFFFF" w:val="clear"/>
            <w:tcMar>
              <w:top w:type="dxa" w:w="70"/>
              <w:left w:type="dxa" w:w="100"/>
              <w:bottom w:type="dxa" w:w="70"/>
              <w:right w:type="dxa" w:w="100"/>
            </w:tcMar>
          </w:tcPr>
          <w:p>
            <w:r>
              <w:rPr>
                <w:sz w:val="19"/>
                <w:szCs w:val="19"/>
              </w:rPr>
              <w:t xml:space="preserve">Programmatically generated synthetic data, seeded fresh per test run; includes at least one multi-tenant scenario (2+ tenants with overlapping entity IDs) to make cross-tenant bugs visible by construction</w:t>
            </w:r>
          </w:p>
        </w:tc>
      </w:tr>
      <w:tr>
        <w:tc>
          <w:tcPr>
            <w:tcW w:type="dxa" w:w="2600"/>
            <w:shd w:fill="DCE6F1" w:val="clear"/>
            <w:tcMar>
              <w:top w:type="dxa" w:w="70"/>
              <w:left w:type="dxa" w:w="100"/>
              <w:bottom w:type="dxa" w:w="70"/>
              <w:right w:type="dxa" w:w="100"/>
            </w:tcMar>
          </w:tcPr>
          <w:p>
            <w:r>
              <w:rPr>
                <w:sz w:val="19"/>
                <w:szCs w:val="19"/>
              </w:rPr>
              <w:t xml:space="preserve">Staging (Vol.7 Section 2.1)</w:t>
            </w:r>
          </w:p>
        </w:tc>
        <w:tc>
          <w:tcPr>
            <w:tcW w:type="dxa" w:w="6750"/>
            <w:shd w:fill="DCE6F1" w:val="clear"/>
            <w:tcMar>
              <w:top w:type="dxa" w:w="70"/>
              <w:left w:type="dxa" w:w="100"/>
              <w:bottom w:type="dxa" w:w="70"/>
              <w:right w:type="dxa" w:w="100"/>
            </w:tcMar>
          </w:tcPr>
          <w:p>
            <w:r>
              <w:rPr>
                <w:sz w:val="19"/>
                <w:szCs w:val="19"/>
              </w:rPr>
              <w:t xml:space="preserve">Anonymized/synthetic data only - real tenant data is never copied to staging, consistent with Vol.6's compliance posture (Section 10)</w:t>
            </w:r>
          </w:p>
        </w:tc>
      </w:tr>
      <w:tr>
        <w:tc>
          <w:tcPr>
            <w:tcW w:type="dxa" w:w="2600"/>
            <w:shd w:fill="FFFFFF" w:val="clear"/>
            <w:tcMar>
              <w:top w:type="dxa" w:w="70"/>
              <w:left w:type="dxa" w:w="100"/>
              <w:bottom w:type="dxa" w:w="70"/>
              <w:right w:type="dxa" w:w="100"/>
            </w:tcMar>
          </w:tcPr>
          <w:p>
            <w:r>
              <w:rPr>
                <w:sz w:val="19"/>
                <w:szCs w:val="19"/>
              </w:rPr>
              <w:t xml:space="preserve">Performance testing (Section 8)</w:t>
            </w:r>
          </w:p>
        </w:tc>
        <w:tc>
          <w:tcPr>
            <w:tcW w:type="dxa" w:w="6750"/>
            <w:shd w:fill="FFFFFF" w:val="clear"/>
            <w:tcMar>
              <w:top w:type="dxa" w:w="70"/>
              <w:left w:type="dxa" w:w="100"/>
              <w:bottom w:type="dxa" w:w="70"/>
              <w:right w:type="dxa" w:w="100"/>
            </w:tcMar>
          </w:tcPr>
          <w:p>
            <w:r>
              <w:rPr>
                <w:sz w:val="19"/>
                <w:szCs w:val="19"/>
              </w:rPr>
              <w:t xml:space="preserve">Synthetically generated large-scale datasets modeling realistic transaction volume distributions (e.g. Pareto-distributed transaction counts per tenant) rather than uniform synthetic data, so load tests reflect realistic hot-tenant scenarios</w:t>
            </w:r>
          </w:p>
        </w:tc>
      </w:tr>
      <w:tr>
        <w:tc>
          <w:tcPr>
            <w:tcW w:type="dxa" w:w="2600"/>
            <w:shd w:fill="DCE6F1" w:val="clear"/>
            <w:tcMar>
              <w:top w:type="dxa" w:w="70"/>
              <w:left w:type="dxa" w:w="100"/>
              <w:bottom w:type="dxa" w:w="70"/>
              <w:right w:type="dxa" w:w="100"/>
            </w:tcMar>
          </w:tcPr>
          <w:p>
            <w:r>
              <w:rPr>
                <w:sz w:val="19"/>
                <w:szCs w:val="19"/>
              </w:rPr>
              <w:t xml:space="preserve">Financial integrity suite (Section 9.2)</w:t>
            </w:r>
          </w:p>
        </w:tc>
        <w:tc>
          <w:tcPr>
            <w:tcW w:type="dxa" w:w="6750"/>
            <w:shd w:fill="DCE6F1" w:val="clear"/>
            <w:tcMar>
              <w:top w:type="dxa" w:w="70"/>
              <w:left w:type="dxa" w:w="100"/>
              <w:bottom w:type="dxa" w:w="70"/>
              <w:right w:type="dxa" w:w="100"/>
            </w:tcMar>
          </w:tcPr>
          <w:p>
            <w:r>
              <w:rPr>
                <w:sz w:val="19"/>
                <w:szCs w:val="19"/>
              </w:rPr>
              <w:t xml:space="preserve">Deterministic, hand-crafted fixture data for known-answer testing (e.g. a fixture where the correct trial balance is computed independently and asserted against)</w:t>
            </w:r>
          </w:p>
        </w:tc>
      </w:tr>
    </w:tbl>
    <w:p>
      <w:r>
        <w:br w:type="page"/>
      </w:r>
    </w:p>
    <w:p>
      <w:pPr>
        <w:pStyle w:val="Heading1"/>
        <w:spacing w:before="400" w:after="200"/>
      </w:pPr>
      <w:r>
        <w:rPr>
          <w:b/>
          <w:bCs/>
          <w:color w:val="1F3864"/>
          <w:sz w:val="32"/>
          <w:szCs w:val="32"/>
        </w:rPr>
        <w:t xml:space="preserve">12. User Acceptance Testing &amp; Acceptance Criteria</w:t>
      </w:r>
    </w:p>
    <w:p>
      <w:pPr>
        <w:pStyle w:val="Heading2"/>
        <w:spacing w:before="300" w:after="150"/>
      </w:pPr>
      <w:r>
        <w:rPr>
          <w:b/>
          <w:bCs/>
          <w:color w:val="2E75B6"/>
          <w:sz w:val="26"/>
          <w:szCs w:val="26"/>
        </w:rPr>
        <w:t xml:space="preserve">12.1 Acceptance Criteria Source</w:t>
      </w:r>
    </w:p>
    <w:p>
      <w:pPr>
        <w:spacing w:after="160" w:line="276"/>
      </w:pPr>
      <w:r>
        <w:rPr>
          <w:b w:val="false"/>
          <w:bCs w:val="false"/>
          <w:i w:val="false"/>
          <w:iCs w:val="false"/>
          <w:color w:val="1A1A1A"/>
          <w:sz w:val="22"/>
          <w:szCs w:val="22"/>
        </w:rPr>
        <w:t xml:space="preserve">Per Vol. 1 Section 12's extraction note, functional acceptance criteria are derived directly from the Vol. 1 Section 6 Module &amp; Feature Scope Catalog: every MVP-scoped row becomes a numbered acceptance criterion that must pass UAT before Release 1 ships. This avoids maintaining acceptance criteria as a separate, driftable document.</w:t>
      </w:r>
    </w:p>
    <w:p>
      <w:pPr>
        <w:pStyle w:val="Heading2"/>
        <w:spacing w:before="300" w:after="150"/>
      </w:pPr>
      <w:r>
        <w:rPr>
          <w:b/>
          <w:bCs/>
          <w:color w:val="2E75B6"/>
          <w:sz w:val="26"/>
          <w:szCs w:val="26"/>
        </w:rPr>
        <w:t xml:space="preserve">12.2 Sample Acceptance Criteria Derivation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Vol.1 Scope Row</w:t>
            </w:r>
          </w:p>
        </w:tc>
        <w:tc>
          <w:tcPr>
            <w:tcW w:type="dxa" w:w="6150"/>
            <w:shd w:fill="1F3864" w:val="clear"/>
            <w:tcMar>
              <w:top w:type="dxa" w:w="80"/>
              <w:left w:type="dxa" w:w="100"/>
              <w:bottom w:type="dxa" w:w="80"/>
              <w:right w:type="dxa" w:w="100"/>
            </w:tcMar>
            <w:vAlign w:val="center"/>
          </w:tcPr>
          <w:p>
            <w:r>
              <w:rPr>
                <w:b/>
                <w:bCs/>
                <w:color w:val="FFFFFF"/>
                <w:sz w:val="19"/>
                <w:szCs w:val="19"/>
              </w:rPr>
              <w:t xml:space="preserve">Derived Acceptance Criterion</w:t>
            </w:r>
          </w:p>
        </w:tc>
      </w:tr>
      <w:tr>
        <w:tc>
          <w:tcPr>
            <w:tcW w:type="dxa" w:w="3200"/>
            <w:shd w:fill="FFFFFF" w:val="clear"/>
            <w:tcMar>
              <w:top w:type="dxa" w:w="70"/>
              <w:left w:type="dxa" w:w="100"/>
              <w:bottom w:type="dxa" w:w="70"/>
              <w:right w:type="dxa" w:w="100"/>
            </w:tcMar>
          </w:tcPr>
          <w:p>
            <w:r>
              <w:rPr>
                <w:sz w:val="19"/>
                <w:szCs w:val="19"/>
              </w:rPr>
              <w:t xml:space="preserve">BC-02 Receivables MVP: invoices, quotes, payments received</w:t>
            </w:r>
          </w:p>
        </w:tc>
        <w:tc>
          <w:tcPr>
            <w:tcW w:type="dxa" w:w="6150"/>
            <w:shd w:fill="FFFFFF" w:val="clear"/>
            <w:tcMar>
              <w:top w:type="dxa" w:w="70"/>
              <w:left w:type="dxa" w:w="100"/>
              <w:bottom w:type="dxa" w:w="70"/>
              <w:right w:type="dxa" w:w="100"/>
            </w:tcMar>
          </w:tcPr>
          <w:p>
            <w:r>
              <w:rPr>
                <w:sz w:val="19"/>
                <w:szCs w:val="19"/>
              </w:rPr>
              <w:t xml:space="preserve">AC-BC02-01: A user can create, send, and receive payment against an invoice, and the invoice status transitions correctly through the Vol.2 Section 8.1 state machine</w:t>
            </w:r>
          </w:p>
        </w:tc>
      </w:tr>
      <w:tr>
        <w:tc>
          <w:tcPr>
            <w:tcW w:type="dxa" w:w="3200"/>
            <w:shd w:fill="DCE6F1" w:val="clear"/>
            <w:tcMar>
              <w:top w:type="dxa" w:w="70"/>
              <w:left w:type="dxa" w:w="100"/>
              <w:bottom w:type="dxa" w:w="70"/>
              <w:right w:type="dxa" w:w="100"/>
            </w:tcMar>
          </w:tcPr>
          <w:p>
            <w:r>
              <w:rPr>
                <w:sz w:val="19"/>
                <w:szCs w:val="19"/>
              </w:rPr>
              <w:t xml:space="preserve">BC-05 Banking MVP: manual statement import, reconciliation</w:t>
            </w:r>
          </w:p>
        </w:tc>
        <w:tc>
          <w:tcPr>
            <w:tcW w:type="dxa" w:w="6150"/>
            <w:shd w:fill="DCE6F1" w:val="clear"/>
            <w:tcMar>
              <w:top w:type="dxa" w:w="70"/>
              <w:left w:type="dxa" w:w="100"/>
              <w:bottom w:type="dxa" w:w="70"/>
              <w:right w:type="dxa" w:w="100"/>
            </w:tcMar>
          </w:tcPr>
          <w:p>
            <w:r>
              <w:rPr>
                <w:sz w:val="19"/>
                <w:szCs w:val="19"/>
              </w:rPr>
              <w:t xml:space="preserve">AC-BC05-01: A user can import a bank statement file and reconcile at least one transaction against an existing invoice payment</w:t>
            </w:r>
          </w:p>
        </w:tc>
      </w:tr>
      <w:tr>
        <w:tc>
          <w:tcPr>
            <w:tcW w:type="dxa" w:w="3200"/>
            <w:shd w:fill="FFFFFF" w:val="clear"/>
            <w:tcMar>
              <w:top w:type="dxa" w:w="70"/>
              <w:left w:type="dxa" w:w="100"/>
              <w:bottom w:type="dxa" w:w="70"/>
              <w:right w:type="dxa" w:w="100"/>
            </w:tcMar>
          </w:tcPr>
          <w:p>
            <w:r>
              <w:rPr>
                <w:sz w:val="19"/>
                <w:szCs w:val="19"/>
              </w:rPr>
              <w:t xml:space="preserve">BC-11 Tax Compliance MVP: single-country sales tax</w:t>
            </w:r>
          </w:p>
        </w:tc>
        <w:tc>
          <w:tcPr>
            <w:tcW w:type="dxa" w:w="6150"/>
            <w:shd w:fill="FFFFFF" w:val="clear"/>
            <w:tcMar>
              <w:top w:type="dxa" w:w="70"/>
              <w:left w:type="dxa" w:w="100"/>
              <w:bottom w:type="dxa" w:w="70"/>
              <w:right w:type="dxa" w:w="100"/>
            </w:tcMar>
          </w:tcPr>
          <w:p>
            <w:r>
              <w:rPr>
                <w:sz w:val="19"/>
                <w:szCs w:val="19"/>
              </w:rPr>
              <w:t xml:space="preserve">AC-BC11-01: An invoice for a configured jurisdiction calculates tax correctly per the configured flat/tiered rate (Vol.5 Section 5.1)</w:t>
            </w:r>
          </w:p>
        </w:tc>
      </w:tr>
      <w:tr>
        <w:tc>
          <w:tcPr>
            <w:tcW w:type="dxa" w:w="3200"/>
            <w:shd w:fill="DCE6F1" w:val="clear"/>
            <w:tcMar>
              <w:top w:type="dxa" w:w="70"/>
              <w:left w:type="dxa" w:w="100"/>
              <w:bottom w:type="dxa" w:w="70"/>
              <w:right w:type="dxa" w:w="100"/>
            </w:tcMar>
          </w:tcPr>
          <w:p>
            <w:r>
              <w:rPr>
                <w:sz w:val="19"/>
                <w:szCs w:val="19"/>
              </w:rPr>
              <w:t xml:space="preserve">BC-20 Security/Compliance MVP: RBAC, audit trail</w:t>
            </w:r>
          </w:p>
        </w:tc>
        <w:tc>
          <w:tcPr>
            <w:tcW w:type="dxa" w:w="6150"/>
            <w:shd w:fill="DCE6F1" w:val="clear"/>
            <w:tcMar>
              <w:top w:type="dxa" w:w="70"/>
              <w:left w:type="dxa" w:w="100"/>
              <w:bottom w:type="dxa" w:w="70"/>
              <w:right w:type="dxa" w:w="100"/>
            </w:tcMar>
          </w:tcPr>
          <w:p>
            <w:r>
              <w:rPr>
                <w:sz w:val="19"/>
                <w:szCs w:val="19"/>
              </w:rPr>
              <w:t xml:space="preserve">AC-BC20-01: A user assigned the Sales Staff role (Vol.6 Section 3.3) cannot access Payables endpoints, and every financial mutation appears in the audit trail (Vol.6 Section 9)</w:t>
            </w:r>
          </w:p>
        </w:tc>
      </w:tr>
    </w:tbl>
    <w:p>
      <w:pPr>
        <w:pStyle w:val="Heading2"/>
        <w:spacing w:before="300" w:after="150"/>
      </w:pPr>
      <w:r>
        <w:rPr>
          <w:b/>
          <w:bCs/>
          <w:color w:val="2E75B6"/>
          <w:sz w:val="26"/>
          <w:szCs w:val="26"/>
        </w:rPr>
        <w:t xml:space="preserve">12.3 UAT Sign-off Process</w:t>
      </w:r>
    </w:p>
    <w:p>
      <w:pPr>
        <w:pStyle w:val="ListParagraph"/>
        <w:numPr>
          <w:ilvl w:val="0"/>
          <w:numId w:val="2"/>
        </w:numPr>
        <w:spacing w:after="80"/>
      </w:pPr>
      <w:r>
        <w:rPr>
          <w:sz w:val="22"/>
          <w:szCs w:val="22"/>
        </w:rPr>
        <w:t xml:space="preserve">Each MVP acceptance criterion is verified against staging by a business stakeholder (or a designated proxy), not solely by the engineering team that built it.</w:t>
      </w:r>
    </w:p>
    <w:p>
      <w:pPr>
        <w:pStyle w:val="ListParagraph"/>
        <w:numPr>
          <w:ilvl w:val="0"/>
          <w:numId w:val="2"/>
        </w:numPr>
        <w:spacing w:after="80"/>
      </w:pPr>
      <w:r>
        <w:rPr>
          <w:sz w:val="22"/>
          <w:szCs w:val="22"/>
        </w:rPr>
        <w:t xml:space="preserve">A criterion is only marked accepted with a recorded pass note (screenshot or recorded session) attached to the criterion ID, ensuring an auditable UAT record exists.</w:t>
      </w:r>
    </w:p>
    <w:p>
      <w:pPr>
        <w:pStyle w:val="ListParagraph"/>
        <w:numPr>
          <w:ilvl w:val="0"/>
          <w:numId w:val="2"/>
        </w:numPr>
        <w:spacing w:after="80"/>
      </w:pPr>
      <w:r>
        <w:rPr>
          <w:sz w:val="22"/>
          <w:szCs w:val="22"/>
        </w:rPr>
        <w:t xml:space="preserve">Release 1 GA sign-off (Vol.7 Section 5.2 manual approval gate) requires 100% of MVP-tagged acceptance criteria accepted, with any exceptions explicitly waived in writing by the product owner.</w:t>
      </w:r>
    </w:p>
    <w:p>
      <w:r>
        <w:br w:type="page"/>
      </w:r>
    </w:p>
    <w:p>
      <w:pPr>
        <w:pStyle w:val="Heading1"/>
        <w:spacing w:before="400" w:after="200"/>
      </w:pPr>
      <w:r>
        <w:rPr>
          <w:b/>
          <w:bCs/>
          <w:color w:val="1F3864"/>
          <w:sz w:val="32"/>
          <w:szCs w:val="32"/>
        </w:rPr>
        <w:t xml:space="preserve">13. Defect Management &amp; Release Gates</w:t>
      </w:r>
    </w:p>
    <w:p>
      <w:pPr>
        <w:pStyle w:val="Heading2"/>
        <w:spacing w:before="300" w:after="150"/>
      </w:pPr>
      <w:r>
        <w:rPr>
          <w:b/>
          <w:bCs/>
          <w:color w:val="2E75B6"/>
          <w:sz w:val="26"/>
          <w:szCs w:val="26"/>
        </w:rPr>
        <w:t xml:space="preserve">13.1 Severity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4650"/>
        <w:gridCol w:w="3000"/>
      </w:tblGrid>
      <w:tr>
        <w:trPr>
          <w:tblHeader/>
        </w:trPr>
        <w:tc>
          <w:tcPr>
            <w:tcW w:type="dxa" w:w="1700"/>
            <w:shd w:fill="1F3864" w:val="clear"/>
            <w:tcMar>
              <w:top w:type="dxa" w:w="80"/>
              <w:left w:type="dxa" w:w="100"/>
              <w:bottom w:type="dxa" w:w="80"/>
              <w:right w:type="dxa" w:w="100"/>
            </w:tcMar>
            <w:vAlign w:val="center"/>
          </w:tcPr>
          <w:p>
            <w:r>
              <w:rPr>
                <w:b/>
                <w:bCs/>
                <w:color w:val="FFFFFF"/>
                <w:sz w:val="19"/>
                <w:szCs w:val="19"/>
              </w:rPr>
              <w:t xml:space="preserve">Severity</w:t>
            </w:r>
          </w:p>
        </w:tc>
        <w:tc>
          <w:tcPr>
            <w:tcW w:type="dxa" w:w="4650"/>
            <w:shd w:fill="1F3864" w:val="clear"/>
            <w:tcMar>
              <w:top w:type="dxa" w:w="80"/>
              <w:left w:type="dxa" w:w="100"/>
              <w:bottom w:type="dxa" w:w="80"/>
              <w:right w:type="dxa" w:w="100"/>
            </w:tcMar>
            <w:vAlign w:val="center"/>
          </w:tcPr>
          <w:p>
            <w:r>
              <w:rPr>
                <w:b/>
                <w:bCs/>
                <w:color w:val="FFFFFF"/>
                <w:sz w:val="19"/>
                <w:szCs w:val="19"/>
              </w:rPr>
              <w:t xml:space="preserve">Definition</w:t>
            </w:r>
          </w:p>
        </w:tc>
        <w:tc>
          <w:tcPr>
            <w:tcW w:type="dxa" w:w="3000"/>
            <w:shd w:fill="1F3864" w:val="clear"/>
            <w:tcMar>
              <w:top w:type="dxa" w:w="80"/>
              <w:left w:type="dxa" w:w="100"/>
              <w:bottom w:type="dxa" w:w="80"/>
              <w:right w:type="dxa" w:w="100"/>
            </w:tcMar>
            <w:vAlign w:val="center"/>
          </w:tcPr>
          <w:p>
            <w:r>
              <w:rPr>
                <w:b/>
                <w:bCs/>
                <w:color w:val="FFFFFF"/>
                <w:sz w:val="19"/>
                <w:szCs w:val="19"/>
              </w:rPr>
              <w:t xml:space="preserve">Release Impact</w:t>
            </w:r>
          </w:p>
        </w:tc>
      </w:tr>
      <w:tr>
        <w:tc>
          <w:tcPr>
            <w:tcW w:type="dxa" w:w="1700"/>
            <w:shd w:fill="FFFFFF" w:val="clear"/>
            <w:tcMar>
              <w:top w:type="dxa" w:w="70"/>
              <w:left w:type="dxa" w:w="100"/>
              <w:bottom w:type="dxa" w:w="70"/>
              <w:right w:type="dxa" w:w="100"/>
            </w:tcMar>
          </w:tcPr>
          <w:p>
            <w:r>
              <w:rPr>
                <w:sz w:val="19"/>
                <w:szCs w:val="19"/>
              </w:rPr>
              <w:t xml:space="preserve">S1 - Blocker</w:t>
            </w:r>
          </w:p>
        </w:tc>
        <w:tc>
          <w:tcPr>
            <w:tcW w:type="dxa" w:w="4650"/>
            <w:shd w:fill="FFFFFF" w:val="clear"/>
            <w:tcMar>
              <w:top w:type="dxa" w:w="70"/>
              <w:left w:type="dxa" w:w="100"/>
              <w:bottom w:type="dxa" w:w="70"/>
              <w:right w:type="dxa" w:w="100"/>
            </w:tcMar>
          </w:tcPr>
          <w:p>
            <w:r>
              <w:rPr>
                <w:sz w:val="19"/>
                <w:szCs w:val="19"/>
              </w:rPr>
              <w:t xml:space="preserve">Financial data corruption, cross-tenant data leakage, security vulnerability with active exploit path, complete inability to complete a core value stream (Vol.1 Section 7)</w:t>
            </w:r>
          </w:p>
        </w:tc>
        <w:tc>
          <w:tcPr>
            <w:tcW w:type="dxa" w:w="3000"/>
            <w:shd w:fill="FFFFFF" w:val="clear"/>
            <w:tcMar>
              <w:top w:type="dxa" w:w="70"/>
              <w:left w:type="dxa" w:w="100"/>
              <w:bottom w:type="dxa" w:w="70"/>
              <w:right w:type="dxa" w:w="100"/>
            </w:tcMar>
          </w:tcPr>
          <w:p>
            <w:r>
              <w:rPr>
                <w:sz w:val="19"/>
                <w:szCs w:val="19"/>
              </w:rPr>
              <w:t xml:space="preserve">Blocks release; must be fixed and re-verified before any further release gate progresses</w:t>
            </w:r>
          </w:p>
        </w:tc>
      </w:tr>
      <w:tr>
        <w:tc>
          <w:tcPr>
            <w:tcW w:type="dxa" w:w="1700"/>
            <w:shd w:fill="DCE6F1" w:val="clear"/>
            <w:tcMar>
              <w:top w:type="dxa" w:w="70"/>
              <w:left w:type="dxa" w:w="100"/>
              <w:bottom w:type="dxa" w:w="70"/>
              <w:right w:type="dxa" w:w="100"/>
            </w:tcMar>
          </w:tcPr>
          <w:p>
            <w:r>
              <w:rPr>
                <w:sz w:val="19"/>
                <w:szCs w:val="19"/>
              </w:rPr>
              <w:t xml:space="preserve">S2 - Major</w:t>
            </w:r>
          </w:p>
        </w:tc>
        <w:tc>
          <w:tcPr>
            <w:tcW w:type="dxa" w:w="4650"/>
            <w:shd w:fill="DCE6F1" w:val="clear"/>
            <w:tcMar>
              <w:top w:type="dxa" w:w="70"/>
              <w:left w:type="dxa" w:w="100"/>
              <w:bottom w:type="dxa" w:w="70"/>
              <w:right w:type="dxa" w:w="100"/>
            </w:tcMar>
          </w:tcPr>
          <w:p>
            <w:r>
              <w:rPr>
                <w:sz w:val="19"/>
                <w:szCs w:val="19"/>
              </w:rPr>
              <w:t xml:space="preserve">Incorrect calculation not involving data corruption, a non-core feature completely broken, a workaround exists but is unreasonable for users</w:t>
            </w:r>
          </w:p>
        </w:tc>
        <w:tc>
          <w:tcPr>
            <w:tcW w:type="dxa" w:w="3000"/>
            <w:shd w:fill="DCE6F1" w:val="clear"/>
            <w:tcMar>
              <w:top w:type="dxa" w:w="70"/>
              <w:left w:type="dxa" w:w="100"/>
              <w:bottom w:type="dxa" w:w="70"/>
              <w:right w:type="dxa" w:w="100"/>
            </w:tcMar>
          </w:tcPr>
          <w:p>
            <w:r>
              <w:rPr>
                <w:sz w:val="19"/>
                <w:szCs w:val="19"/>
              </w:rPr>
              <w:t xml:space="preserve">Blocks release unless explicitly waived by product owner with written rationale</w:t>
            </w:r>
          </w:p>
        </w:tc>
      </w:tr>
      <w:tr>
        <w:tc>
          <w:tcPr>
            <w:tcW w:type="dxa" w:w="1700"/>
            <w:shd w:fill="FFFFFF" w:val="clear"/>
            <w:tcMar>
              <w:top w:type="dxa" w:w="70"/>
              <w:left w:type="dxa" w:w="100"/>
              <w:bottom w:type="dxa" w:w="70"/>
              <w:right w:type="dxa" w:w="100"/>
            </w:tcMar>
          </w:tcPr>
          <w:p>
            <w:r>
              <w:rPr>
                <w:sz w:val="19"/>
                <w:szCs w:val="19"/>
              </w:rPr>
              <w:t xml:space="preserve">S3 - Minor</w:t>
            </w:r>
          </w:p>
        </w:tc>
        <w:tc>
          <w:tcPr>
            <w:tcW w:type="dxa" w:w="4650"/>
            <w:shd w:fill="FFFFFF" w:val="clear"/>
            <w:tcMar>
              <w:top w:type="dxa" w:w="70"/>
              <w:left w:type="dxa" w:w="100"/>
              <w:bottom w:type="dxa" w:w="70"/>
              <w:right w:type="dxa" w:w="100"/>
            </w:tcMar>
          </w:tcPr>
          <w:p>
            <w:r>
              <w:rPr>
                <w:sz w:val="19"/>
                <w:szCs w:val="19"/>
              </w:rPr>
              <w:t xml:space="preserve">Cosmetic issues, edge-case behavior with a reasonable workaround</w:t>
            </w:r>
          </w:p>
        </w:tc>
        <w:tc>
          <w:tcPr>
            <w:tcW w:type="dxa" w:w="3000"/>
            <w:shd w:fill="FFFFFF" w:val="clear"/>
            <w:tcMar>
              <w:top w:type="dxa" w:w="70"/>
              <w:left w:type="dxa" w:w="100"/>
              <w:bottom w:type="dxa" w:w="70"/>
              <w:right w:type="dxa" w:w="100"/>
            </w:tcMar>
          </w:tcPr>
          <w:p>
            <w:r>
              <w:rPr>
                <w:sz w:val="19"/>
                <w:szCs w:val="19"/>
              </w:rPr>
              <w:t xml:space="preserve">Does not block release; tracked for a subsequent patch</w:t>
            </w:r>
          </w:p>
        </w:tc>
      </w:tr>
      <w:tr>
        <w:tc>
          <w:tcPr>
            <w:tcW w:type="dxa" w:w="1700"/>
            <w:shd w:fill="DCE6F1" w:val="clear"/>
            <w:tcMar>
              <w:top w:type="dxa" w:w="70"/>
              <w:left w:type="dxa" w:w="100"/>
              <w:bottom w:type="dxa" w:w="70"/>
              <w:right w:type="dxa" w:w="100"/>
            </w:tcMar>
          </w:tcPr>
          <w:p>
            <w:r>
              <w:rPr>
                <w:sz w:val="19"/>
                <w:szCs w:val="19"/>
              </w:rPr>
              <w:t xml:space="preserve">S4 - Trivial</w:t>
            </w:r>
          </w:p>
        </w:tc>
        <w:tc>
          <w:tcPr>
            <w:tcW w:type="dxa" w:w="4650"/>
            <w:shd w:fill="DCE6F1" w:val="clear"/>
            <w:tcMar>
              <w:top w:type="dxa" w:w="70"/>
              <w:left w:type="dxa" w:w="100"/>
              <w:bottom w:type="dxa" w:w="70"/>
              <w:right w:type="dxa" w:w="100"/>
            </w:tcMar>
          </w:tcPr>
          <w:p>
            <w:r>
              <w:rPr>
                <w:sz w:val="19"/>
                <w:szCs w:val="19"/>
              </w:rPr>
              <w:t xml:space="preserve">Typos, minor inconsistencies with no functional impact</w:t>
            </w:r>
          </w:p>
        </w:tc>
        <w:tc>
          <w:tcPr>
            <w:tcW w:type="dxa" w:w="3000"/>
            <w:shd w:fill="DCE6F1" w:val="clear"/>
            <w:tcMar>
              <w:top w:type="dxa" w:w="70"/>
              <w:left w:type="dxa" w:w="100"/>
              <w:bottom w:type="dxa" w:w="70"/>
              <w:right w:type="dxa" w:w="100"/>
            </w:tcMar>
          </w:tcPr>
          <w:p>
            <w:r>
              <w:rPr>
                <w:sz w:val="19"/>
                <w:szCs w:val="19"/>
              </w:rPr>
              <w:t xml:space="preserve">Backlog, addressed opportunistically</w:t>
            </w:r>
          </w:p>
        </w:tc>
      </w:tr>
    </w:tbl>
    <w:p>
      <w:pPr>
        <w:pStyle w:val="Heading2"/>
        <w:spacing w:before="300" w:after="150"/>
      </w:pPr>
      <w:r>
        <w:rPr>
          <w:b/>
          <w:bCs/>
          <w:color w:val="2E75B6"/>
          <w:sz w:val="26"/>
          <w:szCs w:val="26"/>
        </w:rPr>
        <w:t xml:space="preserve">13.2 Release Gate Checklist (feeds Vol. 7 Section 5.2 approval gate)</w:t>
      </w:r>
    </w:p>
    <w:p>
      <w:pPr>
        <w:pStyle w:val="ListParagraph"/>
        <w:numPr>
          <w:ilvl w:val="0"/>
          <w:numId w:val="1"/>
        </w:numPr>
        <w:spacing w:after="80"/>
      </w:pPr>
      <w:r>
        <w:rPr>
          <w:sz w:val="22"/>
          <w:szCs w:val="22"/>
        </w:rPr>
        <w:t xml:space="preserve">All CI-blocking tests green (Section 2.2 layers, Section 7 security gates).</w:t>
      </w:r>
    </w:p>
    <w:p>
      <w:pPr>
        <w:pStyle w:val="ListParagraph"/>
        <w:numPr>
          <w:ilvl w:val="0"/>
          <w:numId w:val="1"/>
        </w:numPr>
        <w:spacing w:after="80"/>
      </w:pPr>
      <w:r>
        <w:rPr>
          <w:sz w:val="22"/>
          <w:szCs w:val="22"/>
        </w:rPr>
        <w:t xml:space="preserve">Zero open S1 defects; all open S2 defects explicitly waived in writing.</w:t>
      </w:r>
    </w:p>
    <w:p>
      <w:pPr>
        <w:pStyle w:val="ListParagraph"/>
        <w:numPr>
          <w:ilvl w:val="0"/>
          <w:numId w:val="1"/>
        </w:numPr>
        <w:spacing w:after="80"/>
      </w:pPr>
      <w:r>
        <w:rPr>
          <w:sz w:val="22"/>
          <w:szCs w:val="22"/>
        </w:rPr>
        <w:t xml:space="preserve">100% of MVP-tagged UAT acceptance criteria (Section 12) accepted.</w:t>
      </w:r>
    </w:p>
    <w:p>
      <w:pPr>
        <w:pStyle w:val="ListParagraph"/>
        <w:numPr>
          <w:ilvl w:val="0"/>
          <w:numId w:val="1"/>
        </w:numPr>
        <w:spacing w:after="80"/>
      </w:pPr>
      <w:r>
        <w:rPr>
          <w:sz w:val="22"/>
          <w:szCs w:val="22"/>
        </w:rPr>
        <w:t xml:space="preserve">Performance/load test results (Section 8) meet or exceed Vol.3 Section 12 targets on the current build.</w:t>
      </w:r>
    </w:p>
    <w:p>
      <w:pPr>
        <w:pStyle w:val="ListParagraph"/>
        <w:numPr>
          <w:ilvl w:val="0"/>
          <w:numId w:val="1"/>
        </w:numPr>
        <w:spacing w:after="80"/>
      </w:pPr>
      <w:r>
        <w:rPr>
          <w:sz w:val="22"/>
          <w:szCs w:val="22"/>
        </w:rPr>
        <w:t xml:space="preserve">Most recent resilience/chaos test results (Section 10) show no regressions from the prior release.</w:t>
      </w:r>
    </w:p>
    <w:p>
      <w:pPr>
        <w:pStyle w:val="ListParagraph"/>
        <w:numPr>
          <w:ilvl w:val="0"/>
          <w:numId w:val="1"/>
        </w:numPr>
        <w:spacing w:after="80"/>
      </w:pPr>
      <w:r>
        <w:rPr>
          <w:sz w:val="22"/>
          <w:szCs w:val="22"/>
        </w:rPr>
        <w:t xml:space="preserve">Security scan results (Section 7) reviewed with no unresolved high/critical findings.</w:t>
      </w:r>
    </w:p>
    <w:p>
      <w:r>
        <w:br w:type="page"/>
      </w:r>
    </w:p>
    <w:p>
      <w:pPr>
        <w:pStyle w:val="Heading1"/>
        <w:spacing w:before="400" w:after="200"/>
      </w:pPr>
      <w:r>
        <w:rPr>
          <w:b/>
          <w:bCs/>
          <w:color w:val="1F3864"/>
          <w:sz w:val="32"/>
          <w:szCs w:val="32"/>
        </w:rPr>
        <w:t xml:space="preserve">14. Test Automation Tooling &amp; CI Integration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Layer</w:t>
            </w:r>
          </w:p>
        </w:tc>
        <w:tc>
          <w:tcPr>
            <w:tcW w:type="dxa" w:w="4200"/>
            <w:shd w:fill="1F3864" w:val="clear"/>
            <w:tcMar>
              <w:top w:type="dxa" w:w="80"/>
              <w:left w:type="dxa" w:w="100"/>
              <w:bottom w:type="dxa" w:w="80"/>
              <w:right w:type="dxa" w:w="100"/>
            </w:tcMar>
            <w:vAlign w:val="center"/>
          </w:tcPr>
          <w:p>
            <w:r>
              <w:rPr>
                <w:b/>
                <w:bCs/>
                <w:color w:val="FFFFFF"/>
                <w:sz w:val="19"/>
                <w:szCs w:val="19"/>
              </w:rPr>
              <w:t xml:space="preserve">Suggested Tooling</w:t>
            </w:r>
          </w:p>
        </w:tc>
        <w:tc>
          <w:tcPr>
            <w:tcW w:type="dxa" w:w="2950"/>
            <w:shd w:fill="1F3864" w:val="clear"/>
            <w:tcMar>
              <w:top w:type="dxa" w:w="80"/>
              <w:left w:type="dxa" w:w="100"/>
              <w:bottom w:type="dxa" w:w="80"/>
              <w:right w:type="dxa" w:w="100"/>
            </w:tcMar>
            <w:vAlign w:val="center"/>
          </w:tcPr>
          <w:p>
            <w:r>
              <w:rPr>
                <w:b/>
                <w:bCs/>
                <w:color w:val="FFFFFF"/>
                <w:sz w:val="19"/>
                <w:szCs w:val="19"/>
              </w:rPr>
              <w:t xml:space="preserve">CI Integration Point (Vol.7 Section 5.1)</w:t>
            </w:r>
          </w:p>
        </w:tc>
      </w:tr>
      <w:tr>
        <w:tc>
          <w:tcPr>
            <w:tcW w:type="dxa" w:w="2200"/>
            <w:shd w:fill="FFFFFF" w:val="clear"/>
            <w:tcMar>
              <w:top w:type="dxa" w:w="70"/>
              <w:left w:type="dxa" w:w="100"/>
              <w:bottom w:type="dxa" w:w="70"/>
              <w:right w:type="dxa" w:w="100"/>
            </w:tcMar>
          </w:tcPr>
          <w:p>
            <w:r>
              <w:rPr>
                <w:sz w:val="19"/>
                <w:szCs w:val="19"/>
              </w:rPr>
              <w:t xml:space="preserve">Unit (Section 3)</w:t>
            </w:r>
          </w:p>
        </w:tc>
        <w:tc>
          <w:tcPr>
            <w:tcW w:type="dxa" w:w="4200"/>
            <w:shd w:fill="FFFFFF" w:val="clear"/>
            <w:tcMar>
              <w:top w:type="dxa" w:w="70"/>
              <w:left w:type="dxa" w:w="100"/>
              <w:bottom w:type="dxa" w:w="70"/>
              <w:right w:type="dxa" w:w="100"/>
            </w:tcMar>
          </w:tcPr>
          <w:p>
            <w:r>
              <w:rPr>
                <w:sz w:val="19"/>
                <w:szCs w:val="19"/>
              </w:rPr>
              <w:t xml:space="preserve">Jest (aligned with the TypeScript/NestJS stack, Vol.3 Section 2.1)</w:t>
            </w:r>
          </w:p>
        </w:tc>
        <w:tc>
          <w:tcPr>
            <w:tcW w:type="dxa" w:w="2950"/>
            <w:shd w:fill="FFFFFF" w:val="clear"/>
            <w:tcMar>
              <w:top w:type="dxa" w:w="70"/>
              <w:left w:type="dxa" w:w="100"/>
              <w:bottom w:type="dxa" w:w="70"/>
              <w:right w:type="dxa" w:w="100"/>
            </w:tcMar>
          </w:tcPr>
          <w:p>
            <w:r>
              <w:rPr>
                <w:sz w:val="19"/>
                <w:szCs w:val="19"/>
              </w:rPr>
              <w:t xml:space="preserve">Lint + Unit stage</w:t>
            </w:r>
          </w:p>
        </w:tc>
      </w:tr>
      <w:tr>
        <w:tc>
          <w:tcPr>
            <w:tcW w:type="dxa" w:w="2200"/>
            <w:shd w:fill="DCE6F1" w:val="clear"/>
            <w:tcMar>
              <w:top w:type="dxa" w:w="70"/>
              <w:left w:type="dxa" w:w="100"/>
              <w:bottom w:type="dxa" w:w="70"/>
              <w:right w:type="dxa" w:w="100"/>
            </w:tcMar>
          </w:tcPr>
          <w:p>
            <w:r>
              <w:rPr>
                <w:sz w:val="19"/>
                <w:szCs w:val="19"/>
              </w:rPr>
              <w:t xml:space="preserve">Integration (Section 4)</w:t>
            </w:r>
          </w:p>
        </w:tc>
        <w:tc>
          <w:tcPr>
            <w:tcW w:type="dxa" w:w="4200"/>
            <w:shd w:fill="DCE6F1" w:val="clear"/>
            <w:tcMar>
              <w:top w:type="dxa" w:w="70"/>
              <w:left w:type="dxa" w:w="100"/>
              <w:bottom w:type="dxa" w:w="70"/>
              <w:right w:type="dxa" w:w="100"/>
            </w:tcMar>
          </w:tcPr>
          <w:p>
            <w:r>
              <w:rPr>
                <w:sz w:val="19"/>
                <w:szCs w:val="19"/>
              </w:rPr>
              <w:t xml:space="preserve">Jest + Testcontainers (real Postgres/Kafka/Redis in ephemeral containers)</w:t>
            </w:r>
          </w:p>
        </w:tc>
        <w:tc>
          <w:tcPr>
            <w:tcW w:type="dxa" w:w="2950"/>
            <w:shd w:fill="DCE6F1" w:val="clear"/>
            <w:tcMar>
              <w:top w:type="dxa" w:w="70"/>
              <w:left w:type="dxa" w:w="100"/>
              <w:bottom w:type="dxa" w:w="70"/>
              <w:right w:type="dxa" w:w="100"/>
            </w:tcMar>
          </w:tcPr>
          <w:p>
            <w:r>
              <w:rPr>
                <w:sz w:val="19"/>
                <w:szCs w:val="19"/>
              </w:rPr>
              <w:t xml:space="preserve">Integration Tests stage</w:t>
            </w:r>
          </w:p>
        </w:tc>
      </w:tr>
      <w:tr>
        <w:tc>
          <w:tcPr>
            <w:tcW w:type="dxa" w:w="2200"/>
            <w:shd w:fill="FFFFFF" w:val="clear"/>
            <w:tcMar>
              <w:top w:type="dxa" w:w="70"/>
              <w:left w:type="dxa" w:w="100"/>
              <w:bottom w:type="dxa" w:w="70"/>
              <w:right w:type="dxa" w:w="100"/>
            </w:tcMar>
          </w:tcPr>
          <w:p>
            <w:r>
              <w:rPr>
                <w:sz w:val="19"/>
                <w:szCs w:val="19"/>
              </w:rPr>
              <w:t xml:space="preserve">Contract (Section 5)</w:t>
            </w:r>
          </w:p>
        </w:tc>
        <w:tc>
          <w:tcPr>
            <w:tcW w:type="dxa" w:w="4200"/>
            <w:shd w:fill="FFFFFF" w:val="clear"/>
            <w:tcMar>
              <w:top w:type="dxa" w:w="70"/>
              <w:left w:type="dxa" w:w="100"/>
              <w:bottom w:type="dxa" w:w="70"/>
              <w:right w:type="dxa" w:w="100"/>
            </w:tcMar>
          </w:tcPr>
          <w:p>
            <w:r>
              <w:rPr>
                <w:sz w:val="19"/>
                <w:szCs w:val="19"/>
              </w:rPr>
              <w:t xml:space="preserve">OpenAPI schema validation (e.g. Dredd/Spectral-class) + a schema registry client for event contracts</w:t>
            </w:r>
          </w:p>
        </w:tc>
        <w:tc>
          <w:tcPr>
            <w:tcW w:type="dxa" w:w="2950"/>
            <w:shd w:fill="FFFFFF" w:val="clear"/>
            <w:tcMar>
              <w:top w:type="dxa" w:w="70"/>
              <w:left w:type="dxa" w:w="100"/>
              <w:bottom w:type="dxa" w:w="70"/>
              <w:right w:type="dxa" w:w="100"/>
            </w:tcMar>
          </w:tcPr>
          <w:p>
            <w:r>
              <w:rPr>
                <w:sz w:val="19"/>
                <w:szCs w:val="19"/>
              </w:rPr>
              <w:t xml:space="preserve">SAST/Contract stage, or a dedicated stage between Integration and E2E</w:t>
            </w:r>
          </w:p>
        </w:tc>
      </w:tr>
      <w:tr>
        <w:tc>
          <w:tcPr>
            <w:tcW w:type="dxa" w:w="2200"/>
            <w:shd w:fill="DCE6F1" w:val="clear"/>
            <w:tcMar>
              <w:top w:type="dxa" w:w="70"/>
              <w:left w:type="dxa" w:w="100"/>
              <w:bottom w:type="dxa" w:w="70"/>
              <w:right w:type="dxa" w:w="100"/>
            </w:tcMar>
          </w:tcPr>
          <w:p>
            <w:r>
              <w:rPr>
                <w:sz w:val="19"/>
                <w:szCs w:val="19"/>
              </w:rPr>
              <w:t xml:space="preserve">E2E (Section 6)</w:t>
            </w:r>
          </w:p>
        </w:tc>
        <w:tc>
          <w:tcPr>
            <w:tcW w:type="dxa" w:w="4200"/>
            <w:shd w:fill="DCE6F1" w:val="clear"/>
            <w:tcMar>
              <w:top w:type="dxa" w:w="70"/>
              <w:left w:type="dxa" w:w="100"/>
              <w:bottom w:type="dxa" w:w="70"/>
              <w:right w:type="dxa" w:w="100"/>
            </w:tcMar>
          </w:tcPr>
          <w:p>
            <w:r>
              <w:rPr>
                <w:sz w:val="19"/>
                <w:szCs w:val="19"/>
              </w:rPr>
              <w:t xml:space="preserve">Playwright (API-level and, for Vol.9 UI flows, browser-level) against staging</w:t>
            </w:r>
          </w:p>
        </w:tc>
        <w:tc>
          <w:tcPr>
            <w:tcW w:type="dxa" w:w="2950"/>
            <w:shd w:fill="DCE6F1" w:val="clear"/>
            <w:tcMar>
              <w:top w:type="dxa" w:w="70"/>
              <w:left w:type="dxa" w:w="100"/>
              <w:bottom w:type="dxa" w:w="70"/>
              <w:right w:type="dxa" w:w="100"/>
            </w:tcMar>
          </w:tcPr>
          <w:p>
            <w:r>
              <w:rPr>
                <w:sz w:val="19"/>
                <w:szCs w:val="19"/>
              </w:rPr>
              <w:t xml:space="preserve">E2E stage, post-deploy-to-staging</w:t>
            </w:r>
          </w:p>
        </w:tc>
      </w:tr>
      <w:tr>
        <w:tc>
          <w:tcPr>
            <w:tcW w:type="dxa" w:w="2200"/>
            <w:shd w:fill="FFFFFF" w:val="clear"/>
            <w:tcMar>
              <w:top w:type="dxa" w:w="70"/>
              <w:left w:type="dxa" w:w="100"/>
              <w:bottom w:type="dxa" w:w="70"/>
              <w:right w:type="dxa" w:w="100"/>
            </w:tcMar>
          </w:tcPr>
          <w:p>
            <w:r>
              <w:rPr>
                <w:sz w:val="19"/>
                <w:szCs w:val="19"/>
              </w:rPr>
              <w:t xml:space="preserve">Security (Section 7)</w:t>
            </w:r>
          </w:p>
        </w:tc>
        <w:tc>
          <w:tcPr>
            <w:tcW w:type="dxa" w:w="4200"/>
            <w:shd w:fill="FFFFFF" w:val="clear"/>
            <w:tcMar>
              <w:top w:type="dxa" w:w="70"/>
              <w:left w:type="dxa" w:w="100"/>
              <w:bottom w:type="dxa" w:w="70"/>
              <w:right w:type="dxa" w:w="100"/>
            </w:tcMar>
          </w:tcPr>
          <w:p>
            <w:r>
              <w:rPr>
                <w:sz w:val="19"/>
                <w:szCs w:val="19"/>
              </w:rPr>
              <w:t xml:space="preserve">SAST/dependency scanner integrated into CI; DAST tool run on a schedule against staging; third-party pen test vendor engaged out-of-band</w:t>
            </w:r>
          </w:p>
        </w:tc>
        <w:tc>
          <w:tcPr>
            <w:tcW w:type="dxa" w:w="2950"/>
            <w:shd w:fill="FFFFFF" w:val="clear"/>
            <w:tcMar>
              <w:top w:type="dxa" w:w="70"/>
              <w:left w:type="dxa" w:w="100"/>
              <w:bottom w:type="dxa" w:w="70"/>
              <w:right w:type="dxa" w:w="100"/>
            </w:tcMar>
          </w:tcPr>
          <w:p>
            <w:r>
              <w:rPr>
                <w:sz w:val="19"/>
                <w:szCs w:val="19"/>
              </w:rPr>
              <w:t xml:space="preserve">SAST stage (blocking) + scheduled DAST (non-blocking, tracked)</w:t>
            </w:r>
          </w:p>
        </w:tc>
      </w:tr>
      <w:tr>
        <w:tc>
          <w:tcPr>
            <w:tcW w:type="dxa" w:w="2200"/>
            <w:shd w:fill="DCE6F1" w:val="clear"/>
            <w:tcMar>
              <w:top w:type="dxa" w:w="70"/>
              <w:left w:type="dxa" w:w="100"/>
              <w:bottom w:type="dxa" w:w="70"/>
              <w:right w:type="dxa" w:w="100"/>
            </w:tcMar>
          </w:tcPr>
          <w:p>
            <w:r>
              <w:rPr>
                <w:sz w:val="19"/>
                <w:szCs w:val="19"/>
              </w:rPr>
              <w:t xml:space="preserve">Performance (Section 8)</w:t>
            </w:r>
          </w:p>
        </w:tc>
        <w:tc>
          <w:tcPr>
            <w:tcW w:type="dxa" w:w="4200"/>
            <w:shd w:fill="DCE6F1" w:val="clear"/>
            <w:tcMar>
              <w:top w:type="dxa" w:w="70"/>
              <w:left w:type="dxa" w:w="100"/>
              <w:bottom w:type="dxa" w:w="70"/>
              <w:right w:type="dxa" w:w="100"/>
            </w:tcMar>
          </w:tcPr>
          <w:p>
            <w:r>
              <w:rPr>
                <w:sz w:val="19"/>
                <w:szCs w:val="19"/>
              </w:rPr>
              <w:t xml:space="preserve">A load-testing tool (e.g. k6 or Locust-class) scripted against the Vol.3 Section 12 target scenarios</w:t>
            </w:r>
          </w:p>
        </w:tc>
        <w:tc>
          <w:tcPr>
            <w:tcW w:type="dxa" w:w="2950"/>
            <w:shd w:fill="DCE6F1" w:val="clear"/>
            <w:tcMar>
              <w:top w:type="dxa" w:w="70"/>
              <w:left w:type="dxa" w:w="100"/>
              <w:bottom w:type="dxa" w:w="70"/>
              <w:right w:type="dxa" w:w="100"/>
            </w:tcMar>
          </w:tcPr>
          <w:p>
            <w:r>
              <w:rPr>
                <w:sz w:val="19"/>
                <w:szCs w:val="19"/>
              </w:rPr>
              <w:t xml:space="preserve">Pre-release stage, on-demand</w:t>
            </w:r>
          </w:p>
        </w:tc>
      </w:tr>
    </w:tbl>
    <w:p>
      <w:r>
        <w:br w:type="page"/>
      </w:r>
    </w:p>
    <w:p>
      <w:pPr>
        <w:pStyle w:val="Heading1"/>
        <w:spacing w:before="400" w:after="200"/>
      </w:pPr>
      <w:r>
        <w:rPr>
          <w:b/>
          <w:bCs/>
          <w:color w:val="1F3864"/>
          <w:sz w:val="32"/>
          <w:szCs w:val="32"/>
        </w:rPr>
        <w:t xml:space="preserve">15. Traceability &amp; Next Phase</w:t>
      </w:r>
    </w:p>
    <w:p>
      <w:pPr>
        <w:pStyle w:val="Heading2"/>
        <w:spacing w:before="300" w:after="150"/>
      </w:pPr>
      <w:r>
        <w:rPr>
          <w:b/>
          <w:bCs/>
          <w:color w:val="2E75B6"/>
          <w:sz w:val="26"/>
          <w:szCs w:val="26"/>
        </w:rPr>
        <w:t xml:space="preserve">15.1 Traceability to Volumes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Vol. 8 Artifact</w:t>
            </w:r>
          </w:p>
        </w:tc>
        <w:tc>
          <w:tcPr>
            <w:tcW w:type="dxa" w:w="6350"/>
            <w:shd w:fill="1F3864" w:val="clear"/>
            <w:tcMar>
              <w:top w:type="dxa" w:w="80"/>
              <w:left w:type="dxa" w:w="100"/>
              <w:bottom w:type="dxa" w:w="80"/>
              <w:right w:type="dxa" w:w="100"/>
            </w:tcMar>
            <w:vAlign w:val="center"/>
          </w:tcPr>
          <w:p>
            <w:r>
              <w:rPr>
                <w:b/>
                <w:bCs/>
                <w:color w:val="FFFFFF"/>
                <w:sz w:val="19"/>
                <w:szCs w:val="19"/>
              </w:rPr>
              <w:t xml:space="preserve">Traces To</w:t>
            </w:r>
          </w:p>
        </w:tc>
      </w:tr>
      <w:tr>
        <w:tc>
          <w:tcPr>
            <w:tcW w:type="dxa" w:w="3000"/>
            <w:shd w:fill="FFFFFF" w:val="clear"/>
            <w:tcMar>
              <w:top w:type="dxa" w:w="70"/>
              <w:left w:type="dxa" w:w="100"/>
              <w:bottom w:type="dxa" w:w="70"/>
              <w:right w:type="dxa" w:w="100"/>
            </w:tcMar>
          </w:tcPr>
          <w:p>
            <w:r>
              <w:rPr>
                <w:sz w:val="19"/>
                <w:szCs w:val="19"/>
              </w:rPr>
              <w:t xml:space="preserve">Section 6 E2E Scenarios</w:t>
            </w:r>
          </w:p>
        </w:tc>
        <w:tc>
          <w:tcPr>
            <w:tcW w:type="dxa" w:w="6350"/>
            <w:shd w:fill="FFFFFF" w:val="clear"/>
            <w:tcMar>
              <w:top w:type="dxa" w:w="70"/>
              <w:left w:type="dxa" w:w="100"/>
              <w:bottom w:type="dxa" w:w="70"/>
              <w:right w:type="dxa" w:w="100"/>
            </w:tcMar>
          </w:tcPr>
          <w:p>
            <w:r>
              <w:rPr>
                <w:sz w:val="19"/>
                <w:szCs w:val="19"/>
              </w:rPr>
              <w:t xml:space="preserve">Vol. 1 Section 7 Value Streams (VS-01...VS-06)</w:t>
            </w:r>
          </w:p>
        </w:tc>
      </w:tr>
      <w:tr>
        <w:tc>
          <w:tcPr>
            <w:tcW w:type="dxa" w:w="3000"/>
            <w:shd w:fill="DCE6F1" w:val="clear"/>
            <w:tcMar>
              <w:top w:type="dxa" w:w="70"/>
              <w:left w:type="dxa" w:w="100"/>
              <w:bottom w:type="dxa" w:w="70"/>
              <w:right w:type="dxa" w:w="100"/>
            </w:tcMar>
          </w:tcPr>
          <w:p>
            <w:r>
              <w:rPr>
                <w:sz w:val="19"/>
                <w:szCs w:val="19"/>
              </w:rPr>
              <w:t xml:space="preserve">Section 7 Security Testing</w:t>
            </w:r>
          </w:p>
        </w:tc>
        <w:tc>
          <w:tcPr>
            <w:tcW w:type="dxa" w:w="6350"/>
            <w:shd w:fill="DCE6F1" w:val="clear"/>
            <w:tcMar>
              <w:top w:type="dxa" w:w="70"/>
              <w:left w:type="dxa" w:w="100"/>
              <w:bottom w:type="dxa" w:w="70"/>
              <w:right w:type="dxa" w:w="100"/>
            </w:tcMar>
          </w:tcPr>
          <w:p>
            <w:r>
              <w:rPr>
                <w:sz w:val="19"/>
                <w:szCs w:val="19"/>
              </w:rPr>
              <w:t xml:space="preserve">Vol. 6 Section 12 Security Testing Requirements</w:t>
            </w:r>
          </w:p>
        </w:tc>
      </w:tr>
      <w:tr>
        <w:tc>
          <w:tcPr>
            <w:tcW w:type="dxa" w:w="3000"/>
            <w:shd w:fill="FFFFFF" w:val="clear"/>
            <w:tcMar>
              <w:top w:type="dxa" w:w="70"/>
              <w:left w:type="dxa" w:w="100"/>
              <w:bottom w:type="dxa" w:w="70"/>
              <w:right w:type="dxa" w:w="100"/>
            </w:tcMar>
          </w:tcPr>
          <w:p>
            <w:r>
              <w:rPr>
                <w:sz w:val="19"/>
                <w:szCs w:val="19"/>
              </w:rPr>
              <w:t xml:space="preserve">Section 8 Performance Testing</w:t>
            </w:r>
          </w:p>
        </w:tc>
        <w:tc>
          <w:tcPr>
            <w:tcW w:type="dxa" w:w="6350"/>
            <w:shd w:fill="FFFFFF" w:val="clear"/>
            <w:tcMar>
              <w:top w:type="dxa" w:w="70"/>
              <w:left w:type="dxa" w:w="100"/>
              <w:bottom w:type="dxa" w:w="70"/>
              <w:right w:type="dxa" w:w="100"/>
            </w:tcMar>
          </w:tcPr>
          <w:p>
            <w:r>
              <w:rPr>
                <w:sz w:val="19"/>
                <w:szCs w:val="19"/>
              </w:rPr>
              <w:t xml:space="preserve">Vol. 3 Section 12 Performance &amp; Scalability Targets; Vol. 7 Section 7 Scaling Strategy</w:t>
            </w:r>
          </w:p>
        </w:tc>
      </w:tr>
      <w:tr>
        <w:tc>
          <w:tcPr>
            <w:tcW w:type="dxa" w:w="3000"/>
            <w:shd w:fill="DCE6F1" w:val="clear"/>
            <w:tcMar>
              <w:top w:type="dxa" w:w="70"/>
              <w:left w:type="dxa" w:w="100"/>
              <w:bottom w:type="dxa" w:w="70"/>
              <w:right w:type="dxa" w:w="100"/>
            </w:tcMar>
          </w:tcPr>
          <w:p>
            <w:r>
              <w:rPr>
                <w:sz w:val="19"/>
                <w:szCs w:val="19"/>
              </w:rPr>
              <w:t xml:space="preserve">Section 9 Multi-Tenancy Suite</w:t>
            </w:r>
          </w:p>
        </w:tc>
        <w:tc>
          <w:tcPr>
            <w:tcW w:type="dxa" w:w="6350"/>
            <w:shd w:fill="DCE6F1" w:val="clear"/>
            <w:tcMar>
              <w:top w:type="dxa" w:w="70"/>
              <w:left w:type="dxa" w:w="100"/>
              <w:bottom w:type="dxa" w:w="70"/>
              <w:right w:type="dxa" w:w="100"/>
            </w:tcMar>
          </w:tcPr>
          <w:p>
            <w:r>
              <w:rPr>
                <w:sz w:val="19"/>
                <w:szCs w:val="19"/>
              </w:rPr>
              <w:t xml:space="preserve">Vol. 4 Section 7 RLS; Vol. 6 Section 8 Defense-in-Depth</w:t>
            </w:r>
          </w:p>
        </w:tc>
      </w:tr>
      <w:tr>
        <w:tc>
          <w:tcPr>
            <w:tcW w:type="dxa" w:w="3000"/>
            <w:shd w:fill="FFFFFF" w:val="clear"/>
            <w:tcMar>
              <w:top w:type="dxa" w:w="70"/>
              <w:left w:type="dxa" w:w="100"/>
              <w:bottom w:type="dxa" w:w="70"/>
              <w:right w:type="dxa" w:w="100"/>
            </w:tcMar>
          </w:tcPr>
          <w:p>
            <w:r>
              <w:rPr>
                <w:sz w:val="19"/>
                <w:szCs w:val="19"/>
              </w:rPr>
              <w:t xml:space="preserve">Section 10 Resilience Testing</w:t>
            </w:r>
          </w:p>
        </w:tc>
        <w:tc>
          <w:tcPr>
            <w:tcW w:type="dxa" w:w="6350"/>
            <w:shd w:fill="FFFFFF" w:val="clear"/>
            <w:tcMar>
              <w:top w:type="dxa" w:w="70"/>
              <w:left w:type="dxa" w:w="100"/>
              <w:bottom w:type="dxa" w:w="70"/>
              <w:right w:type="dxa" w:w="100"/>
            </w:tcMar>
          </w:tcPr>
          <w:p>
            <w:r>
              <w:rPr>
                <w:sz w:val="19"/>
                <w:szCs w:val="19"/>
              </w:rPr>
              <w:t xml:space="preserve">Vol. 5 Section 8 Resilience Patterns; Vol. 7 Section 9 DR</w:t>
            </w:r>
          </w:p>
        </w:tc>
      </w:tr>
      <w:tr>
        <w:tc>
          <w:tcPr>
            <w:tcW w:type="dxa" w:w="3000"/>
            <w:shd w:fill="DCE6F1" w:val="clear"/>
            <w:tcMar>
              <w:top w:type="dxa" w:w="70"/>
              <w:left w:type="dxa" w:w="100"/>
              <w:bottom w:type="dxa" w:w="70"/>
              <w:right w:type="dxa" w:w="100"/>
            </w:tcMar>
          </w:tcPr>
          <w:p>
            <w:r>
              <w:rPr>
                <w:sz w:val="19"/>
                <w:szCs w:val="19"/>
              </w:rPr>
              <w:t xml:space="preserve">Section 12 UAT Acceptance Criteria</w:t>
            </w:r>
          </w:p>
        </w:tc>
        <w:tc>
          <w:tcPr>
            <w:tcW w:type="dxa" w:w="6350"/>
            <w:shd w:fill="DCE6F1" w:val="clear"/>
            <w:tcMar>
              <w:top w:type="dxa" w:w="70"/>
              <w:left w:type="dxa" w:w="100"/>
              <w:bottom w:type="dxa" w:w="70"/>
              <w:right w:type="dxa" w:w="100"/>
            </w:tcMar>
          </w:tcPr>
          <w:p>
            <w:r>
              <w:rPr>
                <w:sz w:val="19"/>
                <w:szCs w:val="19"/>
              </w:rPr>
              <w:t xml:space="preserve">Vol. 1 Section 6 Module &amp; Feature Scope Catalog</w:t>
            </w:r>
          </w:p>
        </w:tc>
      </w:tr>
      <w:tr>
        <w:tc>
          <w:tcPr>
            <w:tcW w:type="dxa" w:w="3000"/>
            <w:shd w:fill="FFFFFF" w:val="clear"/>
            <w:tcMar>
              <w:top w:type="dxa" w:w="70"/>
              <w:left w:type="dxa" w:w="100"/>
              <w:bottom w:type="dxa" w:w="70"/>
              <w:right w:type="dxa" w:w="100"/>
            </w:tcMar>
          </w:tcPr>
          <w:p>
            <w:r>
              <w:rPr>
                <w:sz w:val="19"/>
                <w:szCs w:val="19"/>
              </w:rPr>
              <w:t xml:space="preserve">Section 13 Release Gates</w:t>
            </w:r>
          </w:p>
        </w:tc>
        <w:tc>
          <w:tcPr>
            <w:tcW w:type="dxa" w:w="6350"/>
            <w:shd w:fill="FFFFFF" w:val="clear"/>
            <w:tcMar>
              <w:top w:type="dxa" w:w="70"/>
              <w:left w:type="dxa" w:w="100"/>
              <w:bottom w:type="dxa" w:w="70"/>
              <w:right w:type="dxa" w:w="100"/>
            </w:tcMar>
          </w:tcPr>
          <w:p>
            <w:r>
              <w:rPr>
                <w:sz w:val="19"/>
                <w:szCs w:val="19"/>
              </w:rPr>
              <w:t xml:space="preserve">Vol. 7 Section 5.2 Deployment Strategy manual approval gate</w:t>
            </w:r>
          </w:p>
        </w:tc>
      </w:tr>
    </w:tbl>
    <w:p>
      <w:pPr>
        <w:pStyle w:val="Heading2"/>
        <w:spacing w:before="300" w:after="150"/>
      </w:pPr>
      <w:r>
        <w:rPr>
          <w:b/>
          <w:bCs/>
          <w:color w:val="2E75B6"/>
          <w:sz w:val="26"/>
          <w:szCs w:val="26"/>
        </w:rPr>
        <w:t xml:space="preserve">15.2 Open Questions for Sign-off</w:t>
      </w:r>
    </w:p>
    <w:p>
      <w:pPr>
        <w:pStyle w:val="ListParagraph"/>
        <w:numPr>
          <w:ilvl w:val="0"/>
          <w:numId w:val="2"/>
        </w:numPr>
        <w:spacing w:after="80"/>
      </w:pPr>
      <w:r>
        <w:rPr>
          <w:sz w:val="22"/>
          <w:szCs w:val="22"/>
        </w:rPr>
        <w:t xml:space="preserve">Confirm whether a dedicated QA function/hire exists or is planned, or whether E2E test ownership (Section 2.2) rotates within engineering for Release 1.</w:t>
      </w:r>
    </w:p>
    <w:p>
      <w:pPr>
        <w:pStyle w:val="ListParagraph"/>
        <w:numPr>
          <w:ilvl w:val="0"/>
          <w:numId w:val="2"/>
        </w:numPr>
        <w:spacing w:after="80"/>
      </w:pPr>
      <w:r>
        <w:rPr>
          <w:sz w:val="22"/>
          <w:szCs w:val="22"/>
        </w:rPr>
        <w:t xml:space="preserve">Confirm the third-party penetration test vendor and timeline (Section 7) so it can be scheduled ahead of the targeted Release 1 GA date.</w:t>
      </w:r>
    </w:p>
    <w:p>
      <w:pPr>
        <w:pStyle w:val="ListParagraph"/>
        <w:numPr>
          <w:ilvl w:val="0"/>
          <w:numId w:val="2"/>
        </w:numPr>
        <w:spacing w:after="80"/>
      </w:pPr>
      <w:r>
        <w:rPr>
          <w:sz w:val="22"/>
          <w:szCs w:val="22"/>
        </w:rPr>
        <w:t xml:space="preserve">Confirm risk tolerance for waiving S2 defects (Section 13.1) at release - some teams require zero open S2s, others allow written waivers; this should be a deliberate choice, not a default.</w:t>
      </w:r>
    </w:p>
    <w:p>
      <w:pPr>
        <w:pStyle w:val="Heading2"/>
        <w:spacing w:before="300" w:after="150"/>
      </w:pPr>
      <w:r>
        <w:rPr>
          <w:b/>
          <w:bCs/>
          <w:color w:val="2E75B6"/>
          <w:sz w:val="26"/>
          <w:szCs w:val="26"/>
        </w:rPr>
        <w:t xml:space="preserve">15.3 Next Phase</w:t>
      </w:r>
    </w:p>
    <w:p>
      <w:pPr>
        <w:spacing w:after="160" w:line="276"/>
      </w:pPr>
      <w:r>
        <w:rPr>
          <w:b w:val="false"/>
          <w:bCs w:val="false"/>
          <w:i w:val="false"/>
          <w:iCs w:val="false"/>
          <w:color w:val="1A1A1A"/>
          <w:sz w:val="22"/>
          <w:szCs w:val="22"/>
        </w:rPr>
        <w:t xml:space="preserve">On approval, Phase 9 (final) begins: UI/UX Design Specification &amp; API Design Document (Volume 9) - completing the nine-volume blueprint with the design system, screen-level specifications for the value streams (Vol.1 Section 7), and full endpoint-by-endpoint API contracts building on Vol.2 Section 11's resource-ownership map and Vol.3 Section 5's API conventions.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Enterprise Architecture Blueprint - Vol. 8: Testing &amp; QA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Blueprint - Volume 8: Testing &amp; QA Specification</dc:title>
  <dc:creator>Claude</dc:creator>
  <cp:lastModifiedBy>Un-named</cp:lastModifiedBy>
  <cp:revision>1</cp:revision>
  <dcterms:created xsi:type="dcterms:W3CDTF">2026-07-17T12:47:24.469Z</dcterms:created>
  <dcterms:modified xsi:type="dcterms:W3CDTF">2026-07-17T12:47:24.469Z</dcterms:modified>
</cp:coreProperties>
</file>

<file path=docProps/custom.xml><?xml version="1.0" encoding="utf-8"?>
<Properties xmlns="http://schemas.openxmlformats.org/officeDocument/2006/custom-properties" xmlns:vt="http://schemas.openxmlformats.org/officeDocument/2006/docPropsVTypes"/>
</file>