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p>
    <w:p>
      <w:pPr>
        <w:jc w:val="center"/>
      </w:pPr>
      <w:r>
        <w:rPr>
          <w:b/>
          <w:bCs/>
          <w:color w:val="1F3864"/>
          <w:sz w:val="56"/>
          <w:szCs w:val="56"/>
        </w:rPr>
        <w:t xml:space="preserve">ENTERPRISE ARCHITECTURE BLUEPRINT</w:t>
      </w:r>
    </w:p>
    <w:p>
      <w:pPr>
        <w:spacing w:before="200" w:after="100"/>
        <w:jc w:val="center"/>
      </w:pPr>
      <w:r>
        <w:rPr>
          <w:color w:val="2E75B6"/>
          <w:sz w:val="32"/>
          <w:szCs w:val="32"/>
        </w:rPr>
        <w:t xml:space="preserve">Cloud Accounting &amp; Business Management Platform</w:t>
      </w:r>
    </w:p>
    <w:p>
      <w:pPr>
        <w:spacing w:after="600"/>
        <w:jc w:val="center"/>
      </w:pPr>
      <w:r>
        <w:rPr>
          <w:i/>
          <w:iCs/>
          <w:color w:val="595959"/>
          <w:sz w:val="22"/>
          <w:szCs w:val="22"/>
        </w:rPr>
        <w:t xml:space="preserve">(Codename "Ledger" - Zoho Books-class product)</w:t>
      </w:r>
    </w:p>
    <w:p>
      <w:pPr>
        <w:spacing w:before="800" w:after="100"/>
        <w:jc w:val="center"/>
      </w:pPr>
      <w:r>
        <w:rPr>
          <w:b/>
          <w:bCs/>
          <w:color w:val="1F3864"/>
          <w:sz w:val="30"/>
          <w:szCs w:val="30"/>
        </w:rPr>
        <w:t xml:space="preserve">VOLUME 9 OF 9 - FINAL VOLUME</w:t>
      </w:r>
    </w:p>
    <w:p>
      <w:pPr>
        <w:spacing w:after="100"/>
        <w:jc w:val="center"/>
      </w:pPr>
      <w:r>
        <w:rPr>
          <w:b/>
          <w:bCs/>
          <w:color w:val="2E75B6"/>
          <w:sz w:val="36"/>
          <w:szCs w:val="36"/>
        </w:rPr>
        <w:t xml:space="preserve">UI/UX DESIGN SPECIFICATION &amp; API DESIGN DOCUMENT</w:t>
      </w:r>
    </w:p>
    <w:p>
      <w:pPr>
        <w:spacing w:after="1200"/>
        <w:jc w:val="center"/>
      </w:pPr>
      <w:r>
        <w:rPr>
          <w:color w:val="595959"/>
          <w:sz w:val="22"/>
          <w:szCs w:val="22"/>
        </w:rPr>
        <w:t xml:space="preserve">Design System - Screen Specs - Endpoint Catalog - Webhooks - Error Codes - Blueprint Closure</w:t>
      </w:r>
    </w:p>
    <w:p>
      <w:pPr>
        <w:spacing w:before="4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6350"/>
            <w:shd w:fill="1F3864" w:val="clear"/>
            <w:tcMar>
              <w:top w:type="dxa" w:w="80"/>
              <w:left w:type="dxa" w:w="100"/>
              <w:bottom w:type="dxa" w:w="80"/>
              <w:right w:type="dxa" w:w="100"/>
            </w:tcMar>
            <w:vAlign w:val="center"/>
          </w:tcPr>
          <w:p>
            <w:r>
              <w:rPr>
                <w:b/>
                <w:bCs/>
                <w:color w:val="FFFFFF"/>
                <w:sz w:val="19"/>
                <w:szCs w:val="19"/>
              </w:rPr>
              <w:t xml:space="preserve">Value</w:t>
            </w:r>
          </w:p>
        </w:tc>
      </w:tr>
      <w:tr>
        <w:tc>
          <w:tcPr>
            <w:tcW w:type="dxa" w:w="3000"/>
            <w:shd w:fill="FFFFFF" w:val="clear"/>
            <w:tcMar>
              <w:top w:type="dxa" w:w="70"/>
              <w:left w:type="dxa" w:w="100"/>
              <w:bottom w:type="dxa" w:w="70"/>
              <w:right w:type="dxa" w:w="100"/>
            </w:tcMar>
          </w:tcPr>
          <w:p>
            <w:r>
              <w:rPr>
                <w:sz w:val="19"/>
                <w:szCs w:val="19"/>
              </w:rPr>
              <w:t xml:space="preserve">Document Status</w:t>
            </w:r>
          </w:p>
        </w:tc>
        <w:tc>
          <w:tcPr>
            <w:tcW w:type="dxa" w:w="6350"/>
            <w:shd w:fill="FFFFFF" w:val="clear"/>
            <w:tcMar>
              <w:top w:type="dxa" w:w="70"/>
              <w:left w:type="dxa" w:w="100"/>
              <w:bottom w:type="dxa" w:w="70"/>
              <w:right w:type="dxa" w:w="100"/>
            </w:tcMar>
          </w:tcPr>
          <w:p>
            <w:r>
              <w:rPr>
                <w:sz w:val="19"/>
                <w:szCs w:val="19"/>
              </w:rPr>
              <w:t xml:space="preserve">Draft - v0.1 - Phase 9 of 9 (Final)</w:t>
            </w:r>
          </w:p>
        </w:tc>
      </w:tr>
      <w:tr>
        <w:tc>
          <w:tcPr>
            <w:tcW w:type="dxa" w:w="3000"/>
            <w:shd w:fill="DCE6F1" w:val="clear"/>
            <w:tcMar>
              <w:top w:type="dxa" w:w="70"/>
              <w:left w:type="dxa" w:w="100"/>
              <w:bottom w:type="dxa" w:w="70"/>
              <w:right w:type="dxa" w:w="100"/>
            </w:tcMar>
          </w:tcPr>
          <w:p>
            <w:r>
              <w:rPr>
                <w:sz w:val="19"/>
                <w:szCs w:val="19"/>
              </w:rPr>
              <w:t xml:space="preserve">Prepared For</w:t>
            </w:r>
          </w:p>
        </w:tc>
        <w:tc>
          <w:tcPr>
            <w:tcW w:type="dxa" w:w="6350"/>
            <w:shd w:fill="DCE6F1" w:val="clear"/>
            <w:tcMar>
              <w:top w:type="dxa" w:w="70"/>
              <w:left w:type="dxa" w:w="100"/>
              <w:bottom w:type="dxa" w:w="70"/>
              <w:right w:type="dxa" w:w="100"/>
            </w:tcMar>
          </w:tcPr>
          <w:p>
            <w:r>
              <w:rPr>
                <w:sz w:val="19"/>
                <w:szCs w:val="19"/>
              </w:rPr>
              <w:t xml:space="preserve">caldim</w:t>
            </w:r>
          </w:p>
        </w:tc>
      </w:tr>
      <w:tr>
        <w:tc>
          <w:tcPr>
            <w:tcW w:type="dxa" w:w="3000"/>
            <w:shd w:fill="FFFFFF" w:val="clear"/>
            <w:tcMar>
              <w:top w:type="dxa" w:w="70"/>
              <w:left w:type="dxa" w:w="100"/>
              <w:bottom w:type="dxa" w:w="70"/>
              <w:right w:type="dxa" w:w="100"/>
            </w:tcMar>
          </w:tcPr>
          <w:p>
            <w:r>
              <w:rPr>
                <w:sz w:val="19"/>
                <w:szCs w:val="19"/>
              </w:rPr>
              <w:t xml:space="preserve">Prepared By</w:t>
            </w:r>
          </w:p>
        </w:tc>
        <w:tc>
          <w:tcPr>
            <w:tcW w:type="dxa" w:w="6350"/>
            <w:shd w:fill="FFFFFF" w:val="clear"/>
            <w:tcMar>
              <w:top w:type="dxa" w:w="70"/>
              <w:left w:type="dxa" w:w="100"/>
              <w:bottom w:type="dxa" w:w="70"/>
              <w:right w:type="dxa" w:w="100"/>
            </w:tcMar>
          </w:tcPr>
          <w:p>
            <w:r>
              <w:rPr>
                <w:sz w:val="19"/>
                <w:szCs w:val="19"/>
              </w:rPr>
              <w:t xml:space="preserve">Claude (Enterprise Architecture Assistant)</w:t>
            </w:r>
          </w:p>
        </w:tc>
      </w:tr>
      <w:tr>
        <w:tc>
          <w:tcPr>
            <w:tcW w:type="dxa" w:w="3000"/>
            <w:shd w:fill="DCE6F1" w:val="clear"/>
            <w:tcMar>
              <w:top w:type="dxa" w:w="70"/>
              <w:left w:type="dxa" w:w="100"/>
              <w:bottom w:type="dxa" w:w="70"/>
              <w:right w:type="dxa" w:w="100"/>
            </w:tcMar>
          </w:tcPr>
          <w:p>
            <w:r>
              <w:rPr>
                <w:sz w:val="19"/>
                <w:szCs w:val="19"/>
              </w:rPr>
              <w:t xml:space="preserve">Date</w:t>
            </w:r>
          </w:p>
        </w:tc>
        <w:tc>
          <w:tcPr>
            <w:tcW w:type="dxa" w:w="6350"/>
            <w:shd w:fill="DCE6F1" w:val="clear"/>
            <w:tcMar>
              <w:top w:type="dxa" w:w="70"/>
              <w:left w:type="dxa" w:w="100"/>
              <w:bottom w:type="dxa" w:w="70"/>
              <w:right w:type="dxa" w:w="100"/>
            </w:tcMar>
          </w:tcPr>
          <w:p>
            <w:r>
              <w:rPr>
                <w:sz w:val="19"/>
                <w:szCs w:val="19"/>
              </w:rPr>
              <w:t xml:space="preserve">13 July 2026</w:t>
            </w:r>
          </w:p>
        </w:tc>
      </w:tr>
      <w:tr>
        <w:tc>
          <w:tcPr>
            <w:tcW w:type="dxa" w:w="3000"/>
            <w:shd w:fill="FFFFFF" w:val="clear"/>
            <w:tcMar>
              <w:top w:type="dxa" w:w="70"/>
              <w:left w:type="dxa" w:w="100"/>
              <w:bottom w:type="dxa" w:w="70"/>
              <w:right w:type="dxa" w:w="100"/>
            </w:tcMar>
          </w:tcPr>
          <w:p>
            <w:r>
              <w:rPr>
                <w:sz w:val="19"/>
                <w:szCs w:val="19"/>
              </w:rPr>
              <w:t xml:space="preserve">Classification</w:t>
            </w:r>
          </w:p>
        </w:tc>
        <w:tc>
          <w:tcPr>
            <w:tcW w:type="dxa" w:w="6350"/>
            <w:shd w:fill="FFFFFF" w:val="clear"/>
            <w:tcMar>
              <w:top w:type="dxa" w:w="70"/>
              <w:left w:type="dxa" w:w="100"/>
              <w:bottom w:type="dxa" w:w="70"/>
              <w:right w:type="dxa" w:w="100"/>
            </w:tcMar>
          </w:tcPr>
          <w:p>
            <w:r>
              <w:rPr>
                <w:sz w:val="19"/>
                <w:szCs w:val="19"/>
              </w:rPr>
              <w:t xml:space="preserve">Internal - Pre-Development Planning</w:t>
            </w:r>
          </w:p>
        </w:tc>
      </w:tr>
      <w:tr>
        <w:tc>
          <w:tcPr>
            <w:tcW w:type="dxa" w:w="3000"/>
            <w:shd w:fill="DCE6F1" w:val="clear"/>
            <w:tcMar>
              <w:top w:type="dxa" w:w="70"/>
              <w:left w:type="dxa" w:w="100"/>
              <w:bottom w:type="dxa" w:w="70"/>
              <w:right w:type="dxa" w:w="100"/>
            </w:tcMar>
          </w:tcPr>
          <w:p>
            <w:r>
              <w:rPr>
                <w:sz w:val="19"/>
                <w:szCs w:val="19"/>
              </w:rPr>
              <w:t xml:space="preserve">Upstream Dependency</w:t>
            </w:r>
          </w:p>
        </w:tc>
        <w:tc>
          <w:tcPr>
            <w:tcW w:type="dxa" w:w="6350"/>
            <w:shd w:fill="DCE6F1" w:val="clear"/>
            <w:tcMar>
              <w:top w:type="dxa" w:w="70"/>
              <w:left w:type="dxa" w:w="100"/>
              <w:bottom w:type="dxa" w:w="70"/>
              <w:right w:type="dxa" w:w="100"/>
            </w:tcMar>
          </w:tcPr>
          <w:p>
            <w:r>
              <w:rPr>
                <w:sz w:val="19"/>
                <w:szCs w:val="19"/>
              </w:rPr>
              <w:t xml:space="preserve">Vol. 1 Personas &amp; Value Streams; Vol. 2 Resource Ownership Map; Vol. 3 React/Component Library Decision &amp; API Conventions; Vol. 5 Webhook Platform; Vol. 6 Auth Model</w:t>
            </w:r>
          </w:p>
        </w:tc>
      </w:tr>
      <w:tr>
        <w:tc>
          <w:tcPr>
            <w:tcW w:type="dxa" w:w="3000"/>
            <w:shd w:fill="FFFFFF" w:val="clear"/>
            <w:tcMar>
              <w:top w:type="dxa" w:w="70"/>
              <w:left w:type="dxa" w:w="100"/>
              <w:bottom w:type="dxa" w:w="70"/>
              <w:right w:type="dxa" w:w="100"/>
            </w:tcMar>
          </w:tcPr>
          <w:p>
            <w:r>
              <w:rPr>
                <w:sz w:val="19"/>
                <w:szCs w:val="19"/>
              </w:rPr>
              <w:t xml:space="preserve">Status</w:t>
            </w:r>
          </w:p>
        </w:tc>
        <w:tc>
          <w:tcPr>
            <w:tcW w:type="dxa" w:w="6350"/>
            <w:shd w:fill="FFFFFF" w:val="clear"/>
            <w:tcMar>
              <w:top w:type="dxa" w:w="70"/>
              <w:left w:type="dxa" w:w="100"/>
              <w:bottom w:type="dxa" w:w="70"/>
              <w:right w:type="dxa" w:w="100"/>
            </w:tcMar>
          </w:tcPr>
          <w:p>
            <w:r>
              <w:rPr>
                <w:sz w:val="19"/>
                <w:szCs w:val="19"/>
              </w:rPr>
              <w:t xml:space="preserve">Completes the 9-volume Enterprise Architecture Blueprint</w:t>
            </w:r>
          </w:p>
        </w:tc>
      </w:tr>
    </w:tbl>
    <w:p>
      <w:r>
        <w:br w:type="page"/>
      </w:r>
    </w:p>
    <w:p>
      <w:pPr>
        <w:pStyle w:val="Heading1"/>
        <w:spacing w:before="400" w:after="20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b/>
          <w:bCs/>
          <w:color w:val="1F3864"/>
          <w:sz w:val="32"/>
          <w:szCs w:val="32"/>
        </w:rPr>
        <w:t xml:space="preserve">1. Introduction &amp; Scope</w:t>
      </w:r>
    </w:p>
    <w:p>
      <w:pPr>
        <w:pStyle w:val="Heading2"/>
        <w:spacing w:before="300" w:after="150"/>
      </w:pPr>
      <w:r>
        <w:rPr>
          <w:b/>
          <w:bCs/>
          <w:color w:val="2E75B6"/>
          <w:sz w:val="26"/>
          <w:szCs w:val="26"/>
        </w:rPr>
        <w:t xml:space="preserve">1.1 Purpose</w:t>
      </w:r>
    </w:p>
    <w:p>
      <w:pPr>
        <w:spacing w:after="160" w:line="276"/>
      </w:pPr>
      <w:r>
        <w:rPr>
          <w:b w:val="false"/>
          <w:bCs w:val="false"/>
          <w:i w:val="false"/>
          <w:iCs w:val="false"/>
          <w:color w:val="1A1A1A"/>
          <w:sz w:val="22"/>
          <w:szCs w:val="22"/>
        </w:rPr>
        <w:t xml:space="preserve">This is the ninth and final volume of the Enterprise Architecture Blueprint. It has two parts. Part A is the UI/UX Design Specification: the design system, information architecture, and screen-level specifications for the six value streams defined in Vol. 1 Section 7, built on the React/component-library decision from Vol. 3 Section 2.3. Part B is the API Design Document: the full endpoint catalog expanding Vol. 2 Section 11's resource-ownership map, request/response examples, the webhook payload catalog expanding Vol. 5 Section 7.1, the error code reference formalizing Vol. 3 Section 4.3, and versioning policy. Section 14 closes the entire blueprint with a full nine-volume traceability index.</w:t>
      </w:r>
    </w:p>
    <w:p>
      <w:pPr>
        <w:pStyle w:val="Heading2"/>
        <w:spacing w:before="300" w:after="150"/>
      </w:pPr>
      <w:r>
        <w:rPr>
          <w:b/>
          <w:bCs/>
          <w:color w:val="2E75B6"/>
          <w:sz w:val="26"/>
          <w:szCs w:val="26"/>
        </w:rPr>
        <w:t xml:space="preserve">1.2 Why UI/UX and API Design Share One Volume</w:t>
      </w:r>
    </w:p>
    <w:p>
      <w:pPr>
        <w:spacing w:after="160" w:line="276"/>
      </w:pPr>
      <w:r>
        <w:rPr>
          <w:b w:val="false"/>
          <w:bCs w:val="false"/>
          <w:i w:val="false"/>
          <w:iCs w:val="false"/>
          <w:color w:val="1A1A1A"/>
          <w:sz w:val="22"/>
          <w:szCs w:val="22"/>
        </w:rPr>
        <w:t xml:space="preserve">The UI is explicitly a client of the same API every third-party integrator uses (Vol. 2 Principle, Vol. 3 Section 5) - there is no separate internal API. Documenting them together keeps that principle enforced by construction: every screen specification in Part A cites the exact endpoint(s) in Part B it calls, so the two documents cannot drift apart the way a UI spec and an API spec maintained separately often do.</w:t>
      </w:r>
    </w:p>
    <w:p>
      <w:r>
        <w:br w:type="page"/>
      </w:r>
    </w:p>
    <w:p>
      <w:pPr>
        <w:pStyle w:val="Heading1"/>
        <w:spacing w:before="400" w:after="200"/>
      </w:pPr>
      <w:r>
        <w:rPr>
          <w:b/>
          <w:bCs/>
          <w:color w:val="1F3864"/>
          <w:sz w:val="32"/>
          <w:szCs w:val="32"/>
        </w:rPr>
        <w:t xml:space="preserve">PART A: UI/UX DESIGN SPECIFICATION</w:t>
      </w:r>
    </w:p>
    <w:p>
      <w:pPr>
        <w:pStyle w:val="Heading2"/>
        <w:spacing w:before="300" w:after="150"/>
      </w:pPr>
      <w:r>
        <w:rPr>
          <w:b/>
          <w:bCs/>
          <w:color w:val="2E75B6"/>
          <w:sz w:val="26"/>
          <w:szCs w:val="26"/>
        </w:rPr>
        <w:t xml:space="preserve">2. Design System Foundations</w:t>
      </w:r>
    </w:p>
    <w:p>
      <w:pPr>
        <w:pStyle w:val="Heading3"/>
        <w:spacing w:before="200" w:after="100"/>
      </w:pPr>
      <w:r>
        <w:rPr>
          <w:b/>
          <w:bCs/>
          <w:color w:val="1F3864"/>
          <w:sz w:val="23"/>
          <w:szCs w:val="23"/>
        </w:rPr>
        <w:t xml:space="preserve">2.1 Design Tokens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5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Token Category</w:t>
            </w:r>
          </w:p>
        </w:tc>
        <w:tc>
          <w:tcPr>
            <w:tcW w:type="dxa" w:w="4500"/>
            <w:shd w:fill="1F3864" w:val="clear"/>
            <w:tcMar>
              <w:top w:type="dxa" w:w="80"/>
              <w:left w:type="dxa" w:w="100"/>
              <w:bottom w:type="dxa" w:w="80"/>
              <w:right w:type="dxa" w:w="100"/>
            </w:tcMar>
            <w:vAlign w:val="center"/>
          </w:tcPr>
          <w:p>
            <w:r>
              <w:rPr>
                <w:b/>
                <w:bCs/>
                <w:color w:val="FFFFFF"/>
                <w:sz w:val="19"/>
                <w:szCs w:val="19"/>
              </w:rPr>
              <w:t xml:space="preserve">Values (representative)</w:t>
            </w:r>
          </w:p>
        </w:tc>
        <w:tc>
          <w:tcPr>
            <w:tcW w:type="dxa" w:w="2650"/>
            <w:shd w:fill="1F3864" w:val="clear"/>
            <w:tcMar>
              <w:top w:type="dxa" w:w="80"/>
              <w:left w:type="dxa" w:w="100"/>
              <w:bottom w:type="dxa" w:w="80"/>
              <w:right w:type="dxa" w:w="100"/>
            </w:tcMar>
            <w:vAlign w:val="center"/>
          </w:tcPr>
          <w:p>
            <w:r>
              <w:rPr>
                <w:b/>
                <w:bCs/>
                <w:color w:val="FFFFFF"/>
                <w:sz w:val="19"/>
                <w:szCs w:val="19"/>
              </w:rPr>
              <w:t xml:space="preserve">Notes</w:t>
            </w:r>
          </w:p>
        </w:tc>
      </w:tr>
      <w:tr>
        <w:tc>
          <w:tcPr>
            <w:tcW w:type="dxa" w:w="2200"/>
            <w:shd w:fill="FFFFFF" w:val="clear"/>
            <w:tcMar>
              <w:top w:type="dxa" w:w="70"/>
              <w:left w:type="dxa" w:w="100"/>
              <w:bottom w:type="dxa" w:w="70"/>
              <w:right w:type="dxa" w:w="100"/>
            </w:tcMar>
          </w:tcPr>
          <w:p>
            <w:r>
              <w:rPr>
                <w:sz w:val="19"/>
                <w:szCs w:val="19"/>
              </w:rPr>
              <w:t xml:space="preserve">Color - Primary</w:t>
            </w:r>
          </w:p>
        </w:tc>
        <w:tc>
          <w:tcPr>
            <w:tcW w:type="dxa" w:w="4500"/>
            <w:shd w:fill="FFFFFF" w:val="clear"/>
            <w:tcMar>
              <w:top w:type="dxa" w:w="70"/>
              <w:left w:type="dxa" w:w="100"/>
              <w:bottom w:type="dxa" w:w="70"/>
              <w:right w:type="dxa" w:w="100"/>
            </w:tcMar>
          </w:tcPr>
          <w:p>
            <w:r>
              <w:rPr>
                <w:sz w:val="19"/>
                <w:szCs w:val="19"/>
              </w:rPr>
              <w:t xml:space="preserve">Navy (#1F3864) for brand/headers, Accent Blue (#2E75B6) for interactive elements</w:t>
            </w:r>
          </w:p>
        </w:tc>
        <w:tc>
          <w:tcPr>
            <w:tcW w:type="dxa" w:w="2650"/>
            <w:shd w:fill="FFFFFF" w:val="clear"/>
            <w:tcMar>
              <w:top w:type="dxa" w:w="70"/>
              <w:left w:type="dxa" w:w="100"/>
              <w:bottom w:type="dxa" w:w="70"/>
              <w:right w:type="dxa" w:w="100"/>
            </w:tcMar>
          </w:tcPr>
          <w:p>
            <w:r>
              <w:rPr>
                <w:sz w:val="19"/>
                <w:szCs w:val="19"/>
              </w:rPr>
              <w:t xml:space="preserve">Matches this blueprint's own document styling for internal consistency</w:t>
            </w:r>
          </w:p>
        </w:tc>
      </w:tr>
      <w:tr>
        <w:tc>
          <w:tcPr>
            <w:tcW w:type="dxa" w:w="2200"/>
            <w:shd w:fill="DCE6F1" w:val="clear"/>
            <w:tcMar>
              <w:top w:type="dxa" w:w="70"/>
              <w:left w:type="dxa" w:w="100"/>
              <w:bottom w:type="dxa" w:w="70"/>
              <w:right w:type="dxa" w:w="100"/>
            </w:tcMar>
          </w:tcPr>
          <w:p>
            <w:r>
              <w:rPr>
                <w:sz w:val="19"/>
                <w:szCs w:val="19"/>
              </w:rPr>
              <w:t xml:space="preserve">Color - Semantic</w:t>
            </w:r>
          </w:p>
        </w:tc>
        <w:tc>
          <w:tcPr>
            <w:tcW w:type="dxa" w:w="4500"/>
            <w:shd w:fill="DCE6F1" w:val="clear"/>
            <w:tcMar>
              <w:top w:type="dxa" w:w="70"/>
              <w:left w:type="dxa" w:w="100"/>
              <w:bottom w:type="dxa" w:w="70"/>
              <w:right w:type="dxa" w:w="100"/>
            </w:tcMar>
          </w:tcPr>
          <w:p>
            <w:r>
              <w:rPr>
                <w:sz w:val="19"/>
                <w:szCs w:val="19"/>
              </w:rPr>
              <w:t xml:space="preserve">Success (green), Warning (amber), Error (red), Info (blue)</w:t>
            </w:r>
          </w:p>
        </w:tc>
        <w:tc>
          <w:tcPr>
            <w:tcW w:type="dxa" w:w="2650"/>
            <w:shd w:fill="DCE6F1" w:val="clear"/>
            <w:tcMar>
              <w:top w:type="dxa" w:w="70"/>
              <w:left w:type="dxa" w:w="100"/>
              <w:bottom w:type="dxa" w:w="70"/>
              <w:right w:type="dxa" w:w="100"/>
            </w:tcMar>
          </w:tcPr>
          <w:p>
            <w:r>
              <w:rPr>
                <w:sz w:val="19"/>
                <w:szCs w:val="19"/>
              </w:rPr>
              <w:t xml:space="preserve">Used consistently for invoice/bill status badges (Vol.2 Section 8.1 state machine colors)</w:t>
            </w:r>
          </w:p>
        </w:tc>
      </w:tr>
      <w:tr>
        <w:tc>
          <w:tcPr>
            <w:tcW w:type="dxa" w:w="2200"/>
            <w:shd w:fill="FFFFFF" w:val="clear"/>
            <w:tcMar>
              <w:top w:type="dxa" w:w="70"/>
              <w:left w:type="dxa" w:w="100"/>
              <w:bottom w:type="dxa" w:w="70"/>
              <w:right w:type="dxa" w:w="100"/>
            </w:tcMar>
          </w:tcPr>
          <w:p>
            <w:r>
              <w:rPr>
                <w:sz w:val="19"/>
                <w:szCs w:val="19"/>
              </w:rPr>
              <w:t xml:space="preserve">Typography</w:t>
            </w:r>
          </w:p>
        </w:tc>
        <w:tc>
          <w:tcPr>
            <w:tcW w:type="dxa" w:w="4500"/>
            <w:shd w:fill="FFFFFF" w:val="clear"/>
            <w:tcMar>
              <w:top w:type="dxa" w:w="70"/>
              <w:left w:type="dxa" w:w="100"/>
              <w:bottom w:type="dxa" w:w="70"/>
              <w:right w:type="dxa" w:w="100"/>
            </w:tcMar>
          </w:tcPr>
          <w:p>
            <w:r>
              <w:rPr>
                <w:sz w:val="19"/>
                <w:szCs w:val="19"/>
              </w:rPr>
              <w:t xml:space="preserve">System font stack for performance; a distinct monospace for financial figures to aid column alignment</w:t>
            </w:r>
          </w:p>
        </w:tc>
        <w:tc>
          <w:tcPr>
            <w:tcW w:type="dxa" w:w="2650"/>
            <w:shd w:fill="FFFFFF" w:val="clear"/>
            <w:tcMar>
              <w:top w:type="dxa" w:w="70"/>
              <w:left w:type="dxa" w:w="100"/>
              <w:bottom w:type="dxa" w:w="70"/>
              <w:right w:type="dxa" w:w="100"/>
            </w:tcMar>
          </w:tcPr>
          <w:p>
            <w:r>
              <w:rPr>
                <w:sz w:val="19"/>
                <w:szCs w:val="19"/>
              </w:rPr>
              <w:t xml:space="preserve">Financial amounts always right-aligned, tabular-figure font variant</w:t>
            </w:r>
          </w:p>
        </w:tc>
      </w:tr>
      <w:tr>
        <w:tc>
          <w:tcPr>
            <w:tcW w:type="dxa" w:w="2200"/>
            <w:shd w:fill="DCE6F1" w:val="clear"/>
            <w:tcMar>
              <w:top w:type="dxa" w:w="70"/>
              <w:left w:type="dxa" w:w="100"/>
              <w:bottom w:type="dxa" w:w="70"/>
              <w:right w:type="dxa" w:w="100"/>
            </w:tcMar>
          </w:tcPr>
          <w:p>
            <w:r>
              <w:rPr>
                <w:sz w:val="19"/>
                <w:szCs w:val="19"/>
              </w:rPr>
              <w:t xml:space="preserve">Spacing scale</w:t>
            </w:r>
          </w:p>
        </w:tc>
        <w:tc>
          <w:tcPr>
            <w:tcW w:type="dxa" w:w="4500"/>
            <w:shd w:fill="DCE6F1" w:val="clear"/>
            <w:tcMar>
              <w:top w:type="dxa" w:w="70"/>
              <w:left w:type="dxa" w:w="100"/>
              <w:bottom w:type="dxa" w:w="70"/>
              <w:right w:type="dxa" w:w="100"/>
            </w:tcMar>
          </w:tcPr>
          <w:p>
            <w:r>
              <w:rPr>
                <w:sz w:val="19"/>
                <w:szCs w:val="19"/>
              </w:rPr>
              <w:t xml:space="preserve">4px base unit (4/8/12/16/24/32/48/64)</w:t>
            </w:r>
          </w:p>
        </w:tc>
        <w:tc>
          <w:tcPr>
            <w:tcW w:type="dxa" w:w="2650"/>
            <w:shd w:fill="DCE6F1" w:val="clear"/>
            <w:tcMar>
              <w:top w:type="dxa" w:w="70"/>
              <w:left w:type="dxa" w:w="100"/>
              <w:bottom w:type="dxa" w:w="70"/>
              <w:right w:type="dxa" w:w="100"/>
            </w:tcMar>
          </w:tcPr>
          <w:p>
            <w:r>
              <w:rPr>
                <w:sz w:val="19"/>
                <w:szCs w:val="19"/>
              </w:rPr>
              <w:t xml:space="preserve">Consistent density across dense financial tables and lighter marketing-style portal pages</w:t>
            </w:r>
          </w:p>
        </w:tc>
      </w:tr>
      <w:tr>
        <w:tc>
          <w:tcPr>
            <w:tcW w:type="dxa" w:w="2200"/>
            <w:shd w:fill="FFFFFF" w:val="clear"/>
            <w:tcMar>
              <w:top w:type="dxa" w:w="70"/>
              <w:left w:type="dxa" w:w="100"/>
              <w:bottom w:type="dxa" w:w="70"/>
              <w:right w:type="dxa" w:w="100"/>
            </w:tcMar>
          </w:tcPr>
          <w:p>
            <w:r>
              <w:rPr>
                <w:sz w:val="19"/>
                <w:szCs w:val="19"/>
              </w:rPr>
              <w:t xml:space="preserve">Elevation/shadow</w:t>
            </w:r>
          </w:p>
        </w:tc>
        <w:tc>
          <w:tcPr>
            <w:tcW w:type="dxa" w:w="4500"/>
            <w:shd w:fill="FFFFFF" w:val="clear"/>
            <w:tcMar>
              <w:top w:type="dxa" w:w="70"/>
              <w:left w:type="dxa" w:w="100"/>
              <w:bottom w:type="dxa" w:w="70"/>
              <w:right w:type="dxa" w:w="100"/>
            </w:tcMar>
          </w:tcPr>
          <w:p>
            <w:r>
              <w:rPr>
                <w:sz w:val="19"/>
                <w:szCs w:val="19"/>
              </w:rPr>
              <w:t xml:space="preserve">3-tier system: flat, raised (cards), overlay (modals/dropdowns)</w:t>
            </w:r>
          </w:p>
        </w:tc>
        <w:tc>
          <w:tcPr>
            <w:tcW w:type="dxa" w:w="2650"/>
            <w:shd w:fill="FFFFFF" w:val="clear"/>
            <w:tcMar>
              <w:top w:type="dxa" w:w="70"/>
              <w:left w:type="dxa" w:w="100"/>
              <w:bottom w:type="dxa" w:w="70"/>
              <w:right w:type="dxa" w:w="100"/>
            </w:tcMar>
          </w:tcPr>
          <w:p>
            <w:r>
              <w:rPr>
                <w:sz w:val="19"/>
                <w:szCs w:val="19"/>
              </w:rPr>
              <w:t xml:space="preserve">Keeps modal/dropdown hierarchy visually unambiguous in dense screens like the invoice editor</w:t>
            </w:r>
          </w:p>
        </w:tc>
      </w:tr>
    </w:tbl>
    <w:p>
      <w:pPr>
        <w:pStyle w:val="Heading3"/>
        <w:spacing w:before="200" w:after="100"/>
      </w:pPr>
      <w:r>
        <w:rPr>
          <w:b/>
          <w:bCs/>
          <w:color w:val="1F3864"/>
          <w:sz w:val="23"/>
          <w:szCs w:val="23"/>
        </w:rPr>
        <w:t xml:space="preserve">2.2 Component Library</w:t>
      </w:r>
    </w:p>
    <w:p>
      <w:pPr>
        <w:spacing w:after="160" w:line="276"/>
      </w:pPr>
      <w:r>
        <w:rPr>
          <w:b w:val="false"/>
          <w:bCs w:val="false"/>
          <w:i w:val="false"/>
          <w:iCs w:val="false"/>
          <w:color w:val="1A1A1A"/>
          <w:sz w:val="22"/>
          <w:szCs w:val="22"/>
        </w:rPr>
        <w:t xml:space="preserve">Built on the Vol. 3 Section 2.3 decision (React + a headless UI kit such as Radix primitives). Core components: data table (with sort/filter/pagination matching Vol. 3 Section 5's cursor-pagination convention), form inputs with inline validation (surfacing the namespaced error codes from Section 11), status badge, money input (locale-aware, Vol. 1 BC-12), date range picker, modal/drawer, toast/notification, and the recurring approval-workflow widget (Vol. 1 BC-16).</w:t>
      </w:r>
    </w:p>
    <w:p>
      <w:pPr>
        <w:pStyle w:val="Heading3"/>
        <w:spacing w:before="200" w:after="100"/>
      </w:pPr>
      <w:r>
        <w:rPr>
          <w:b/>
          <w:bCs/>
          <w:color w:val="1F3864"/>
          <w:sz w:val="23"/>
          <w:szCs w:val="23"/>
        </w:rPr>
        <w:t xml:space="preserve">2.3 Design-to-Dev Handoff</w:t>
      </w:r>
    </w:p>
    <w:p>
      <w:pPr>
        <w:pStyle w:val="ListParagraph"/>
        <w:numPr>
          <w:ilvl w:val="0"/>
          <w:numId w:val="1"/>
        </w:numPr>
        <w:spacing w:after="80"/>
      </w:pPr>
      <w:r>
        <w:rPr>
          <w:sz w:val="22"/>
          <w:szCs w:val="22"/>
        </w:rPr>
        <w:t xml:space="preserve">Every screen spec (Section 4) ships with a component inventory referencing this section's library - no ad hoc one-off components without an explicit exception noted.</w:t>
      </w:r>
    </w:p>
    <w:p>
      <w:pPr>
        <w:pStyle w:val="ListParagraph"/>
        <w:numPr>
          <w:ilvl w:val="0"/>
          <w:numId w:val="1"/>
        </w:numPr>
        <w:spacing w:after="80"/>
      </w:pPr>
      <w:r>
        <w:rPr>
          <w:sz w:val="22"/>
          <w:szCs w:val="22"/>
        </w:rPr>
        <w:t xml:space="preserve">Design tokens (Section 2.1) are implemented as a shared theme file consumed by both the web app and portal app (Vol.3 Section 3.2 /libs/shared/ui-components), never hand-copied per screen.</w:t>
      </w:r>
    </w:p>
    <w:p>
      <w:pPr>
        <w:pStyle w:val="ListParagraph"/>
        <w:numPr>
          <w:ilvl w:val="0"/>
          <w:numId w:val="1"/>
        </w:numPr>
        <w:spacing w:after="80"/>
      </w:pPr>
      <w:r>
        <w:rPr>
          <w:sz w:val="22"/>
          <w:szCs w:val="22"/>
        </w:rPr>
        <w:t xml:space="preserve">Accessibility annotations (Section 5) are part of the handoff artifact, not a separate post-hoc audit.</w:t>
      </w:r>
    </w:p>
    <w:p>
      <w:r>
        <w:br w:type="page"/>
      </w:r>
    </w:p>
    <w:p>
      <w:pPr>
        <w:pStyle w:val="Heading2"/>
        <w:spacing w:before="300" w:after="150"/>
      </w:pPr>
      <w:r>
        <w:rPr>
          <w:b/>
          <w:bCs/>
          <w:color w:val="2E75B6"/>
          <w:sz w:val="26"/>
          <w:szCs w:val="26"/>
        </w:rPr>
        <w:t xml:space="preserve">3. Information Architecture</w:t>
      </w:r>
    </w:p>
    <w:p>
      <w:pPr>
        <w:pStyle w:val="Heading3"/>
        <w:spacing w:before="200" w:after="100"/>
      </w:pPr>
      <w:r>
        <w:rPr>
          <w:b/>
          <w:bCs/>
          <w:color w:val="1F3864"/>
          <w:sz w:val="23"/>
          <w:szCs w:val="23"/>
        </w:rPr>
        <w:t xml:space="preserve">3.1 Primary Navigation (Web App)</w:t>
      </w:r>
    </w:p>
    <w:p>
      <w:pPr>
        <w:spacing w:after="160" w:line="276"/>
      </w:pPr>
      <w:r>
        <w:rPr>
          <w:b w:val="false"/>
          <w:bCs w:val="false"/>
          <w:i w:val="false"/>
          <w:iCs w:val="false"/>
          <w:color w:val="1A1A1A"/>
          <w:sz w:val="22"/>
          <w:szCs w:val="22"/>
        </w:rPr>
        <w:t xml:space="preserve">Top-level navigation is organized by bounded context (Vol. 2 Section 3.2), matching how permissions are granted (Vol. 6 Section 3.3) so a user's nav only ever shows sections they can act on - there is no navigation item that leads to a permission-denied screen.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50"/>
      </w:tblGrid>
      <w:tr>
        <w:trPr>
          <w:tblHeader/>
        </w:trPr>
        <w:tc>
          <w:tcPr>
            <w:tcW w:type="dxa" w:w="1800"/>
            <w:shd w:fill="1F3864" w:val="clear"/>
            <w:tcMar>
              <w:top w:type="dxa" w:w="80"/>
              <w:left w:type="dxa" w:w="100"/>
              <w:bottom w:type="dxa" w:w="80"/>
              <w:right w:type="dxa" w:w="100"/>
            </w:tcMar>
            <w:vAlign w:val="center"/>
          </w:tcPr>
          <w:p>
            <w:r>
              <w:rPr>
                <w:b/>
                <w:bCs/>
                <w:color w:val="FFFFFF"/>
                <w:sz w:val="19"/>
                <w:szCs w:val="19"/>
              </w:rPr>
              <w:t xml:space="preserve">Nav Section</w:t>
            </w:r>
          </w:p>
        </w:tc>
        <w:tc>
          <w:tcPr>
            <w:tcW w:type="dxa" w:w="3500"/>
            <w:shd w:fill="1F3864" w:val="clear"/>
            <w:tcMar>
              <w:top w:type="dxa" w:w="80"/>
              <w:left w:type="dxa" w:w="100"/>
              <w:bottom w:type="dxa" w:w="80"/>
              <w:right w:type="dxa" w:w="100"/>
            </w:tcMar>
            <w:vAlign w:val="center"/>
          </w:tcPr>
          <w:p>
            <w:r>
              <w:rPr>
                <w:b/>
                <w:bCs/>
                <w:color w:val="FFFFFF"/>
                <w:sz w:val="19"/>
                <w:szCs w:val="19"/>
              </w:rPr>
              <w:t xml:space="preserve">Bounded Context</w:t>
            </w:r>
          </w:p>
        </w:tc>
        <w:tc>
          <w:tcPr>
            <w:tcW w:type="dxa" w:w="4050"/>
            <w:shd w:fill="1F3864" w:val="clear"/>
            <w:tcMar>
              <w:top w:type="dxa" w:w="80"/>
              <w:left w:type="dxa" w:w="100"/>
              <w:bottom w:type="dxa" w:w="80"/>
              <w:right w:type="dxa" w:w="100"/>
            </w:tcMar>
            <w:vAlign w:val="center"/>
          </w:tcPr>
          <w:p>
            <w:r>
              <w:rPr>
                <w:b/>
                <w:bCs/>
                <w:color w:val="FFFFFF"/>
                <w:sz w:val="19"/>
                <w:szCs w:val="19"/>
              </w:rPr>
              <w:t xml:space="preserve">Visible To (Vol.6 Section 3.3 Roles)</w:t>
            </w:r>
          </w:p>
        </w:tc>
      </w:tr>
      <w:tr>
        <w:tc>
          <w:tcPr>
            <w:tcW w:type="dxa" w:w="1800"/>
            <w:shd w:fill="FFFFFF" w:val="clear"/>
            <w:tcMar>
              <w:top w:type="dxa" w:w="70"/>
              <w:left w:type="dxa" w:w="100"/>
              <w:bottom w:type="dxa" w:w="70"/>
              <w:right w:type="dxa" w:w="100"/>
            </w:tcMar>
          </w:tcPr>
          <w:p>
            <w:r>
              <w:rPr>
                <w:sz w:val="19"/>
                <w:szCs w:val="19"/>
              </w:rPr>
              <w:t xml:space="preserve">Dashboard</w:t>
            </w:r>
          </w:p>
        </w:tc>
        <w:tc>
          <w:tcPr>
            <w:tcW w:type="dxa" w:w="3500"/>
            <w:shd w:fill="FFFFFF" w:val="clear"/>
            <w:tcMar>
              <w:top w:type="dxa" w:w="70"/>
              <w:left w:type="dxa" w:w="100"/>
              <w:bottom w:type="dxa" w:w="70"/>
              <w:right w:type="dxa" w:w="100"/>
            </w:tcMar>
          </w:tcPr>
          <w:p>
            <w:r>
              <w:rPr>
                <w:sz w:val="19"/>
                <w:szCs w:val="19"/>
              </w:rPr>
              <w:t xml:space="preserve">Reporting &amp; Analytics (CTX-11)</w:t>
            </w:r>
          </w:p>
        </w:tc>
        <w:tc>
          <w:tcPr>
            <w:tcW w:type="dxa" w:w="4050"/>
            <w:shd w:fill="FFFFFF" w:val="clear"/>
            <w:tcMar>
              <w:top w:type="dxa" w:w="70"/>
              <w:left w:type="dxa" w:w="100"/>
              <w:bottom w:type="dxa" w:w="70"/>
              <w:right w:type="dxa" w:w="100"/>
            </w:tcMar>
          </w:tcPr>
          <w:p>
            <w:r>
              <w:rPr>
                <w:sz w:val="19"/>
                <w:szCs w:val="19"/>
              </w:rPr>
              <w:t xml:space="preserve">All roles (scoped to their own data visibility)</w:t>
            </w:r>
          </w:p>
        </w:tc>
      </w:tr>
      <w:tr>
        <w:tc>
          <w:tcPr>
            <w:tcW w:type="dxa" w:w="1800"/>
            <w:shd w:fill="DCE6F1" w:val="clear"/>
            <w:tcMar>
              <w:top w:type="dxa" w:w="70"/>
              <w:left w:type="dxa" w:w="100"/>
              <w:bottom w:type="dxa" w:w="70"/>
              <w:right w:type="dxa" w:w="100"/>
            </w:tcMar>
          </w:tcPr>
          <w:p>
            <w:r>
              <w:rPr>
                <w:sz w:val="19"/>
                <w:szCs w:val="19"/>
              </w:rPr>
              <w:t xml:space="preserve">Sales</w:t>
            </w:r>
          </w:p>
        </w:tc>
        <w:tc>
          <w:tcPr>
            <w:tcW w:type="dxa" w:w="3500"/>
            <w:shd w:fill="DCE6F1" w:val="clear"/>
            <w:tcMar>
              <w:top w:type="dxa" w:w="70"/>
              <w:left w:type="dxa" w:w="100"/>
              <w:bottom w:type="dxa" w:w="70"/>
              <w:right w:type="dxa" w:w="100"/>
            </w:tcMar>
          </w:tcPr>
          <w:p>
            <w:r>
              <w:rPr>
                <w:sz w:val="19"/>
                <w:szCs w:val="19"/>
              </w:rPr>
              <w:t xml:space="preserve">Receivables (CTX-03)</w:t>
            </w:r>
          </w:p>
        </w:tc>
        <w:tc>
          <w:tcPr>
            <w:tcW w:type="dxa" w:w="4050"/>
            <w:shd w:fill="DCE6F1" w:val="clear"/>
            <w:tcMar>
              <w:top w:type="dxa" w:w="70"/>
              <w:left w:type="dxa" w:w="100"/>
              <w:bottom w:type="dxa" w:w="70"/>
              <w:right w:type="dxa" w:w="100"/>
            </w:tcMar>
          </w:tcPr>
          <w:p>
            <w:r>
              <w:rPr>
                <w:sz w:val="19"/>
                <w:szCs w:val="19"/>
              </w:rPr>
              <w:t xml:space="preserve">Owner/Admin, Accountant, Sales Staff</w:t>
            </w:r>
          </w:p>
        </w:tc>
      </w:tr>
      <w:tr>
        <w:tc>
          <w:tcPr>
            <w:tcW w:type="dxa" w:w="1800"/>
            <w:shd w:fill="FFFFFF" w:val="clear"/>
            <w:tcMar>
              <w:top w:type="dxa" w:w="70"/>
              <w:left w:type="dxa" w:w="100"/>
              <w:bottom w:type="dxa" w:w="70"/>
              <w:right w:type="dxa" w:w="100"/>
            </w:tcMar>
          </w:tcPr>
          <w:p>
            <w:r>
              <w:rPr>
                <w:sz w:val="19"/>
                <w:szCs w:val="19"/>
              </w:rPr>
              <w:t xml:space="preserve">Purchases</w:t>
            </w:r>
          </w:p>
        </w:tc>
        <w:tc>
          <w:tcPr>
            <w:tcW w:type="dxa" w:w="3500"/>
            <w:shd w:fill="FFFFFF" w:val="clear"/>
            <w:tcMar>
              <w:top w:type="dxa" w:w="70"/>
              <w:left w:type="dxa" w:w="100"/>
              <w:bottom w:type="dxa" w:w="70"/>
              <w:right w:type="dxa" w:w="100"/>
            </w:tcMar>
          </w:tcPr>
          <w:p>
            <w:r>
              <w:rPr>
                <w:sz w:val="19"/>
                <w:szCs w:val="19"/>
              </w:rPr>
              <w:t xml:space="preserve">Payables (CTX-04)</w:t>
            </w:r>
          </w:p>
        </w:tc>
        <w:tc>
          <w:tcPr>
            <w:tcW w:type="dxa" w:w="4050"/>
            <w:shd w:fill="FFFFFF" w:val="clear"/>
            <w:tcMar>
              <w:top w:type="dxa" w:w="70"/>
              <w:left w:type="dxa" w:w="100"/>
              <w:bottom w:type="dxa" w:w="70"/>
              <w:right w:type="dxa" w:w="100"/>
            </w:tcMar>
          </w:tcPr>
          <w:p>
            <w:r>
              <w:rPr>
                <w:sz w:val="19"/>
                <w:szCs w:val="19"/>
              </w:rPr>
              <w:t xml:space="preserve">Owner/Admin, Accountant, Purchasing Staff</w:t>
            </w:r>
          </w:p>
        </w:tc>
      </w:tr>
      <w:tr>
        <w:tc>
          <w:tcPr>
            <w:tcW w:type="dxa" w:w="1800"/>
            <w:shd w:fill="DCE6F1" w:val="clear"/>
            <w:tcMar>
              <w:top w:type="dxa" w:w="70"/>
              <w:left w:type="dxa" w:w="100"/>
              <w:bottom w:type="dxa" w:w="70"/>
              <w:right w:type="dxa" w:w="100"/>
            </w:tcMar>
          </w:tcPr>
          <w:p>
            <w:r>
              <w:rPr>
                <w:sz w:val="19"/>
                <w:szCs w:val="19"/>
              </w:rPr>
              <w:t xml:space="preserve">Banking</w:t>
            </w:r>
          </w:p>
        </w:tc>
        <w:tc>
          <w:tcPr>
            <w:tcW w:type="dxa" w:w="3500"/>
            <w:shd w:fill="DCE6F1" w:val="clear"/>
            <w:tcMar>
              <w:top w:type="dxa" w:w="70"/>
              <w:left w:type="dxa" w:w="100"/>
              <w:bottom w:type="dxa" w:w="70"/>
              <w:right w:type="dxa" w:w="100"/>
            </w:tcMar>
          </w:tcPr>
          <w:p>
            <w:r>
              <w:rPr>
                <w:sz w:val="19"/>
                <w:szCs w:val="19"/>
              </w:rPr>
              <w:t xml:space="preserve">Banking (CTX-05)</w:t>
            </w:r>
          </w:p>
        </w:tc>
        <w:tc>
          <w:tcPr>
            <w:tcW w:type="dxa" w:w="4050"/>
            <w:shd w:fill="DCE6F1" w:val="clear"/>
            <w:tcMar>
              <w:top w:type="dxa" w:w="70"/>
              <w:left w:type="dxa" w:w="100"/>
              <w:bottom w:type="dxa" w:w="70"/>
              <w:right w:type="dxa" w:w="100"/>
            </w:tcMar>
          </w:tcPr>
          <w:p>
            <w:r>
              <w:rPr>
                <w:sz w:val="19"/>
                <w:szCs w:val="19"/>
              </w:rPr>
              <w:t xml:space="preserve">Owner/Admin, Accountant</w:t>
            </w:r>
          </w:p>
        </w:tc>
      </w:tr>
      <w:tr>
        <w:tc>
          <w:tcPr>
            <w:tcW w:type="dxa" w:w="1800"/>
            <w:shd w:fill="FFFFFF" w:val="clear"/>
            <w:tcMar>
              <w:top w:type="dxa" w:w="70"/>
              <w:left w:type="dxa" w:w="100"/>
              <w:bottom w:type="dxa" w:w="70"/>
              <w:right w:type="dxa" w:w="100"/>
            </w:tcMar>
          </w:tcPr>
          <w:p>
            <w:r>
              <w:rPr>
                <w:sz w:val="19"/>
                <w:szCs w:val="19"/>
              </w:rPr>
              <w:t xml:space="preserve">Inventory</w:t>
            </w:r>
          </w:p>
        </w:tc>
        <w:tc>
          <w:tcPr>
            <w:tcW w:type="dxa" w:w="3500"/>
            <w:shd w:fill="FFFFFF" w:val="clear"/>
            <w:tcMar>
              <w:top w:type="dxa" w:w="70"/>
              <w:left w:type="dxa" w:w="100"/>
              <w:bottom w:type="dxa" w:w="70"/>
              <w:right w:type="dxa" w:w="100"/>
            </w:tcMar>
          </w:tcPr>
          <w:p>
            <w:r>
              <w:rPr>
                <w:sz w:val="19"/>
                <w:szCs w:val="19"/>
              </w:rPr>
              <w:t xml:space="preserve">Inventory (CTX-07)</w:t>
            </w:r>
          </w:p>
        </w:tc>
        <w:tc>
          <w:tcPr>
            <w:tcW w:type="dxa" w:w="4050"/>
            <w:shd w:fill="FFFFFF" w:val="clear"/>
            <w:tcMar>
              <w:top w:type="dxa" w:w="70"/>
              <w:left w:type="dxa" w:w="100"/>
              <w:bottom w:type="dxa" w:w="70"/>
              <w:right w:type="dxa" w:w="100"/>
            </w:tcMar>
          </w:tcPr>
          <w:p>
            <w:r>
              <w:rPr>
                <w:sz w:val="19"/>
                <w:szCs w:val="19"/>
              </w:rPr>
              <w:t xml:space="preserve">Owner/Admin, Inventory Manager, Sales/Purchasing Staff (read-only)</w:t>
            </w:r>
          </w:p>
        </w:tc>
      </w:tr>
      <w:tr>
        <w:tc>
          <w:tcPr>
            <w:tcW w:type="dxa" w:w="1800"/>
            <w:shd w:fill="DCE6F1" w:val="clear"/>
            <w:tcMar>
              <w:top w:type="dxa" w:w="70"/>
              <w:left w:type="dxa" w:w="100"/>
              <w:bottom w:type="dxa" w:w="70"/>
              <w:right w:type="dxa" w:w="100"/>
            </w:tcMar>
          </w:tcPr>
          <w:p>
            <w:r>
              <w:rPr>
                <w:sz w:val="19"/>
                <w:szCs w:val="19"/>
              </w:rPr>
              <w:t xml:space="preserve">Projects</w:t>
            </w:r>
          </w:p>
        </w:tc>
        <w:tc>
          <w:tcPr>
            <w:tcW w:type="dxa" w:w="3500"/>
            <w:shd w:fill="DCE6F1" w:val="clear"/>
            <w:tcMar>
              <w:top w:type="dxa" w:w="70"/>
              <w:left w:type="dxa" w:w="100"/>
              <w:bottom w:type="dxa" w:w="70"/>
              <w:right w:type="dxa" w:w="100"/>
            </w:tcMar>
          </w:tcPr>
          <w:p>
            <w:r>
              <w:rPr>
                <w:sz w:val="19"/>
                <w:szCs w:val="19"/>
              </w:rPr>
              <w:t xml:space="preserve">Projects (CTX-08)</w:t>
            </w:r>
          </w:p>
        </w:tc>
        <w:tc>
          <w:tcPr>
            <w:tcW w:type="dxa" w:w="4050"/>
            <w:shd w:fill="DCE6F1" w:val="clear"/>
            <w:tcMar>
              <w:top w:type="dxa" w:w="70"/>
              <w:left w:type="dxa" w:w="100"/>
              <w:bottom w:type="dxa" w:w="70"/>
              <w:right w:type="dxa" w:w="100"/>
            </w:tcMar>
          </w:tcPr>
          <w:p>
            <w:r>
              <w:rPr>
                <w:sz w:val="19"/>
                <w:szCs w:val="19"/>
              </w:rPr>
              <w:t xml:space="preserve">Owner/Admin, Project Manager</w:t>
            </w:r>
          </w:p>
        </w:tc>
      </w:tr>
      <w:tr>
        <w:tc>
          <w:tcPr>
            <w:tcW w:type="dxa" w:w="1800"/>
            <w:shd w:fill="FFFFFF" w:val="clear"/>
            <w:tcMar>
              <w:top w:type="dxa" w:w="70"/>
              <w:left w:type="dxa" w:w="100"/>
              <w:bottom w:type="dxa" w:w="70"/>
              <w:right w:type="dxa" w:w="100"/>
            </w:tcMar>
          </w:tcPr>
          <w:p>
            <w:r>
              <w:rPr>
                <w:sz w:val="19"/>
                <w:szCs w:val="19"/>
              </w:rPr>
              <w:t xml:space="preserve">Reports</w:t>
            </w:r>
          </w:p>
        </w:tc>
        <w:tc>
          <w:tcPr>
            <w:tcW w:type="dxa" w:w="3500"/>
            <w:shd w:fill="FFFFFF" w:val="clear"/>
            <w:tcMar>
              <w:top w:type="dxa" w:w="70"/>
              <w:left w:type="dxa" w:w="100"/>
              <w:bottom w:type="dxa" w:w="70"/>
              <w:right w:type="dxa" w:w="100"/>
            </w:tcMar>
          </w:tcPr>
          <w:p>
            <w:r>
              <w:rPr>
                <w:sz w:val="19"/>
                <w:szCs w:val="19"/>
              </w:rPr>
              <w:t xml:space="preserve">Reporting &amp; Analytics (CTX-11)</w:t>
            </w:r>
          </w:p>
        </w:tc>
        <w:tc>
          <w:tcPr>
            <w:tcW w:type="dxa" w:w="4050"/>
            <w:shd w:fill="FFFFFF" w:val="clear"/>
            <w:tcMar>
              <w:top w:type="dxa" w:w="70"/>
              <w:left w:type="dxa" w:w="100"/>
              <w:bottom w:type="dxa" w:w="70"/>
              <w:right w:type="dxa" w:w="100"/>
            </w:tcMar>
          </w:tcPr>
          <w:p>
            <w:r>
              <w:rPr>
                <w:sz w:val="19"/>
                <w:szCs w:val="19"/>
              </w:rPr>
              <w:t xml:space="preserve">All roles (report set varies by role)</w:t>
            </w:r>
          </w:p>
        </w:tc>
      </w:tr>
      <w:tr>
        <w:tc>
          <w:tcPr>
            <w:tcW w:type="dxa" w:w="1800"/>
            <w:shd w:fill="DCE6F1" w:val="clear"/>
            <w:tcMar>
              <w:top w:type="dxa" w:w="70"/>
              <w:left w:type="dxa" w:w="100"/>
              <w:bottom w:type="dxa" w:w="70"/>
              <w:right w:type="dxa" w:w="100"/>
            </w:tcMar>
          </w:tcPr>
          <w:p>
            <w:r>
              <w:rPr>
                <w:sz w:val="19"/>
                <w:szCs w:val="19"/>
              </w:rPr>
              <w:t xml:space="preserve">Settings</w:t>
            </w:r>
          </w:p>
        </w:tc>
        <w:tc>
          <w:tcPr>
            <w:tcW w:type="dxa" w:w="3500"/>
            <w:shd w:fill="DCE6F1" w:val="clear"/>
            <w:tcMar>
              <w:top w:type="dxa" w:w="70"/>
              <w:left w:type="dxa" w:w="100"/>
              <w:bottom w:type="dxa" w:w="70"/>
              <w:right w:type="dxa" w:w="100"/>
            </w:tcMar>
          </w:tcPr>
          <w:p>
            <w:r>
              <w:rPr>
                <w:sz w:val="19"/>
                <w:szCs w:val="19"/>
              </w:rPr>
              <w:t xml:space="preserve">Identity &amp; Tenant, Automation (CTX-01, CTX-14)</w:t>
            </w:r>
          </w:p>
        </w:tc>
        <w:tc>
          <w:tcPr>
            <w:tcW w:type="dxa" w:w="4050"/>
            <w:shd w:fill="DCE6F1" w:val="clear"/>
            <w:tcMar>
              <w:top w:type="dxa" w:w="70"/>
              <w:left w:type="dxa" w:w="100"/>
              <w:bottom w:type="dxa" w:w="70"/>
              <w:right w:type="dxa" w:w="100"/>
            </w:tcMar>
          </w:tcPr>
          <w:p>
            <w:r>
              <w:rPr>
                <w:sz w:val="19"/>
                <w:szCs w:val="19"/>
              </w:rPr>
              <w:t xml:space="preserve">Owner/Admin only for org/user/role settings</w:t>
            </w:r>
          </w:p>
        </w:tc>
      </w:tr>
    </w:tbl>
    <w:p>
      <w:pPr>
        <w:pStyle w:val="Heading3"/>
        <w:spacing w:before="200" w:after="100"/>
      </w:pPr>
      <w:r>
        <w:rPr>
          <w:b/>
          <w:bCs/>
          <w:color w:val="1F3864"/>
          <w:sz w:val="23"/>
          <w:szCs w:val="23"/>
        </w:rPr>
        <w:t xml:space="preserve">3.2 Portal Navigation (Customer/Vendor)</w:t>
      </w:r>
    </w:p>
    <w:p>
      <w:pPr>
        <w:spacing w:after="160" w:line="276"/>
      </w:pPr>
      <w:r>
        <w:rPr>
          <w:b w:val="false"/>
          <w:bCs w:val="false"/>
          <w:i w:val="false"/>
          <w:iCs w:val="false"/>
          <w:color w:val="1A1A1A"/>
          <w:sz w:val="22"/>
          <w:szCs w:val="22"/>
        </w:rPr>
        <w:t xml:space="preserve">A deliberately minimal, separate navigation (Vol. 6 Section 3.1 portal auth) - customers see Invoices, Payments, and Messages; vendors see Purchase Orders, Bills, and Messages. Neither portal exposes any internal-staff navigation item, consistent with the portal's restricted API scope (Vol. 2 Section 11).</w:t>
      </w:r>
    </w:p>
    <w:p>
      <w:r>
        <w:br w:type="page"/>
      </w:r>
    </w:p>
    <w:p>
      <w:pPr>
        <w:pStyle w:val="Heading2"/>
        <w:spacing w:before="300" w:after="150"/>
      </w:pPr>
      <w:r>
        <w:rPr>
          <w:b/>
          <w:bCs/>
          <w:color w:val="2E75B6"/>
          <w:sz w:val="26"/>
          <w:szCs w:val="26"/>
        </w:rPr>
        <w:t xml:space="preserve">4. Screen Specifications by Value Stream</w:t>
      </w:r>
    </w:p>
    <w:p>
      <w:pPr>
        <w:spacing w:after="160" w:line="276"/>
      </w:pPr>
      <w:r>
        <w:rPr>
          <w:b w:val="false"/>
          <w:bCs w:val="false"/>
          <w:i w:val="false"/>
          <w:iCs w:val="false"/>
          <w:color w:val="1A1A1A"/>
          <w:sz w:val="22"/>
          <w:szCs w:val="22"/>
        </w:rPr>
        <w:t xml:space="preserve">Each value stream from Vol. 1 Section 7 gets its key screens specified here at a wireframe-description level of detail (not pixel-perfect mockups, which belong to a dedicated design tool) - enough for engineering to build against and for the API cross-references (Part B) to be concrete.</w:t>
      </w:r>
    </w:p>
    <w:p>
      <w:pPr>
        <w:pStyle w:val="Heading3"/>
        <w:spacing w:before="200" w:after="100"/>
      </w:pPr>
      <w:r>
        <w:rPr>
          <w:b/>
          <w:bCs/>
          <w:color w:val="1F3864"/>
          <w:sz w:val="23"/>
          <w:szCs w:val="23"/>
        </w:rPr>
        <w:t xml:space="preserve">4.1 VS-01 Order-to-Cash Screens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50"/>
      </w:tblGrid>
      <w:tr>
        <w:trPr>
          <w:tblHeader/>
        </w:trPr>
        <w:tc>
          <w:tcPr>
            <w:tcW w:type="dxa" w:w="2400"/>
            <w:shd w:fill="1F3864" w:val="clear"/>
            <w:tcMar>
              <w:top w:type="dxa" w:w="80"/>
              <w:left w:type="dxa" w:w="100"/>
              <w:bottom w:type="dxa" w:w="80"/>
              <w:right w:type="dxa" w:w="100"/>
            </w:tcMar>
            <w:vAlign w:val="center"/>
          </w:tcPr>
          <w:p>
            <w:r>
              <w:rPr>
                <w:b/>
                <w:bCs/>
                <w:color w:val="FFFFFF"/>
                <w:sz w:val="19"/>
                <w:szCs w:val="19"/>
              </w:rPr>
              <w:t xml:space="preserve">Screen</w:t>
            </w:r>
          </w:p>
        </w:tc>
        <w:tc>
          <w:tcPr>
            <w:tcW w:type="dxa" w:w="4400"/>
            <w:shd w:fill="1F3864" w:val="clear"/>
            <w:tcMar>
              <w:top w:type="dxa" w:w="80"/>
              <w:left w:type="dxa" w:w="100"/>
              <w:bottom w:type="dxa" w:w="80"/>
              <w:right w:type="dxa" w:w="100"/>
            </w:tcMar>
            <w:vAlign w:val="center"/>
          </w:tcPr>
          <w:p>
            <w:r>
              <w:rPr>
                <w:b/>
                <w:bCs/>
                <w:color w:val="FFFFFF"/>
                <w:sz w:val="19"/>
                <w:szCs w:val="19"/>
              </w:rPr>
              <w:t xml:space="preserve">Key Elements</w:t>
            </w:r>
          </w:p>
        </w:tc>
        <w:tc>
          <w:tcPr>
            <w:tcW w:type="dxa" w:w="2550"/>
            <w:shd w:fill="1F3864" w:val="clear"/>
            <w:tcMar>
              <w:top w:type="dxa" w:w="80"/>
              <w:left w:type="dxa" w:w="100"/>
              <w:bottom w:type="dxa" w:w="80"/>
              <w:right w:type="dxa" w:w="100"/>
            </w:tcMar>
            <w:vAlign w:val="center"/>
          </w:tcPr>
          <w:p>
            <w:r>
              <w:rPr>
                <w:b/>
                <w:bCs/>
                <w:color w:val="FFFFFF"/>
                <w:sz w:val="19"/>
                <w:szCs w:val="19"/>
              </w:rPr>
              <w:t xml:space="preserve">Calls (Part B)</w:t>
            </w:r>
          </w:p>
        </w:tc>
      </w:tr>
      <w:tr>
        <w:tc>
          <w:tcPr>
            <w:tcW w:type="dxa" w:w="2400"/>
            <w:shd w:fill="FFFFFF" w:val="clear"/>
            <w:tcMar>
              <w:top w:type="dxa" w:w="70"/>
              <w:left w:type="dxa" w:w="100"/>
              <w:bottom w:type="dxa" w:w="70"/>
              <w:right w:type="dxa" w:w="100"/>
            </w:tcMar>
          </w:tcPr>
          <w:p>
            <w:r>
              <w:rPr>
                <w:sz w:val="19"/>
                <w:szCs w:val="19"/>
              </w:rPr>
              <w:t xml:space="preserve">Quote/Invoice List</w:t>
            </w:r>
          </w:p>
        </w:tc>
        <w:tc>
          <w:tcPr>
            <w:tcW w:type="dxa" w:w="4400"/>
            <w:shd w:fill="FFFFFF" w:val="clear"/>
            <w:tcMar>
              <w:top w:type="dxa" w:w="70"/>
              <w:left w:type="dxa" w:w="100"/>
              <w:bottom w:type="dxa" w:w="70"/>
              <w:right w:type="dxa" w:w="100"/>
            </w:tcMar>
          </w:tcPr>
          <w:p>
            <w:r>
              <w:rPr>
                <w:sz w:val="19"/>
                <w:szCs w:val="19"/>
              </w:rPr>
              <w:t xml:space="preserve">Data table: customer, number, status badge, amount, due date; filter by status; bulk actions (send reminder)</w:t>
            </w:r>
          </w:p>
        </w:tc>
        <w:tc>
          <w:tcPr>
            <w:tcW w:type="dxa" w:w="2550"/>
            <w:shd w:fill="FFFFFF" w:val="clear"/>
            <w:tcMar>
              <w:top w:type="dxa" w:w="70"/>
              <w:left w:type="dxa" w:w="100"/>
              <w:bottom w:type="dxa" w:w="70"/>
              <w:right w:type="dxa" w:w="100"/>
            </w:tcMar>
          </w:tcPr>
          <w:p>
            <w:r>
              <w:rPr>
                <w:sz w:val="19"/>
                <w:szCs w:val="19"/>
              </w:rPr>
              <w:t xml:space="preserve">GET /v1/invoices</w:t>
            </w:r>
          </w:p>
        </w:tc>
      </w:tr>
      <w:tr>
        <w:tc>
          <w:tcPr>
            <w:tcW w:type="dxa" w:w="2400"/>
            <w:shd w:fill="DCE6F1" w:val="clear"/>
            <w:tcMar>
              <w:top w:type="dxa" w:w="70"/>
              <w:left w:type="dxa" w:w="100"/>
              <w:bottom w:type="dxa" w:w="70"/>
              <w:right w:type="dxa" w:w="100"/>
            </w:tcMar>
          </w:tcPr>
          <w:p>
            <w:r>
              <w:rPr>
                <w:sz w:val="19"/>
                <w:szCs w:val="19"/>
              </w:rPr>
              <w:t xml:space="preserve">Invoice Editor</w:t>
            </w:r>
          </w:p>
        </w:tc>
        <w:tc>
          <w:tcPr>
            <w:tcW w:type="dxa" w:w="4400"/>
            <w:shd w:fill="DCE6F1" w:val="clear"/>
            <w:tcMar>
              <w:top w:type="dxa" w:w="70"/>
              <w:left w:type="dxa" w:w="100"/>
              <w:bottom w:type="dxa" w:w="70"/>
              <w:right w:type="dxa" w:w="100"/>
            </w:tcMar>
          </w:tcPr>
          <w:p>
            <w:r>
              <w:rPr>
                <w:sz w:val="19"/>
                <w:szCs w:val="19"/>
              </w:rPr>
              <w:t xml:space="preserve">Customer selector, line-item table with item/qty/price/tax, totals summary, save-as-draft vs send actions</w:t>
            </w:r>
          </w:p>
        </w:tc>
        <w:tc>
          <w:tcPr>
            <w:tcW w:type="dxa" w:w="2550"/>
            <w:shd w:fill="DCE6F1" w:val="clear"/>
            <w:tcMar>
              <w:top w:type="dxa" w:w="70"/>
              <w:left w:type="dxa" w:w="100"/>
              <w:bottom w:type="dxa" w:w="70"/>
              <w:right w:type="dxa" w:w="100"/>
            </w:tcMar>
          </w:tcPr>
          <w:p>
            <w:r>
              <w:rPr>
                <w:sz w:val="19"/>
                <w:szCs w:val="19"/>
              </w:rPr>
              <w:t xml:space="preserve">POST /v1/invoices, PATCH /v1/invoices/{id}</w:t>
            </w:r>
          </w:p>
        </w:tc>
      </w:tr>
      <w:tr>
        <w:tc>
          <w:tcPr>
            <w:tcW w:type="dxa" w:w="2400"/>
            <w:shd w:fill="FFFFFF" w:val="clear"/>
            <w:tcMar>
              <w:top w:type="dxa" w:w="70"/>
              <w:left w:type="dxa" w:w="100"/>
              <w:bottom w:type="dxa" w:w="70"/>
              <w:right w:type="dxa" w:w="100"/>
            </w:tcMar>
          </w:tcPr>
          <w:p>
            <w:r>
              <w:rPr>
                <w:sz w:val="19"/>
                <w:szCs w:val="19"/>
              </w:rPr>
              <w:t xml:space="preserve">Payment Recording</w:t>
            </w:r>
          </w:p>
        </w:tc>
        <w:tc>
          <w:tcPr>
            <w:tcW w:type="dxa" w:w="4400"/>
            <w:shd w:fill="FFFFFF" w:val="clear"/>
            <w:tcMar>
              <w:top w:type="dxa" w:w="70"/>
              <w:left w:type="dxa" w:w="100"/>
              <w:bottom w:type="dxa" w:w="70"/>
              <w:right w:type="dxa" w:w="100"/>
            </w:tcMar>
          </w:tcPr>
          <w:p>
            <w:r>
              <w:rPr>
                <w:sz w:val="19"/>
                <w:szCs w:val="19"/>
              </w:rPr>
              <w:t xml:space="preserve">Amount, method, date, reference number; partial-payment support with running balance display</w:t>
            </w:r>
          </w:p>
        </w:tc>
        <w:tc>
          <w:tcPr>
            <w:tcW w:type="dxa" w:w="2550"/>
            <w:shd w:fill="FFFFFF" w:val="clear"/>
            <w:tcMar>
              <w:top w:type="dxa" w:w="70"/>
              <w:left w:type="dxa" w:w="100"/>
              <w:bottom w:type="dxa" w:w="70"/>
              <w:right w:type="dxa" w:w="100"/>
            </w:tcMar>
          </w:tcPr>
          <w:p>
            <w:r>
              <w:rPr>
                <w:sz w:val="19"/>
                <w:szCs w:val="19"/>
              </w:rPr>
              <w:t xml:space="preserve">POST /v1/invoices/{id}/payments</w:t>
            </w:r>
          </w:p>
        </w:tc>
      </w:tr>
      <w:tr>
        <w:tc>
          <w:tcPr>
            <w:tcW w:type="dxa" w:w="2400"/>
            <w:shd w:fill="DCE6F1" w:val="clear"/>
            <w:tcMar>
              <w:top w:type="dxa" w:w="70"/>
              <w:left w:type="dxa" w:w="100"/>
              <w:bottom w:type="dxa" w:w="70"/>
              <w:right w:type="dxa" w:w="100"/>
            </w:tcMar>
          </w:tcPr>
          <w:p>
            <w:r>
              <w:rPr>
                <w:sz w:val="19"/>
                <w:szCs w:val="19"/>
              </w:rPr>
              <w:t xml:space="preserve">Customer Portal - Invoice View</w:t>
            </w:r>
          </w:p>
        </w:tc>
        <w:tc>
          <w:tcPr>
            <w:tcW w:type="dxa" w:w="4400"/>
            <w:shd w:fill="DCE6F1" w:val="clear"/>
            <w:tcMar>
              <w:top w:type="dxa" w:w="70"/>
              <w:left w:type="dxa" w:w="100"/>
              <w:bottom w:type="dxa" w:w="70"/>
              <w:right w:type="dxa" w:w="100"/>
            </w:tcMar>
          </w:tcPr>
          <w:p>
            <w:r>
              <w:rPr>
                <w:sz w:val="19"/>
                <w:szCs w:val="19"/>
              </w:rPr>
              <w:t xml:space="preserve">Read-only invoice detail, Pay Now button (Vol.5 Section 4.3 payment link), comment thread</w:t>
            </w:r>
          </w:p>
        </w:tc>
        <w:tc>
          <w:tcPr>
            <w:tcW w:type="dxa" w:w="2550"/>
            <w:shd w:fill="DCE6F1" w:val="clear"/>
            <w:tcMar>
              <w:top w:type="dxa" w:w="70"/>
              <w:left w:type="dxa" w:w="100"/>
              <w:bottom w:type="dxa" w:w="70"/>
              <w:right w:type="dxa" w:w="100"/>
            </w:tcMar>
          </w:tcPr>
          <w:p>
            <w:r>
              <w:rPr>
                <w:sz w:val="19"/>
                <w:szCs w:val="19"/>
              </w:rPr>
              <w:t xml:space="preserve">GET /v1/portal/invoices/{id}, POST /v1/portal/invoices/{id}/pay</w:t>
            </w:r>
          </w:p>
        </w:tc>
      </w:tr>
    </w:tbl>
    <w:p>
      <w:pPr>
        <w:pStyle w:val="Heading3"/>
        <w:spacing w:before="200" w:after="100"/>
      </w:pPr>
      <w:r>
        <w:rPr>
          <w:b/>
          <w:bCs/>
          <w:color w:val="1F3864"/>
          <w:sz w:val="23"/>
          <w:szCs w:val="23"/>
        </w:rPr>
        <w:t xml:space="preserve">4.2 VS-02 Procure-to-Pay Screens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50"/>
      </w:tblGrid>
      <w:tr>
        <w:trPr>
          <w:tblHeader/>
        </w:trPr>
        <w:tc>
          <w:tcPr>
            <w:tcW w:type="dxa" w:w="2400"/>
            <w:shd w:fill="1F3864" w:val="clear"/>
            <w:tcMar>
              <w:top w:type="dxa" w:w="80"/>
              <w:left w:type="dxa" w:w="100"/>
              <w:bottom w:type="dxa" w:w="80"/>
              <w:right w:type="dxa" w:w="100"/>
            </w:tcMar>
            <w:vAlign w:val="center"/>
          </w:tcPr>
          <w:p>
            <w:r>
              <w:rPr>
                <w:b/>
                <w:bCs/>
                <w:color w:val="FFFFFF"/>
                <w:sz w:val="19"/>
                <w:szCs w:val="19"/>
              </w:rPr>
              <w:t xml:space="preserve">Screen</w:t>
            </w:r>
          </w:p>
        </w:tc>
        <w:tc>
          <w:tcPr>
            <w:tcW w:type="dxa" w:w="4400"/>
            <w:shd w:fill="1F3864" w:val="clear"/>
            <w:tcMar>
              <w:top w:type="dxa" w:w="80"/>
              <w:left w:type="dxa" w:w="100"/>
              <w:bottom w:type="dxa" w:w="80"/>
              <w:right w:type="dxa" w:w="100"/>
            </w:tcMar>
            <w:vAlign w:val="center"/>
          </w:tcPr>
          <w:p>
            <w:r>
              <w:rPr>
                <w:b/>
                <w:bCs/>
                <w:color w:val="FFFFFF"/>
                <w:sz w:val="19"/>
                <w:szCs w:val="19"/>
              </w:rPr>
              <w:t xml:space="preserve">Key Elements</w:t>
            </w:r>
          </w:p>
        </w:tc>
        <w:tc>
          <w:tcPr>
            <w:tcW w:type="dxa" w:w="2550"/>
            <w:shd w:fill="1F3864" w:val="clear"/>
            <w:tcMar>
              <w:top w:type="dxa" w:w="80"/>
              <w:left w:type="dxa" w:w="100"/>
              <w:bottom w:type="dxa" w:w="80"/>
              <w:right w:type="dxa" w:w="100"/>
            </w:tcMar>
            <w:vAlign w:val="center"/>
          </w:tcPr>
          <w:p>
            <w:r>
              <w:rPr>
                <w:b/>
                <w:bCs/>
                <w:color w:val="FFFFFF"/>
                <w:sz w:val="19"/>
                <w:szCs w:val="19"/>
              </w:rPr>
              <w:t xml:space="preserve">Calls (Part B)</w:t>
            </w:r>
          </w:p>
        </w:tc>
      </w:tr>
      <w:tr>
        <w:tc>
          <w:tcPr>
            <w:tcW w:type="dxa" w:w="2400"/>
            <w:shd w:fill="FFFFFF" w:val="clear"/>
            <w:tcMar>
              <w:top w:type="dxa" w:w="70"/>
              <w:left w:type="dxa" w:w="100"/>
              <w:bottom w:type="dxa" w:w="70"/>
              <w:right w:type="dxa" w:w="100"/>
            </w:tcMar>
          </w:tcPr>
          <w:p>
            <w:r>
              <w:rPr>
                <w:sz w:val="19"/>
                <w:szCs w:val="19"/>
              </w:rPr>
              <w:t xml:space="preserve">Purchase Order Editor</w:t>
            </w:r>
          </w:p>
        </w:tc>
        <w:tc>
          <w:tcPr>
            <w:tcW w:type="dxa" w:w="4400"/>
            <w:shd w:fill="FFFFFF" w:val="clear"/>
            <w:tcMar>
              <w:top w:type="dxa" w:w="70"/>
              <w:left w:type="dxa" w:w="100"/>
              <w:bottom w:type="dxa" w:w="70"/>
              <w:right w:type="dxa" w:w="100"/>
            </w:tcMar>
          </w:tcPr>
          <w:p>
            <w:r>
              <w:rPr>
                <w:sz w:val="19"/>
                <w:szCs w:val="19"/>
              </w:rPr>
              <w:t xml:space="preserve">Vendor selector, line items, expected delivery date, approval-status indicator (Vol.1 BC-03)</w:t>
            </w:r>
          </w:p>
        </w:tc>
        <w:tc>
          <w:tcPr>
            <w:tcW w:type="dxa" w:w="2550"/>
            <w:shd w:fill="FFFFFF" w:val="clear"/>
            <w:tcMar>
              <w:top w:type="dxa" w:w="70"/>
              <w:left w:type="dxa" w:w="100"/>
              <w:bottom w:type="dxa" w:w="70"/>
              <w:right w:type="dxa" w:w="100"/>
            </w:tcMar>
          </w:tcPr>
          <w:p>
            <w:r>
              <w:rPr>
                <w:sz w:val="19"/>
                <w:szCs w:val="19"/>
              </w:rPr>
              <w:t xml:space="preserve">POST /v1/purchase-orders</w:t>
            </w:r>
          </w:p>
        </w:tc>
      </w:tr>
      <w:tr>
        <w:tc>
          <w:tcPr>
            <w:tcW w:type="dxa" w:w="2400"/>
            <w:shd w:fill="DCE6F1" w:val="clear"/>
            <w:tcMar>
              <w:top w:type="dxa" w:w="70"/>
              <w:left w:type="dxa" w:w="100"/>
              <w:bottom w:type="dxa" w:w="70"/>
              <w:right w:type="dxa" w:w="100"/>
            </w:tcMar>
          </w:tcPr>
          <w:p>
            <w:r>
              <w:rPr>
                <w:sz w:val="19"/>
                <w:szCs w:val="19"/>
              </w:rPr>
              <w:t xml:space="preserve">Bill Entry / 3-Way Match Review</w:t>
            </w:r>
          </w:p>
        </w:tc>
        <w:tc>
          <w:tcPr>
            <w:tcW w:type="dxa" w:w="4400"/>
            <w:shd w:fill="DCE6F1" w:val="clear"/>
            <w:tcMar>
              <w:top w:type="dxa" w:w="70"/>
              <w:left w:type="dxa" w:w="100"/>
              <w:bottom w:type="dxa" w:w="70"/>
              <w:right w:type="dxa" w:w="100"/>
            </w:tcMar>
          </w:tcPr>
          <w:p>
            <w:r>
              <w:rPr>
                <w:sz w:val="19"/>
                <w:szCs w:val="19"/>
              </w:rPr>
              <w:t xml:space="preserve">Side-by-side PO vs Receipt vs Bill comparison, variance highlighting (Vol.2 Section 9.3), approve/flag actions</w:t>
            </w:r>
          </w:p>
        </w:tc>
        <w:tc>
          <w:tcPr>
            <w:tcW w:type="dxa" w:w="2550"/>
            <w:shd w:fill="DCE6F1" w:val="clear"/>
            <w:tcMar>
              <w:top w:type="dxa" w:w="70"/>
              <w:left w:type="dxa" w:w="100"/>
              <w:bottom w:type="dxa" w:w="70"/>
              <w:right w:type="dxa" w:w="100"/>
            </w:tcMar>
          </w:tcPr>
          <w:p>
            <w:r>
              <w:rPr>
                <w:sz w:val="19"/>
                <w:szCs w:val="19"/>
              </w:rPr>
              <w:t xml:space="preserve">GET /v1/bills/{id}/match-status, POST /v1/bills/{id}/approve</w:t>
            </w:r>
          </w:p>
        </w:tc>
      </w:tr>
      <w:tr>
        <w:tc>
          <w:tcPr>
            <w:tcW w:type="dxa" w:w="2400"/>
            <w:shd w:fill="FFFFFF" w:val="clear"/>
            <w:tcMar>
              <w:top w:type="dxa" w:w="70"/>
              <w:left w:type="dxa" w:w="100"/>
              <w:bottom w:type="dxa" w:w="70"/>
              <w:right w:type="dxa" w:w="100"/>
            </w:tcMar>
          </w:tcPr>
          <w:p>
            <w:r>
              <w:rPr>
                <w:sz w:val="19"/>
                <w:szCs w:val="19"/>
              </w:rPr>
              <w:t xml:space="preserve">Vendor Portal - Bill Submission</w:t>
            </w:r>
          </w:p>
        </w:tc>
        <w:tc>
          <w:tcPr>
            <w:tcW w:type="dxa" w:w="4400"/>
            <w:shd w:fill="FFFFFF" w:val="clear"/>
            <w:tcMar>
              <w:top w:type="dxa" w:w="70"/>
              <w:left w:type="dxa" w:w="100"/>
              <w:bottom w:type="dxa" w:w="70"/>
              <w:right w:type="dxa" w:w="100"/>
            </w:tcMar>
          </w:tcPr>
          <w:p>
            <w:r>
              <w:rPr>
                <w:sz w:val="19"/>
                <w:szCs w:val="19"/>
              </w:rPr>
              <w:t xml:space="preserve">Upload/submit bill against a received PO, status tracker</w:t>
            </w:r>
          </w:p>
        </w:tc>
        <w:tc>
          <w:tcPr>
            <w:tcW w:type="dxa" w:w="2550"/>
            <w:shd w:fill="FFFFFF" w:val="clear"/>
            <w:tcMar>
              <w:top w:type="dxa" w:w="70"/>
              <w:left w:type="dxa" w:w="100"/>
              <w:bottom w:type="dxa" w:w="70"/>
              <w:right w:type="dxa" w:w="100"/>
            </w:tcMar>
          </w:tcPr>
          <w:p>
            <w:r>
              <w:rPr>
                <w:sz w:val="19"/>
                <w:szCs w:val="19"/>
              </w:rPr>
              <w:t xml:space="preserve">POST /v1/portal/bills</w:t>
            </w:r>
          </w:p>
        </w:tc>
      </w:tr>
    </w:tbl>
    <w:p>
      <w:pPr>
        <w:pStyle w:val="Heading3"/>
        <w:spacing w:before="200" w:after="100"/>
      </w:pPr>
      <w:r>
        <w:rPr>
          <w:b/>
          <w:bCs/>
          <w:color w:val="1F3864"/>
          <w:sz w:val="23"/>
          <w:szCs w:val="23"/>
        </w:rPr>
        <w:t xml:space="preserve">4.3 VS-03 Record-to-Report &amp; VS-06 Close-the-Books Screens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50"/>
      </w:tblGrid>
      <w:tr>
        <w:trPr>
          <w:tblHeader/>
        </w:trPr>
        <w:tc>
          <w:tcPr>
            <w:tcW w:type="dxa" w:w="2400"/>
            <w:shd w:fill="1F3864" w:val="clear"/>
            <w:tcMar>
              <w:top w:type="dxa" w:w="80"/>
              <w:left w:type="dxa" w:w="100"/>
              <w:bottom w:type="dxa" w:w="80"/>
              <w:right w:type="dxa" w:w="100"/>
            </w:tcMar>
            <w:vAlign w:val="center"/>
          </w:tcPr>
          <w:p>
            <w:r>
              <w:rPr>
                <w:b/>
                <w:bCs/>
                <w:color w:val="FFFFFF"/>
                <w:sz w:val="19"/>
                <w:szCs w:val="19"/>
              </w:rPr>
              <w:t xml:space="preserve">Screen</w:t>
            </w:r>
          </w:p>
        </w:tc>
        <w:tc>
          <w:tcPr>
            <w:tcW w:type="dxa" w:w="4400"/>
            <w:shd w:fill="1F3864" w:val="clear"/>
            <w:tcMar>
              <w:top w:type="dxa" w:w="80"/>
              <w:left w:type="dxa" w:w="100"/>
              <w:bottom w:type="dxa" w:w="80"/>
              <w:right w:type="dxa" w:w="100"/>
            </w:tcMar>
            <w:vAlign w:val="center"/>
          </w:tcPr>
          <w:p>
            <w:r>
              <w:rPr>
                <w:b/>
                <w:bCs/>
                <w:color w:val="FFFFFF"/>
                <w:sz w:val="19"/>
                <w:szCs w:val="19"/>
              </w:rPr>
              <w:t xml:space="preserve">Key Elements</w:t>
            </w:r>
          </w:p>
        </w:tc>
        <w:tc>
          <w:tcPr>
            <w:tcW w:type="dxa" w:w="2550"/>
            <w:shd w:fill="1F3864" w:val="clear"/>
            <w:tcMar>
              <w:top w:type="dxa" w:w="80"/>
              <w:left w:type="dxa" w:w="100"/>
              <w:bottom w:type="dxa" w:w="80"/>
              <w:right w:type="dxa" w:w="100"/>
            </w:tcMar>
            <w:vAlign w:val="center"/>
          </w:tcPr>
          <w:p>
            <w:r>
              <w:rPr>
                <w:b/>
                <w:bCs/>
                <w:color w:val="FFFFFF"/>
                <w:sz w:val="19"/>
                <w:szCs w:val="19"/>
              </w:rPr>
              <w:t xml:space="preserve">Calls (Part B)</w:t>
            </w:r>
          </w:p>
        </w:tc>
      </w:tr>
      <w:tr>
        <w:tc>
          <w:tcPr>
            <w:tcW w:type="dxa" w:w="2400"/>
            <w:shd w:fill="FFFFFF" w:val="clear"/>
            <w:tcMar>
              <w:top w:type="dxa" w:w="70"/>
              <w:left w:type="dxa" w:w="100"/>
              <w:bottom w:type="dxa" w:w="70"/>
              <w:right w:type="dxa" w:w="100"/>
            </w:tcMar>
          </w:tcPr>
          <w:p>
            <w:r>
              <w:rPr>
                <w:sz w:val="19"/>
                <w:szCs w:val="19"/>
              </w:rPr>
              <w:t xml:space="preserve">Chart of Accounts</w:t>
            </w:r>
          </w:p>
        </w:tc>
        <w:tc>
          <w:tcPr>
            <w:tcW w:type="dxa" w:w="4400"/>
            <w:shd w:fill="FFFFFF" w:val="clear"/>
            <w:tcMar>
              <w:top w:type="dxa" w:w="70"/>
              <w:left w:type="dxa" w:w="100"/>
              <w:bottom w:type="dxa" w:w="70"/>
              <w:right w:type="dxa" w:w="100"/>
            </w:tcMar>
          </w:tcPr>
          <w:p>
            <w:r>
              <w:rPr>
                <w:sz w:val="19"/>
                <w:szCs w:val="19"/>
              </w:rPr>
              <w:t xml:space="preserve">Hierarchical account tree, add/edit account, system-defined accounts locked from deletion (Vol.4 Section 4.1)</w:t>
            </w:r>
          </w:p>
        </w:tc>
        <w:tc>
          <w:tcPr>
            <w:tcW w:type="dxa" w:w="2550"/>
            <w:shd w:fill="FFFFFF" w:val="clear"/>
            <w:tcMar>
              <w:top w:type="dxa" w:w="70"/>
              <w:left w:type="dxa" w:w="100"/>
              <w:bottom w:type="dxa" w:w="70"/>
              <w:right w:type="dxa" w:w="100"/>
            </w:tcMar>
          </w:tcPr>
          <w:p>
            <w:r>
              <w:rPr>
                <w:sz w:val="19"/>
                <w:szCs w:val="19"/>
              </w:rPr>
              <w:t xml:space="preserve">GET /v1/accounts</w:t>
            </w:r>
          </w:p>
        </w:tc>
      </w:tr>
      <w:tr>
        <w:tc>
          <w:tcPr>
            <w:tcW w:type="dxa" w:w="2400"/>
            <w:shd w:fill="DCE6F1" w:val="clear"/>
            <w:tcMar>
              <w:top w:type="dxa" w:w="70"/>
              <w:left w:type="dxa" w:w="100"/>
              <w:bottom w:type="dxa" w:w="70"/>
              <w:right w:type="dxa" w:w="100"/>
            </w:tcMar>
          </w:tcPr>
          <w:p>
            <w:r>
              <w:rPr>
                <w:sz w:val="19"/>
                <w:szCs w:val="19"/>
              </w:rPr>
              <w:t xml:space="preserve">Journal Entry Editor</w:t>
            </w:r>
          </w:p>
        </w:tc>
        <w:tc>
          <w:tcPr>
            <w:tcW w:type="dxa" w:w="4400"/>
            <w:shd w:fill="DCE6F1" w:val="clear"/>
            <w:tcMar>
              <w:top w:type="dxa" w:w="70"/>
              <w:left w:type="dxa" w:w="100"/>
              <w:bottom w:type="dxa" w:w="70"/>
              <w:right w:type="dxa" w:w="100"/>
            </w:tcMar>
          </w:tcPr>
          <w:p>
            <w:r>
              <w:rPr>
                <w:sz w:val="19"/>
                <w:szCs w:val="19"/>
              </w:rPr>
              <w:t xml:space="preserve">Multi-line debit/credit grid with running balance-check indicator (must net to zero before save)</w:t>
            </w:r>
          </w:p>
        </w:tc>
        <w:tc>
          <w:tcPr>
            <w:tcW w:type="dxa" w:w="2550"/>
            <w:shd w:fill="DCE6F1" w:val="clear"/>
            <w:tcMar>
              <w:top w:type="dxa" w:w="70"/>
              <w:left w:type="dxa" w:w="100"/>
              <w:bottom w:type="dxa" w:w="70"/>
              <w:right w:type="dxa" w:w="100"/>
            </w:tcMar>
          </w:tcPr>
          <w:p>
            <w:r>
              <w:rPr>
                <w:sz w:val="19"/>
                <w:szCs w:val="19"/>
              </w:rPr>
              <w:t xml:space="preserve">POST /v1/journal-entries</w:t>
            </w:r>
          </w:p>
        </w:tc>
      </w:tr>
      <w:tr>
        <w:tc>
          <w:tcPr>
            <w:tcW w:type="dxa" w:w="2400"/>
            <w:shd w:fill="FFFFFF" w:val="clear"/>
            <w:tcMar>
              <w:top w:type="dxa" w:w="70"/>
              <w:left w:type="dxa" w:w="100"/>
              <w:bottom w:type="dxa" w:w="70"/>
              <w:right w:type="dxa" w:w="100"/>
            </w:tcMar>
          </w:tcPr>
          <w:p>
            <w:r>
              <w:rPr>
                <w:sz w:val="19"/>
                <w:szCs w:val="19"/>
              </w:rPr>
              <w:t xml:space="preserve">Period Close Wizard</w:t>
            </w:r>
          </w:p>
        </w:tc>
        <w:tc>
          <w:tcPr>
            <w:tcW w:type="dxa" w:w="4400"/>
            <w:shd w:fill="FFFFFF" w:val="clear"/>
            <w:tcMar>
              <w:top w:type="dxa" w:w="70"/>
              <w:left w:type="dxa" w:w="100"/>
              <w:bottom w:type="dxa" w:w="70"/>
              <w:right w:type="dxa" w:w="100"/>
            </w:tcMar>
          </w:tcPr>
          <w:p>
            <w:r>
              <w:rPr>
                <w:sz w:val="19"/>
                <w:szCs w:val="19"/>
              </w:rPr>
              <w:t xml:space="preserve">Checklist UI walking through reconciliation status, outstanding approvals, then period lock confirmation (Vol.1 VS-06)</w:t>
            </w:r>
          </w:p>
        </w:tc>
        <w:tc>
          <w:tcPr>
            <w:tcW w:type="dxa" w:w="2550"/>
            <w:shd w:fill="FFFFFF" w:val="clear"/>
            <w:tcMar>
              <w:top w:type="dxa" w:w="70"/>
              <w:left w:type="dxa" w:w="100"/>
              <w:bottom w:type="dxa" w:w="70"/>
              <w:right w:type="dxa" w:w="100"/>
            </w:tcMar>
          </w:tcPr>
          <w:p>
            <w:r>
              <w:rPr>
                <w:sz w:val="19"/>
                <w:szCs w:val="19"/>
              </w:rPr>
              <w:t xml:space="preserve">GET /v1/fiscal-periods/{id}/close-readiness, POST /v1/fiscal-periods/{id}/lock</w:t>
            </w:r>
          </w:p>
        </w:tc>
      </w:tr>
      <w:tr>
        <w:tc>
          <w:tcPr>
            <w:tcW w:type="dxa" w:w="2400"/>
            <w:shd w:fill="DCE6F1" w:val="clear"/>
            <w:tcMar>
              <w:top w:type="dxa" w:w="70"/>
              <w:left w:type="dxa" w:w="100"/>
              <w:bottom w:type="dxa" w:w="70"/>
              <w:right w:type="dxa" w:w="100"/>
            </w:tcMar>
          </w:tcPr>
          <w:p>
            <w:r>
              <w:rPr>
                <w:sz w:val="19"/>
                <w:szCs w:val="19"/>
              </w:rPr>
              <w:t xml:space="preserve">Financial Statements</w:t>
            </w:r>
          </w:p>
        </w:tc>
        <w:tc>
          <w:tcPr>
            <w:tcW w:type="dxa" w:w="4400"/>
            <w:shd w:fill="DCE6F1" w:val="clear"/>
            <w:tcMar>
              <w:top w:type="dxa" w:w="70"/>
              <w:left w:type="dxa" w:w="100"/>
              <w:bottom w:type="dxa" w:w="70"/>
              <w:right w:type="dxa" w:w="100"/>
            </w:tcMar>
          </w:tcPr>
          <w:p>
            <w:r>
              <w:rPr>
                <w:sz w:val="19"/>
                <w:szCs w:val="19"/>
              </w:rPr>
              <w:t xml:space="preserve">P&amp;L, Balance Sheet, Cash Flow with period comparison selector</w:t>
            </w:r>
          </w:p>
        </w:tc>
        <w:tc>
          <w:tcPr>
            <w:tcW w:type="dxa" w:w="2550"/>
            <w:shd w:fill="DCE6F1" w:val="clear"/>
            <w:tcMar>
              <w:top w:type="dxa" w:w="70"/>
              <w:left w:type="dxa" w:w="100"/>
              <w:bottom w:type="dxa" w:w="70"/>
              <w:right w:type="dxa" w:w="100"/>
            </w:tcMar>
          </w:tcPr>
          <w:p>
            <w:r>
              <w:rPr>
                <w:sz w:val="19"/>
                <w:szCs w:val="19"/>
              </w:rPr>
              <w:t xml:space="preserve">GET /v1/reports/profit-and-loss, etc.</w:t>
            </w:r>
          </w:p>
        </w:tc>
      </w:tr>
    </w:tbl>
    <w:p>
      <w:r>
        <w:br w:type="page"/>
      </w:r>
    </w:p>
    <w:p>
      <w:pPr>
        <w:pStyle w:val="Heading2"/>
        <w:spacing w:before="300" w:after="150"/>
      </w:pPr>
      <w:r>
        <w:rPr>
          <w:b/>
          <w:bCs/>
          <w:color w:val="2E75B6"/>
          <w:sz w:val="26"/>
          <w:szCs w:val="26"/>
        </w:rPr>
        <w:t xml:space="preserve">5. Responsive &amp; Accessibility Standards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Standard</w:t>
            </w:r>
          </w:p>
        </w:tc>
        <w:tc>
          <w:tcPr>
            <w:tcW w:type="dxa" w:w="6750"/>
            <w:shd w:fill="1F3864" w:val="clear"/>
            <w:tcMar>
              <w:top w:type="dxa" w:w="80"/>
              <w:left w:type="dxa" w:w="100"/>
              <w:bottom w:type="dxa" w:w="80"/>
              <w:right w:type="dxa" w:w="100"/>
            </w:tcMar>
            <w:vAlign w:val="center"/>
          </w:tcPr>
          <w:p>
            <w:r>
              <w:rPr>
                <w:b/>
                <w:bCs/>
                <w:color w:val="FFFFFF"/>
                <w:sz w:val="19"/>
                <w:szCs w:val="19"/>
              </w:rPr>
              <w:t xml:space="preserve">Requirement</w:t>
            </w:r>
          </w:p>
        </w:tc>
      </w:tr>
      <w:tr>
        <w:tc>
          <w:tcPr>
            <w:tcW w:type="dxa" w:w="2600"/>
            <w:shd w:fill="FFFFFF" w:val="clear"/>
            <w:tcMar>
              <w:top w:type="dxa" w:w="70"/>
              <w:left w:type="dxa" w:w="100"/>
              <w:bottom w:type="dxa" w:w="70"/>
              <w:right w:type="dxa" w:w="100"/>
            </w:tcMar>
          </w:tcPr>
          <w:p>
            <w:r>
              <w:rPr>
                <w:sz w:val="19"/>
                <w:szCs w:val="19"/>
              </w:rPr>
              <w:t xml:space="preserve">Responsive breakpoints</w:t>
            </w:r>
          </w:p>
        </w:tc>
        <w:tc>
          <w:tcPr>
            <w:tcW w:type="dxa" w:w="6750"/>
            <w:shd w:fill="FFFFFF" w:val="clear"/>
            <w:tcMar>
              <w:top w:type="dxa" w:w="70"/>
              <w:left w:type="dxa" w:w="100"/>
              <w:bottom w:type="dxa" w:w="70"/>
              <w:right w:type="dxa" w:w="100"/>
            </w:tcMar>
          </w:tcPr>
          <w:p>
            <w:r>
              <w:rPr>
                <w:sz w:val="19"/>
                <w:szCs w:val="19"/>
              </w:rPr>
              <w:t xml:space="preserve">Desktop-first for the core web app (dense financial tables genuinely need width); portal app is mobile-first (Vol.1 PER-09/PER-10 are more likely on mobile)</w:t>
            </w:r>
          </w:p>
        </w:tc>
      </w:tr>
      <w:tr>
        <w:tc>
          <w:tcPr>
            <w:tcW w:type="dxa" w:w="2600"/>
            <w:shd w:fill="DCE6F1" w:val="clear"/>
            <w:tcMar>
              <w:top w:type="dxa" w:w="70"/>
              <w:left w:type="dxa" w:w="100"/>
              <w:bottom w:type="dxa" w:w="70"/>
              <w:right w:type="dxa" w:w="100"/>
            </w:tcMar>
          </w:tcPr>
          <w:p>
            <w:r>
              <w:rPr>
                <w:sz w:val="19"/>
                <w:szCs w:val="19"/>
              </w:rPr>
              <w:t xml:space="preserve">WCAG conformance target</w:t>
            </w:r>
          </w:p>
        </w:tc>
        <w:tc>
          <w:tcPr>
            <w:tcW w:type="dxa" w:w="6750"/>
            <w:shd w:fill="DCE6F1" w:val="clear"/>
            <w:tcMar>
              <w:top w:type="dxa" w:w="70"/>
              <w:left w:type="dxa" w:w="100"/>
              <w:bottom w:type="dxa" w:w="70"/>
              <w:right w:type="dxa" w:w="100"/>
            </w:tcMar>
          </w:tcPr>
          <w:p>
            <w:r>
              <w:rPr>
                <w:sz w:val="19"/>
                <w:szCs w:val="19"/>
              </w:rPr>
              <w:t xml:space="preserve">WCAG 2.1 AA across both web app and portal - color contrast, keyboard navigation, screen-reader labeling on every form input and status badge</w:t>
            </w:r>
          </w:p>
        </w:tc>
      </w:tr>
      <w:tr>
        <w:tc>
          <w:tcPr>
            <w:tcW w:type="dxa" w:w="2600"/>
            <w:shd w:fill="FFFFFF" w:val="clear"/>
            <w:tcMar>
              <w:top w:type="dxa" w:w="70"/>
              <w:left w:type="dxa" w:w="100"/>
              <w:bottom w:type="dxa" w:w="70"/>
              <w:right w:type="dxa" w:w="100"/>
            </w:tcMar>
          </w:tcPr>
          <w:p>
            <w:r>
              <w:rPr>
                <w:sz w:val="19"/>
                <w:szCs w:val="19"/>
              </w:rPr>
              <w:t xml:space="preserve">Keyboard operability</w:t>
            </w:r>
          </w:p>
        </w:tc>
        <w:tc>
          <w:tcPr>
            <w:tcW w:type="dxa" w:w="6750"/>
            <w:shd w:fill="FFFFFF" w:val="clear"/>
            <w:tcMar>
              <w:top w:type="dxa" w:w="70"/>
              <w:left w:type="dxa" w:w="100"/>
              <w:bottom w:type="dxa" w:w="70"/>
              <w:right w:type="dxa" w:w="100"/>
            </w:tcMar>
          </w:tcPr>
          <w:p>
            <w:r>
              <w:rPr>
                <w:sz w:val="19"/>
                <w:szCs w:val="19"/>
              </w:rPr>
              <w:t xml:space="preserve">Every action reachable via keyboard alone, critical for the dense data-entry screens (invoice/bill editors, Section 4)</w:t>
            </w:r>
          </w:p>
        </w:tc>
      </w:tr>
      <w:tr>
        <w:tc>
          <w:tcPr>
            <w:tcW w:type="dxa" w:w="2600"/>
            <w:shd w:fill="DCE6F1" w:val="clear"/>
            <w:tcMar>
              <w:top w:type="dxa" w:w="70"/>
              <w:left w:type="dxa" w:w="100"/>
              <w:bottom w:type="dxa" w:w="70"/>
              <w:right w:type="dxa" w:w="100"/>
            </w:tcMar>
          </w:tcPr>
          <w:p>
            <w:r>
              <w:rPr>
                <w:sz w:val="19"/>
                <w:szCs w:val="19"/>
              </w:rPr>
              <w:t xml:space="preserve">Status communication</w:t>
            </w:r>
          </w:p>
        </w:tc>
        <w:tc>
          <w:tcPr>
            <w:tcW w:type="dxa" w:w="6750"/>
            <w:shd w:fill="DCE6F1" w:val="clear"/>
            <w:tcMar>
              <w:top w:type="dxa" w:w="70"/>
              <w:left w:type="dxa" w:w="100"/>
              <w:bottom w:type="dxa" w:w="70"/>
              <w:right w:type="dxa" w:w="100"/>
            </w:tcMar>
          </w:tcPr>
          <w:p>
            <w:r>
              <w:rPr>
                <w:sz w:val="19"/>
                <w:szCs w:val="19"/>
              </w:rPr>
              <w:t xml:space="preserve">Status is never color-only (Vol.2 Section 8.1 state machine) - every status badge pairs color with a text label and, where relevant, an icon</w:t>
            </w:r>
          </w:p>
        </w:tc>
      </w:tr>
      <w:tr>
        <w:tc>
          <w:tcPr>
            <w:tcW w:type="dxa" w:w="2600"/>
            <w:shd w:fill="FFFFFF" w:val="clear"/>
            <w:tcMar>
              <w:top w:type="dxa" w:w="70"/>
              <w:left w:type="dxa" w:w="100"/>
              <w:bottom w:type="dxa" w:w="70"/>
              <w:right w:type="dxa" w:w="100"/>
            </w:tcMar>
          </w:tcPr>
          <w:p>
            <w:r>
              <w:rPr>
                <w:sz w:val="19"/>
                <w:szCs w:val="19"/>
              </w:rPr>
              <w:t xml:space="preserve">Error messaging</w:t>
            </w:r>
          </w:p>
        </w:tc>
        <w:tc>
          <w:tcPr>
            <w:tcW w:type="dxa" w:w="6750"/>
            <w:shd w:fill="FFFFFF" w:val="clear"/>
            <w:tcMar>
              <w:top w:type="dxa" w:w="70"/>
              <w:left w:type="dxa" w:w="100"/>
              <w:bottom w:type="dxa" w:w="70"/>
              <w:right w:type="dxa" w:w="100"/>
            </w:tcMar>
          </w:tcPr>
          <w:p>
            <w:r>
              <w:rPr>
                <w:sz w:val="19"/>
                <w:szCs w:val="19"/>
              </w:rPr>
              <w:t xml:space="preserve">Every namespaced error code (Section 11) maps to a human-readable, actionable message - never surfacing a raw error code to an end user</w:t>
            </w:r>
          </w:p>
        </w:tc>
      </w:tr>
    </w:tbl>
    <w:p>
      <w:r>
        <w:br w:type="page"/>
      </w:r>
    </w:p>
    <w:p>
      <w:pPr>
        <w:pStyle w:val="Heading1"/>
        <w:spacing w:before="400" w:after="200"/>
      </w:pPr>
      <w:r>
        <w:rPr>
          <w:b/>
          <w:bCs/>
          <w:color w:val="1F3864"/>
          <w:sz w:val="32"/>
          <w:szCs w:val="32"/>
        </w:rPr>
        <w:t xml:space="preserve">PART B: API DESIGN DOCUMENT</w:t>
      </w:r>
    </w:p>
    <w:p>
      <w:pPr>
        <w:pStyle w:val="Heading2"/>
        <w:spacing w:before="300" w:after="150"/>
      </w:pPr>
      <w:r>
        <w:rPr>
          <w:b/>
          <w:bCs/>
          <w:color w:val="2E75B6"/>
          <w:sz w:val="26"/>
          <w:szCs w:val="26"/>
        </w:rPr>
        <w:t xml:space="preserve">6. API Conventions (Recap &amp; Expansion of Vol. 3 Section 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Convention</w:t>
            </w:r>
          </w:p>
        </w:tc>
        <w:tc>
          <w:tcPr>
            <w:tcW w:type="dxa" w:w="7150"/>
            <w:shd w:fill="1F3864" w:val="clear"/>
            <w:tcMar>
              <w:top w:type="dxa" w:w="80"/>
              <w:left w:type="dxa" w:w="100"/>
              <w:bottom w:type="dxa" w:w="80"/>
              <w:right w:type="dxa" w:w="100"/>
            </w:tcMar>
            <w:vAlign w:val="center"/>
          </w:tcPr>
          <w:p>
            <w:r>
              <w:rPr>
                <w:b/>
                <w:bCs/>
                <w:color w:val="FFFFFF"/>
                <w:sz w:val="19"/>
                <w:szCs w:val="19"/>
              </w:rPr>
              <w:t xml:space="preserve">Detail</w:t>
            </w:r>
          </w:p>
        </w:tc>
      </w:tr>
      <w:tr>
        <w:tc>
          <w:tcPr>
            <w:tcW w:type="dxa" w:w="2200"/>
            <w:shd w:fill="FFFFFF" w:val="clear"/>
            <w:tcMar>
              <w:top w:type="dxa" w:w="70"/>
              <w:left w:type="dxa" w:w="100"/>
              <w:bottom w:type="dxa" w:w="70"/>
              <w:right w:type="dxa" w:w="100"/>
            </w:tcMar>
          </w:tcPr>
          <w:p>
            <w:r>
              <w:rPr>
                <w:sz w:val="19"/>
                <w:szCs w:val="19"/>
              </w:rPr>
              <w:t xml:space="preserve">Base URL</w:t>
            </w:r>
          </w:p>
        </w:tc>
        <w:tc>
          <w:tcPr>
            <w:tcW w:type="dxa" w:w="7150"/>
            <w:shd w:fill="FFFFFF" w:val="clear"/>
            <w:tcMar>
              <w:top w:type="dxa" w:w="70"/>
              <w:left w:type="dxa" w:w="100"/>
              <w:bottom w:type="dxa" w:w="70"/>
              <w:right w:type="dxa" w:w="100"/>
            </w:tcMar>
          </w:tcPr>
          <w:p>
            <w:r>
              <w:rPr>
                <w:sz w:val="19"/>
                <w:szCs w:val="19"/>
              </w:rPr>
              <w:t xml:space="preserve">https://api.ledgerplatform.example/v1</w:t>
            </w:r>
          </w:p>
        </w:tc>
      </w:tr>
      <w:tr>
        <w:tc>
          <w:tcPr>
            <w:tcW w:type="dxa" w:w="2200"/>
            <w:shd w:fill="DCE6F1" w:val="clear"/>
            <w:tcMar>
              <w:top w:type="dxa" w:w="70"/>
              <w:left w:type="dxa" w:w="100"/>
              <w:bottom w:type="dxa" w:w="70"/>
              <w:right w:type="dxa" w:w="100"/>
            </w:tcMar>
          </w:tcPr>
          <w:p>
            <w:r>
              <w:rPr>
                <w:sz w:val="19"/>
                <w:szCs w:val="19"/>
              </w:rPr>
              <w:t xml:space="preserve">Versioning</w:t>
            </w:r>
          </w:p>
        </w:tc>
        <w:tc>
          <w:tcPr>
            <w:tcW w:type="dxa" w:w="7150"/>
            <w:shd w:fill="DCE6F1" w:val="clear"/>
            <w:tcMar>
              <w:top w:type="dxa" w:w="70"/>
              <w:left w:type="dxa" w:w="100"/>
              <w:bottom w:type="dxa" w:w="70"/>
              <w:right w:type="dxa" w:w="100"/>
            </w:tcMar>
          </w:tcPr>
          <w:p>
            <w:r>
              <w:rPr>
                <w:sz w:val="19"/>
                <w:szCs w:val="19"/>
              </w:rPr>
              <w:t xml:space="preserve">URL-path versioned (Vol.3 Section 5); this document specifies v1 fully</w:t>
            </w:r>
          </w:p>
        </w:tc>
      </w:tr>
      <w:tr>
        <w:tc>
          <w:tcPr>
            <w:tcW w:type="dxa" w:w="2200"/>
            <w:shd w:fill="FFFFFF" w:val="clear"/>
            <w:tcMar>
              <w:top w:type="dxa" w:w="70"/>
              <w:left w:type="dxa" w:w="100"/>
              <w:bottom w:type="dxa" w:w="70"/>
              <w:right w:type="dxa" w:w="100"/>
            </w:tcMar>
          </w:tcPr>
          <w:p>
            <w:r>
              <w:rPr>
                <w:sz w:val="19"/>
                <w:szCs w:val="19"/>
              </w:rPr>
              <w:t xml:space="preserve">Auth</w:t>
            </w:r>
          </w:p>
        </w:tc>
        <w:tc>
          <w:tcPr>
            <w:tcW w:type="dxa" w:w="7150"/>
            <w:shd w:fill="FFFFFF" w:val="clear"/>
            <w:tcMar>
              <w:top w:type="dxa" w:w="70"/>
              <w:left w:type="dxa" w:w="100"/>
              <w:bottom w:type="dxa" w:w="70"/>
              <w:right w:type="dxa" w:w="100"/>
            </w:tcMar>
          </w:tcPr>
          <w:p>
            <w:r>
              <w:rPr>
                <w:sz w:val="19"/>
                <w:szCs w:val="19"/>
              </w:rPr>
              <w:t xml:space="preserve">Bearer JWT (Vol.6 Section 3.2); portal endpoints use a separate portal-scoped token</w:t>
            </w:r>
          </w:p>
        </w:tc>
      </w:tr>
      <w:tr>
        <w:tc>
          <w:tcPr>
            <w:tcW w:type="dxa" w:w="2200"/>
            <w:shd w:fill="DCE6F1" w:val="clear"/>
            <w:tcMar>
              <w:top w:type="dxa" w:w="70"/>
              <w:left w:type="dxa" w:w="100"/>
              <w:bottom w:type="dxa" w:w="70"/>
              <w:right w:type="dxa" w:w="100"/>
            </w:tcMar>
          </w:tcPr>
          <w:p>
            <w:r>
              <w:rPr>
                <w:sz w:val="19"/>
                <w:szCs w:val="19"/>
              </w:rPr>
              <w:t xml:space="preserve">Pagination</w:t>
            </w:r>
          </w:p>
        </w:tc>
        <w:tc>
          <w:tcPr>
            <w:tcW w:type="dxa" w:w="7150"/>
            <w:shd w:fill="DCE6F1" w:val="clear"/>
            <w:tcMar>
              <w:top w:type="dxa" w:w="70"/>
              <w:left w:type="dxa" w:w="100"/>
              <w:bottom w:type="dxa" w:w="70"/>
              <w:right w:type="dxa" w:w="100"/>
            </w:tcMar>
          </w:tcPr>
          <w:p>
            <w:r>
              <w:rPr>
                <w:sz w:val="19"/>
                <w:szCs w:val="19"/>
              </w:rPr>
              <w:t xml:space="preserve">Cursor-based: ?cursor=...&amp;limit=50, response includes nextCursor</w:t>
            </w:r>
          </w:p>
        </w:tc>
      </w:tr>
      <w:tr>
        <w:tc>
          <w:tcPr>
            <w:tcW w:type="dxa" w:w="2200"/>
            <w:shd w:fill="FFFFFF" w:val="clear"/>
            <w:tcMar>
              <w:top w:type="dxa" w:w="70"/>
              <w:left w:type="dxa" w:w="100"/>
              <w:bottom w:type="dxa" w:w="70"/>
              <w:right w:type="dxa" w:w="100"/>
            </w:tcMar>
          </w:tcPr>
          <w:p>
            <w:r>
              <w:rPr>
                <w:sz w:val="19"/>
                <w:szCs w:val="19"/>
              </w:rPr>
              <w:t xml:space="preserve">Idempotency</w:t>
            </w:r>
          </w:p>
        </w:tc>
        <w:tc>
          <w:tcPr>
            <w:tcW w:type="dxa" w:w="7150"/>
            <w:shd w:fill="FFFFFF" w:val="clear"/>
            <w:tcMar>
              <w:top w:type="dxa" w:w="70"/>
              <w:left w:type="dxa" w:w="100"/>
              <w:bottom w:type="dxa" w:w="70"/>
              <w:right w:type="dxa" w:w="100"/>
            </w:tcMar>
          </w:tcPr>
          <w:p>
            <w:r>
              <w:rPr>
                <w:sz w:val="19"/>
                <w:szCs w:val="19"/>
              </w:rPr>
              <w:t xml:space="preserve">Idempotency-Key header required on all financial-mutating POSTs (Vol.3 Section 5, Vol.5 Principle I4)</w:t>
            </w:r>
          </w:p>
        </w:tc>
      </w:tr>
      <w:tr>
        <w:tc>
          <w:tcPr>
            <w:tcW w:type="dxa" w:w="2200"/>
            <w:shd w:fill="DCE6F1" w:val="clear"/>
            <w:tcMar>
              <w:top w:type="dxa" w:w="70"/>
              <w:left w:type="dxa" w:w="100"/>
              <w:bottom w:type="dxa" w:w="70"/>
              <w:right w:type="dxa" w:w="100"/>
            </w:tcMar>
          </w:tcPr>
          <w:p>
            <w:r>
              <w:rPr>
                <w:sz w:val="19"/>
                <w:szCs w:val="19"/>
              </w:rPr>
              <w:t xml:space="preserve">Content type</w:t>
            </w:r>
          </w:p>
        </w:tc>
        <w:tc>
          <w:tcPr>
            <w:tcW w:type="dxa" w:w="7150"/>
            <w:shd w:fill="DCE6F1" w:val="clear"/>
            <w:tcMar>
              <w:top w:type="dxa" w:w="70"/>
              <w:left w:type="dxa" w:w="100"/>
              <w:bottom w:type="dxa" w:w="70"/>
              <w:right w:type="dxa" w:w="100"/>
            </w:tcMar>
          </w:tcPr>
          <w:p>
            <w:r>
              <w:rPr>
                <w:sz w:val="19"/>
                <w:szCs w:val="19"/>
              </w:rPr>
              <w:t xml:space="preserve">application/json exclusively; file uploads (attachments, Vol.1 BC-14) use multipart/form-data on dedicated endpoints</w:t>
            </w:r>
          </w:p>
        </w:tc>
      </w:tr>
    </w:tbl>
    <w:p>
      <w:r>
        <w:br w:type="page"/>
      </w:r>
    </w:p>
    <w:p>
      <w:pPr>
        <w:pStyle w:val="Heading2"/>
        <w:spacing w:before="300" w:after="150"/>
      </w:pPr>
      <w:r>
        <w:rPr>
          <w:b/>
          <w:bCs/>
          <w:color w:val="2E75B6"/>
          <w:sz w:val="26"/>
          <w:szCs w:val="26"/>
        </w:rPr>
        <w:t xml:space="preserve">7. Endpoint Catalog by Bounded Context</w:t>
      </w:r>
    </w:p>
    <w:p>
      <w:pPr>
        <w:spacing w:after="160" w:line="276"/>
      </w:pPr>
      <w:r>
        <w:rPr>
          <w:b w:val="false"/>
          <w:bCs w:val="false"/>
          <w:i w:val="false"/>
          <w:iCs w:val="false"/>
          <w:color w:val="1A1A1A"/>
          <w:sz w:val="22"/>
          <w:szCs w:val="22"/>
        </w:rPr>
        <w:t xml:space="preserve">Expands Vol. 2 Section 11's resource-ownership table into concrete methods and paths. This is not exhaustive of every field but fixes the full surface area every module must implement.</w:t>
      </w:r>
    </w:p>
    <w:p>
      <w:pPr>
        <w:pStyle w:val="Heading3"/>
        <w:spacing w:before="200" w:after="100"/>
      </w:pPr>
      <w:r>
        <w:rPr>
          <w:b/>
          <w:bCs/>
          <w:color w:val="1F3864"/>
          <w:sz w:val="23"/>
          <w:szCs w:val="23"/>
        </w:rPr>
        <w:t xml:space="preserve">7.1 Identity &amp; Tenant (CTX-01)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50"/>
      </w:tblGrid>
      <w:tr>
        <w:trPr>
          <w:tblHeader/>
        </w:trPr>
        <w:tc>
          <w:tcPr>
            <w:tcW w:type="dxa" w:w="1400"/>
            <w:shd w:fill="1F3864" w:val="clear"/>
            <w:tcMar>
              <w:top w:type="dxa" w:w="80"/>
              <w:left w:type="dxa" w:w="100"/>
              <w:bottom w:type="dxa" w:w="80"/>
              <w:right w:type="dxa" w:w="100"/>
            </w:tcMar>
            <w:vAlign w:val="center"/>
          </w:tcPr>
          <w:p>
            <w:r>
              <w:rPr>
                <w:b/>
                <w:bCs/>
                <w:color w:val="FFFFFF"/>
                <w:sz w:val="19"/>
                <w:szCs w:val="19"/>
              </w:rPr>
              <w:t xml:space="preserve">Method</w:t>
            </w:r>
          </w:p>
        </w:tc>
        <w:tc>
          <w:tcPr>
            <w:tcW w:type="dxa" w:w="2800"/>
            <w:shd w:fill="1F3864" w:val="clear"/>
            <w:tcMar>
              <w:top w:type="dxa" w:w="80"/>
              <w:left w:type="dxa" w:w="100"/>
              <w:bottom w:type="dxa" w:w="80"/>
              <w:right w:type="dxa" w:w="100"/>
            </w:tcMar>
            <w:vAlign w:val="center"/>
          </w:tcPr>
          <w:p>
            <w:r>
              <w:rPr>
                <w:b/>
                <w:bCs/>
                <w:color w:val="FFFFFF"/>
                <w:sz w:val="19"/>
                <w:szCs w:val="19"/>
              </w:rPr>
              <w:t xml:space="preserve">Path</w:t>
            </w:r>
          </w:p>
        </w:tc>
        <w:tc>
          <w:tcPr>
            <w:tcW w:type="dxa" w:w="5150"/>
            <w:shd w:fill="1F3864" w:val="clear"/>
            <w:tcMar>
              <w:top w:type="dxa" w:w="80"/>
              <w:left w:type="dxa" w:w="100"/>
              <w:bottom w:type="dxa" w:w="80"/>
              <w:right w:type="dxa" w:w="100"/>
            </w:tcMar>
            <w:vAlign w:val="center"/>
          </w:tcPr>
          <w:p>
            <w:r>
              <w:rPr>
                <w:b/>
                <w:bCs/>
                <w:color w:val="FFFFFF"/>
                <w:sz w:val="19"/>
                <w:szCs w:val="19"/>
              </w:rPr>
              <w:t xml:space="preserve">Purpose</w:t>
            </w:r>
          </w:p>
        </w:tc>
      </w:tr>
      <w:tr>
        <w:tc>
          <w:tcPr>
            <w:tcW w:type="dxa" w:w="1400"/>
            <w:shd w:fill="FFFFFF" w:val="clear"/>
            <w:tcMar>
              <w:top w:type="dxa" w:w="70"/>
              <w:left w:type="dxa" w:w="100"/>
              <w:bottom w:type="dxa" w:w="70"/>
              <w:right w:type="dxa" w:w="100"/>
            </w:tcMar>
          </w:tcPr>
          <w:p>
            <w:r>
              <w:rPr>
                <w:sz w:val="19"/>
                <w:szCs w:val="19"/>
              </w:rPr>
              <w:t xml:space="preserve">POST</w:t>
            </w:r>
          </w:p>
        </w:tc>
        <w:tc>
          <w:tcPr>
            <w:tcW w:type="dxa" w:w="2800"/>
            <w:shd w:fill="FFFFFF" w:val="clear"/>
            <w:tcMar>
              <w:top w:type="dxa" w:w="70"/>
              <w:left w:type="dxa" w:w="100"/>
              <w:bottom w:type="dxa" w:w="70"/>
              <w:right w:type="dxa" w:w="100"/>
            </w:tcMar>
          </w:tcPr>
          <w:p>
            <w:r>
              <w:rPr>
                <w:sz w:val="19"/>
                <w:szCs w:val="19"/>
              </w:rPr>
              <w:t xml:space="preserve">/v1/auth/login</w:t>
            </w:r>
          </w:p>
        </w:tc>
        <w:tc>
          <w:tcPr>
            <w:tcW w:type="dxa" w:w="5150"/>
            <w:shd w:fill="FFFFFF" w:val="clear"/>
            <w:tcMar>
              <w:top w:type="dxa" w:w="70"/>
              <w:left w:type="dxa" w:w="100"/>
              <w:bottom w:type="dxa" w:w="70"/>
              <w:right w:type="dxa" w:w="100"/>
            </w:tcMar>
          </w:tcPr>
          <w:p>
            <w:r>
              <w:rPr>
                <w:sz w:val="19"/>
                <w:szCs w:val="19"/>
              </w:rPr>
              <w:t xml:space="preserve">Authenticate, returns access + refresh token (Vol.6 Section 3.1)</w:t>
            </w:r>
          </w:p>
        </w:tc>
      </w:tr>
      <w:tr>
        <w:tc>
          <w:tcPr>
            <w:tcW w:type="dxa" w:w="1400"/>
            <w:shd w:fill="DCE6F1" w:val="clear"/>
            <w:tcMar>
              <w:top w:type="dxa" w:w="70"/>
              <w:left w:type="dxa" w:w="100"/>
              <w:bottom w:type="dxa" w:w="70"/>
              <w:right w:type="dxa" w:w="100"/>
            </w:tcMar>
          </w:tcPr>
          <w:p>
            <w:r>
              <w:rPr>
                <w:sz w:val="19"/>
                <w:szCs w:val="19"/>
              </w:rPr>
              <w:t xml:space="preserve">POST</w:t>
            </w:r>
          </w:p>
        </w:tc>
        <w:tc>
          <w:tcPr>
            <w:tcW w:type="dxa" w:w="2800"/>
            <w:shd w:fill="DCE6F1" w:val="clear"/>
            <w:tcMar>
              <w:top w:type="dxa" w:w="70"/>
              <w:left w:type="dxa" w:w="100"/>
              <w:bottom w:type="dxa" w:w="70"/>
              <w:right w:type="dxa" w:w="100"/>
            </w:tcMar>
          </w:tcPr>
          <w:p>
            <w:r>
              <w:rPr>
                <w:sz w:val="19"/>
                <w:szCs w:val="19"/>
              </w:rPr>
              <w:t xml:space="preserve">/v1/auth/refresh</w:t>
            </w:r>
          </w:p>
        </w:tc>
        <w:tc>
          <w:tcPr>
            <w:tcW w:type="dxa" w:w="5150"/>
            <w:shd w:fill="DCE6F1" w:val="clear"/>
            <w:tcMar>
              <w:top w:type="dxa" w:w="70"/>
              <w:left w:type="dxa" w:w="100"/>
              <w:bottom w:type="dxa" w:w="70"/>
              <w:right w:type="dxa" w:w="100"/>
            </w:tcMar>
          </w:tcPr>
          <w:p>
            <w:r>
              <w:rPr>
                <w:sz w:val="19"/>
                <w:szCs w:val="19"/>
              </w:rPr>
              <w:t xml:space="preserve">Exchange refresh token for a new access token</w:t>
            </w:r>
          </w:p>
        </w:tc>
      </w:tr>
      <w:tr>
        <w:tc>
          <w:tcPr>
            <w:tcW w:type="dxa" w:w="1400"/>
            <w:shd w:fill="FFFFFF" w:val="clear"/>
            <w:tcMar>
              <w:top w:type="dxa" w:w="70"/>
              <w:left w:type="dxa" w:w="100"/>
              <w:bottom w:type="dxa" w:w="70"/>
              <w:right w:type="dxa" w:w="100"/>
            </w:tcMar>
          </w:tcPr>
          <w:p>
            <w:r>
              <w:rPr>
                <w:sz w:val="19"/>
                <w:szCs w:val="19"/>
              </w:rPr>
              <w:t xml:space="preserve">POST</w:t>
            </w:r>
          </w:p>
        </w:tc>
        <w:tc>
          <w:tcPr>
            <w:tcW w:type="dxa" w:w="2800"/>
            <w:shd w:fill="FFFFFF" w:val="clear"/>
            <w:tcMar>
              <w:top w:type="dxa" w:w="70"/>
              <w:left w:type="dxa" w:w="100"/>
              <w:bottom w:type="dxa" w:w="70"/>
              <w:right w:type="dxa" w:w="100"/>
            </w:tcMar>
          </w:tcPr>
          <w:p>
            <w:r>
              <w:rPr>
                <w:sz w:val="19"/>
                <w:szCs w:val="19"/>
              </w:rPr>
              <w:t xml:space="preserve">/v1/auth/mfa/verify</w:t>
            </w:r>
          </w:p>
        </w:tc>
        <w:tc>
          <w:tcPr>
            <w:tcW w:type="dxa" w:w="5150"/>
            <w:shd w:fill="FFFFFF" w:val="clear"/>
            <w:tcMar>
              <w:top w:type="dxa" w:w="70"/>
              <w:left w:type="dxa" w:w="100"/>
              <w:bottom w:type="dxa" w:w="70"/>
              <w:right w:type="dxa" w:w="100"/>
            </w:tcMar>
          </w:tcPr>
          <w:p>
            <w:r>
              <w:rPr>
                <w:sz w:val="19"/>
                <w:szCs w:val="19"/>
              </w:rPr>
              <w:t xml:space="preserve">Complete MFA challenge (Vol.6 Section 3.1)</w:t>
            </w:r>
          </w:p>
        </w:tc>
      </w:tr>
      <w:tr>
        <w:tc>
          <w:tcPr>
            <w:tcW w:type="dxa" w:w="1400"/>
            <w:shd w:fill="DCE6F1" w:val="clear"/>
            <w:tcMar>
              <w:top w:type="dxa" w:w="70"/>
              <w:left w:type="dxa" w:w="100"/>
              <w:bottom w:type="dxa" w:w="70"/>
              <w:right w:type="dxa" w:w="100"/>
            </w:tcMar>
          </w:tcPr>
          <w:p>
            <w:r>
              <w:rPr>
                <w:sz w:val="19"/>
                <w:szCs w:val="19"/>
              </w:rPr>
              <w:t xml:space="preserve">GET/POST</w:t>
            </w:r>
          </w:p>
        </w:tc>
        <w:tc>
          <w:tcPr>
            <w:tcW w:type="dxa" w:w="2800"/>
            <w:shd w:fill="DCE6F1" w:val="clear"/>
            <w:tcMar>
              <w:top w:type="dxa" w:w="70"/>
              <w:left w:type="dxa" w:w="100"/>
              <w:bottom w:type="dxa" w:w="70"/>
              <w:right w:type="dxa" w:w="100"/>
            </w:tcMar>
          </w:tcPr>
          <w:p>
            <w:r>
              <w:rPr>
                <w:sz w:val="19"/>
                <w:szCs w:val="19"/>
              </w:rPr>
              <w:t xml:space="preserve">/v1/users</w:t>
            </w:r>
          </w:p>
        </w:tc>
        <w:tc>
          <w:tcPr>
            <w:tcW w:type="dxa" w:w="5150"/>
            <w:shd w:fill="DCE6F1" w:val="clear"/>
            <w:tcMar>
              <w:top w:type="dxa" w:w="70"/>
              <w:left w:type="dxa" w:w="100"/>
              <w:bottom w:type="dxa" w:w="70"/>
              <w:right w:type="dxa" w:w="100"/>
            </w:tcMar>
          </w:tcPr>
          <w:p>
            <w:r>
              <w:rPr>
                <w:sz w:val="19"/>
                <w:szCs w:val="19"/>
              </w:rPr>
              <w:t xml:space="preserve">List / invite tenant users</w:t>
            </w:r>
          </w:p>
        </w:tc>
      </w:tr>
      <w:tr>
        <w:tc>
          <w:tcPr>
            <w:tcW w:type="dxa" w:w="1400"/>
            <w:shd w:fill="FFFFFF" w:val="clear"/>
            <w:tcMar>
              <w:top w:type="dxa" w:w="70"/>
              <w:left w:type="dxa" w:w="100"/>
              <w:bottom w:type="dxa" w:w="70"/>
              <w:right w:type="dxa" w:w="100"/>
            </w:tcMar>
          </w:tcPr>
          <w:p>
            <w:r>
              <w:rPr>
                <w:sz w:val="19"/>
                <w:szCs w:val="19"/>
              </w:rPr>
              <w:t xml:space="preserve">GET/POST</w:t>
            </w:r>
          </w:p>
        </w:tc>
        <w:tc>
          <w:tcPr>
            <w:tcW w:type="dxa" w:w="2800"/>
            <w:shd w:fill="FFFFFF" w:val="clear"/>
            <w:tcMar>
              <w:top w:type="dxa" w:w="70"/>
              <w:left w:type="dxa" w:w="100"/>
              <w:bottom w:type="dxa" w:w="70"/>
              <w:right w:type="dxa" w:w="100"/>
            </w:tcMar>
          </w:tcPr>
          <w:p>
            <w:r>
              <w:rPr>
                <w:sz w:val="19"/>
                <w:szCs w:val="19"/>
              </w:rPr>
              <w:t xml:space="preserve">/v1/roles</w:t>
            </w:r>
          </w:p>
        </w:tc>
        <w:tc>
          <w:tcPr>
            <w:tcW w:type="dxa" w:w="5150"/>
            <w:shd w:fill="FFFFFF" w:val="clear"/>
            <w:tcMar>
              <w:top w:type="dxa" w:w="70"/>
              <w:left w:type="dxa" w:w="100"/>
              <w:bottom w:type="dxa" w:w="70"/>
              <w:right w:type="dxa" w:w="100"/>
            </w:tcMar>
          </w:tcPr>
          <w:p>
            <w:r>
              <w:rPr>
                <w:sz w:val="19"/>
                <w:szCs w:val="19"/>
              </w:rPr>
              <w:t xml:space="preserve">List / create custom roles (Vol.6 Section 4.2 ceiling rule enforced server-side)</w:t>
            </w:r>
          </w:p>
        </w:tc>
      </w:tr>
    </w:tbl>
    <w:p>
      <w:pPr>
        <w:pStyle w:val="Heading3"/>
        <w:spacing w:before="200" w:after="100"/>
      </w:pPr>
      <w:r>
        <w:rPr>
          <w:b/>
          <w:bCs/>
          <w:color w:val="1F3864"/>
          <w:sz w:val="23"/>
          <w:szCs w:val="23"/>
        </w:rPr>
        <w:t xml:space="preserve">7.2 Ledger (CTX-02)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50"/>
      </w:tblGrid>
      <w:tr>
        <w:trPr>
          <w:tblHeader/>
        </w:trPr>
        <w:tc>
          <w:tcPr>
            <w:tcW w:type="dxa" w:w="1400"/>
            <w:shd w:fill="1F3864" w:val="clear"/>
            <w:tcMar>
              <w:top w:type="dxa" w:w="80"/>
              <w:left w:type="dxa" w:w="100"/>
              <w:bottom w:type="dxa" w:w="80"/>
              <w:right w:type="dxa" w:w="100"/>
            </w:tcMar>
            <w:vAlign w:val="center"/>
          </w:tcPr>
          <w:p>
            <w:r>
              <w:rPr>
                <w:b/>
                <w:bCs/>
                <w:color w:val="FFFFFF"/>
                <w:sz w:val="19"/>
                <w:szCs w:val="19"/>
              </w:rPr>
              <w:t xml:space="preserve">Method</w:t>
            </w:r>
          </w:p>
        </w:tc>
        <w:tc>
          <w:tcPr>
            <w:tcW w:type="dxa" w:w="3400"/>
            <w:shd w:fill="1F3864" w:val="clear"/>
            <w:tcMar>
              <w:top w:type="dxa" w:w="80"/>
              <w:left w:type="dxa" w:w="100"/>
              <w:bottom w:type="dxa" w:w="80"/>
              <w:right w:type="dxa" w:w="100"/>
            </w:tcMar>
            <w:vAlign w:val="center"/>
          </w:tcPr>
          <w:p>
            <w:r>
              <w:rPr>
                <w:b/>
                <w:bCs/>
                <w:color w:val="FFFFFF"/>
                <w:sz w:val="19"/>
                <w:szCs w:val="19"/>
              </w:rPr>
              <w:t xml:space="preserve">Path</w:t>
            </w:r>
          </w:p>
        </w:tc>
        <w:tc>
          <w:tcPr>
            <w:tcW w:type="dxa" w:w="4550"/>
            <w:shd w:fill="1F3864" w:val="clear"/>
            <w:tcMar>
              <w:top w:type="dxa" w:w="80"/>
              <w:left w:type="dxa" w:w="100"/>
              <w:bottom w:type="dxa" w:w="80"/>
              <w:right w:type="dxa" w:w="100"/>
            </w:tcMar>
            <w:vAlign w:val="center"/>
          </w:tcPr>
          <w:p>
            <w:r>
              <w:rPr>
                <w:b/>
                <w:bCs/>
                <w:color w:val="FFFFFF"/>
                <w:sz w:val="19"/>
                <w:szCs w:val="19"/>
              </w:rPr>
              <w:t xml:space="preserve">Purpose</w:t>
            </w:r>
          </w:p>
        </w:tc>
      </w:tr>
      <w:tr>
        <w:tc>
          <w:tcPr>
            <w:tcW w:type="dxa" w:w="1400"/>
            <w:shd w:fill="FFFFFF" w:val="clear"/>
            <w:tcMar>
              <w:top w:type="dxa" w:w="70"/>
              <w:left w:type="dxa" w:w="100"/>
              <w:bottom w:type="dxa" w:w="70"/>
              <w:right w:type="dxa" w:w="100"/>
            </w:tcMar>
          </w:tcPr>
          <w:p>
            <w:r>
              <w:rPr>
                <w:sz w:val="19"/>
                <w:szCs w:val="19"/>
              </w:rPr>
              <w:t xml:space="preserve">GET</w:t>
            </w:r>
          </w:p>
        </w:tc>
        <w:tc>
          <w:tcPr>
            <w:tcW w:type="dxa" w:w="3400"/>
            <w:shd w:fill="FFFFFF" w:val="clear"/>
            <w:tcMar>
              <w:top w:type="dxa" w:w="70"/>
              <w:left w:type="dxa" w:w="100"/>
              <w:bottom w:type="dxa" w:w="70"/>
              <w:right w:type="dxa" w:w="100"/>
            </w:tcMar>
          </w:tcPr>
          <w:p>
            <w:r>
              <w:rPr>
                <w:sz w:val="19"/>
                <w:szCs w:val="19"/>
              </w:rPr>
              <w:t xml:space="preserve">/v1/accounts</w:t>
            </w:r>
          </w:p>
        </w:tc>
        <w:tc>
          <w:tcPr>
            <w:tcW w:type="dxa" w:w="4550"/>
            <w:shd w:fill="FFFFFF" w:val="clear"/>
            <w:tcMar>
              <w:top w:type="dxa" w:w="70"/>
              <w:left w:type="dxa" w:w="100"/>
              <w:bottom w:type="dxa" w:w="70"/>
              <w:right w:type="dxa" w:w="100"/>
            </w:tcMar>
          </w:tcPr>
          <w:p>
            <w:r>
              <w:rPr>
                <w:sz w:val="19"/>
                <w:szCs w:val="19"/>
              </w:rPr>
              <w:t xml:space="preserve">List chart of accounts</w:t>
            </w:r>
          </w:p>
        </w:tc>
      </w:tr>
      <w:tr>
        <w:tc>
          <w:tcPr>
            <w:tcW w:type="dxa" w:w="1400"/>
            <w:shd w:fill="DCE6F1" w:val="clear"/>
            <w:tcMar>
              <w:top w:type="dxa" w:w="70"/>
              <w:left w:type="dxa" w:w="100"/>
              <w:bottom w:type="dxa" w:w="70"/>
              <w:right w:type="dxa" w:w="100"/>
            </w:tcMar>
          </w:tcPr>
          <w:p>
            <w:r>
              <w:rPr>
                <w:sz w:val="19"/>
                <w:szCs w:val="19"/>
              </w:rPr>
              <w:t xml:space="preserve">POST</w:t>
            </w:r>
          </w:p>
        </w:tc>
        <w:tc>
          <w:tcPr>
            <w:tcW w:type="dxa" w:w="3400"/>
            <w:shd w:fill="DCE6F1" w:val="clear"/>
            <w:tcMar>
              <w:top w:type="dxa" w:w="70"/>
              <w:left w:type="dxa" w:w="100"/>
              <w:bottom w:type="dxa" w:w="70"/>
              <w:right w:type="dxa" w:w="100"/>
            </w:tcMar>
          </w:tcPr>
          <w:p>
            <w:r>
              <w:rPr>
                <w:sz w:val="19"/>
                <w:szCs w:val="19"/>
              </w:rPr>
              <w:t xml:space="preserve">/v1/accounts</w:t>
            </w:r>
          </w:p>
        </w:tc>
        <w:tc>
          <w:tcPr>
            <w:tcW w:type="dxa" w:w="4550"/>
            <w:shd w:fill="DCE6F1" w:val="clear"/>
            <w:tcMar>
              <w:top w:type="dxa" w:w="70"/>
              <w:left w:type="dxa" w:w="100"/>
              <w:bottom w:type="dxa" w:w="70"/>
              <w:right w:type="dxa" w:w="100"/>
            </w:tcMar>
          </w:tcPr>
          <w:p>
            <w:r>
              <w:rPr>
                <w:sz w:val="19"/>
                <w:szCs w:val="19"/>
              </w:rPr>
              <w:t xml:space="preserve">Create an account</w:t>
            </w:r>
          </w:p>
        </w:tc>
      </w:tr>
      <w:tr>
        <w:tc>
          <w:tcPr>
            <w:tcW w:type="dxa" w:w="1400"/>
            <w:shd w:fill="FFFFFF" w:val="clear"/>
            <w:tcMar>
              <w:top w:type="dxa" w:w="70"/>
              <w:left w:type="dxa" w:w="100"/>
              <w:bottom w:type="dxa" w:w="70"/>
              <w:right w:type="dxa" w:w="100"/>
            </w:tcMar>
          </w:tcPr>
          <w:p>
            <w:r>
              <w:rPr>
                <w:sz w:val="19"/>
                <w:szCs w:val="19"/>
              </w:rPr>
              <w:t xml:space="preserve">POST</w:t>
            </w:r>
          </w:p>
        </w:tc>
        <w:tc>
          <w:tcPr>
            <w:tcW w:type="dxa" w:w="3400"/>
            <w:shd w:fill="FFFFFF" w:val="clear"/>
            <w:tcMar>
              <w:top w:type="dxa" w:w="70"/>
              <w:left w:type="dxa" w:w="100"/>
              <w:bottom w:type="dxa" w:w="70"/>
              <w:right w:type="dxa" w:w="100"/>
            </w:tcMar>
          </w:tcPr>
          <w:p>
            <w:r>
              <w:rPr>
                <w:sz w:val="19"/>
                <w:szCs w:val="19"/>
              </w:rPr>
              <w:t xml:space="preserve">/v1/journal-entries</w:t>
            </w:r>
          </w:p>
        </w:tc>
        <w:tc>
          <w:tcPr>
            <w:tcW w:type="dxa" w:w="4550"/>
            <w:shd w:fill="FFFFFF" w:val="clear"/>
            <w:tcMar>
              <w:top w:type="dxa" w:w="70"/>
              <w:left w:type="dxa" w:w="100"/>
              <w:bottom w:type="dxa" w:w="70"/>
              <w:right w:type="dxa" w:w="100"/>
            </w:tcMar>
          </w:tcPr>
          <w:p>
            <w:r>
              <w:rPr>
                <w:sz w:val="19"/>
                <w:szCs w:val="19"/>
              </w:rPr>
              <w:t xml:space="preserve">Create a manual journal entry (Vol.4 Section 4.1 chk_one_sided enforced)</w:t>
            </w:r>
          </w:p>
        </w:tc>
      </w:tr>
      <w:tr>
        <w:tc>
          <w:tcPr>
            <w:tcW w:type="dxa" w:w="1400"/>
            <w:shd w:fill="DCE6F1" w:val="clear"/>
            <w:tcMar>
              <w:top w:type="dxa" w:w="70"/>
              <w:left w:type="dxa" w:w="100"/>
              <w:bottom w:type="dxa" w:w="70"/>
              <w:right w:type="dxa" w:w="100"/>
            </w:tcMar>
          </w:tcPr>
          <w:p>
            <w:r>
              <w:rPr>
                <w:sz w:val="19"/>
                <w:szCs w:val="19"/>
              </w:rPr>
              <w:t xml:space="preserve">GET</w:t>
            </w:r>
          </w:p>
        </w:tc>
        <w:tc>
          <w:tcPr>
            <w:tcW w:type="dxa" w:w="3400"/>
            <w:shd w:fill="DCE6F1" w:val="clear"/>
            <w:tcMar>
              <w:top w:type="dxa" w:w="70"/>
              <w:left w:type="dxa" w:w="100"/>
              <w:bottom w:type="dxa" w:w="70"/>
              <w:right w:type="dxa" w:w="100"/>
            </w:tcMar>
          </w:tcPr>
          <w:p>
            <w:r>
              <w:rPr>
                <w:sz w:val="19"/>
                <w:szCs w:val="19"/>
              </w:rPr>
              <w:t xml:space="preserve">/v1/journal-entries/{id}</w:t>
            </w:r>
          </w:p>
        </w:tc>
        <w:tc>
          <w:tcPr>
            <w:tcW w:type="dxa" w:w="4550"/>
            <w:shd w:fill="DCE6F1" w:val="clear"/>
            <w:tcMar>
              <w:top w:type="dxa" w:w="70"/>
              <w:left w:type="dxa" w:w="100"/>
              <w:bottom w:type="dxa" w:w="70"/>
              <w:right w:type="dxa" w:w="100"/>
            </w:tcMar>
          </w:tcPr>
          <w:p>
            <w:r>
              <w:rPr>
                <w:sz w:val="19"/>
                <w:szCs w:val="19"/>
              </w:rPr>
              <w:t xml:space="preserve">Fetch a journal entry with its lines</w:t>
            </w:r>
          </w:p>
        </w:tc>
      </w:tr>
      <w:tr>
        <w:tc>
          <w:tcPr>
            <w:tcW w:type="dxa" w:w="1400"/>
            <w:shd w:fill="FFFFFF" w:val="clear"/>
            <w:tcMar>
              <w:top w:type="dxa" w:w="70"/>
              <w:left w:type="dxa" w:w="100"/>
              <w:bottom w:type="dxa" w:w="70"/>
              <w:right w:type="dxa" w:w="100"/>
            </w:tcMar>
          </w:tcPr>
          <w:p>
            <w:r>
              <w:rPr>
                <w:sz w:val="19"/>
                <w:szCs w:val="19"/>
              </w:rPr>
              <w:t xml:space="preserve">POST</w:t>
            </w:r>
          </w:p>
        </w:tc>
        <w:tc>
          <w:tcPr>
            <w:tcW w:type="dxa" w:w="3400"/>
            <w:shd w:fill="FFFFFF" w:val="clear"/>
            <w:tcMar>
              <w:top w:type="dxa" w:w="70"/>
              <w:left w:type="dxa" w:w="100"/>
              <w:bottom w:type="dxa" w:w="70"/>
              <w:right w:type="dxa" w:w="100"/>
            </w:tcMar>
          </w:tcPr>
          <w:p>
            <w:r>
              <w:rPr>
                <w:sz w:val="19"/>
                <w:szCs w:val="19"/>
              </w:rPr>
              <w:t xml:space="preserve">/v1/fiscal-periods/{id}/lock</w:t>
            </w:r>
          </w:p>
        </w:tc>
        <w:tc>
          <w:tcPr>
            <w:tcW w:type="dxa" w:w="4550"/>
            <w:shd w:fill="FFFFFF" w:val="clear"/>
            <w:tcMar>
              <w:top w:type="dxa" w:w="70"/>
              <w:left w:type="dxa" w:w="100"/>
              <w:bottom w:type="dxa" w:w="70"/>
              <w:right w:type="dxa" w:w="100"/>
            </w:tcMar>
          </w:tcPr>
          <w:p>
            <w:r>
              <w:rPr>
                <w:sz w:val="19"/>
                <w:szCs w:val="19"/>
              </w:rPr>
              <w:t xml:space="preserve">Lock a fiscal period (Vol.1 VS-06)</w:t>
            </w:r>
          </w:p>
        </w:tc>
      </w:tr>
    </w:tbl>
    <w:p>
      <w:pPr>
        <w:pStyle w:val="Heading3"/>
        <w:spacing w:before="200" w:after="100"/>
      </w:pPr>
      <w:r>
        <w:rPr>
          <w:b/>
          <w:bCs/>
          <w:color w:val="1F3864"/>
          <w:sz w:val="23"/>
          <w:szCs w:val="23"/>
        </w:rPr>
        <w:t xml:space="preserve">7.3 Receivables (CTX-03)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50"/>
      </w:tblGrid>
      <w:tr>
        <w:trPr>
          <w:tblHeader/>
        </w:trPr>
        <w:tc>
          <w:tcPr>
            <w:tcW w:type="dxa" w:w="1400"/>
            <w:shd w:fill="1F3864" w:val="clear"/>
            <w:tcMar>
              <w:top w:type="dxa" w:w="80"/>
              <w:left w:type="dxa" w:w="100"/>
              <w:bottom w:type="dxa" w:w="80"/>
              <w:right w:type="dxa" w:w="100"/>
            </w:tcMar>
            <w:vAlign w:val="center"/>
          </w:tcPr>
          <w:p>
            <w:r>
              <w:rPr>
                <w:b/>
                <w:bCs/>
                <w:color w:val="FFFFFF"/>
                <w:sz w:val="19"/>
                <w:szCs w:val="19"/>
              </w:rPr>
              <w:t xml:space="preserve">Method</w:t>
            </w:r>
          </w:p>
        </w:tc>
        <w:tc>
          <w:tcPr>
            <w:tcW w:type="dxa" w:w="3000"/>
            <w:shd w:fill="1F3864" w:val="clear"/>
            <w:tcMar>
              <w:top w:type="dxa" w:w="80"/>
              <w:left w:type="dxa" w:w="100"/>
              <w:bottom w:type="dxa" w:w="80"/>
              <w:right w:type="dxa" w:w="100"/>
            </w:tcMar>
            <w:vAlign w:val="center"/>
          </w:tcPr>
          <w:p>
            <w:r>
              <w:rPr>
                <w:b/>
                <w:bCs/>
                <w:color w:val="FFFFFF"/>
                <w:sz w:val="19"/>
                <w:szCs w:val="19"/>
              </w:rPr>
              <w:t xml:space="preserve">Path</w:t>
            </w:r>
          </w:p>
        </w:tc>
        <w:tc>
          <w:tcPr>
            <w:tcW w:type="dxa" w:w="4950"/>
            <w:shd w:fill="1F3864" w:val="clear"/>
            <w:tcMar>
              <w:top w:type="dxa" w:w="80"/>
              <w:left w:type="dxa" w:w="100"/>
              <w:bottom w:type="dxa" w:w="80"/>
              <w:right w:type="dxa" w:w="100"/>
            </w:tcMar>
            <w:vAlign w:val="center"/>
          </w:tcPr>
          <w:p>
            <w:r>
              <w:rPr>
                <w:b/>
                <w:bCs/>
                <w:color w:val="FFFFFF"/>
                <w:sz w:val="19"/>
                <w:szCs w:val="19"/>
              </w:rPr>
              <w:t xml:space="preserve">Purpose</w:t>
            </w:r>
          </w:p>
        </w:tc>
      </w:tr>
      <w:tr>
        <w:tc>
          <w:tcPr>
            <w:tcW w:type="dxa" w:w="1400"/>
            <w:shd w:fill="FFFFFF" w:val="clear"/>
            <w:tcMar>
              <w:top w:type="dxa" w:w="70"/>
              <w:left w:type="dxa" w:w="100"/>
              <w:bottom w:type="dxa" w:w="70"/>
              <w:right w:type="dxa" w:w="100"/>
            </w:tcMar>
          </w:tcPr>
          <w:p>
            <w:r>
              <w:rPr>
                <w:sz w:val="19"/>
                <w:szCs w:val="19"/>
              </w:rPr>
              <w:t xml:space="preserve">GET/POST</w:t>
            </w:r>
          </w:p>
        </w:tc>
        <w:tc>
          <w:tcPr>
            <w:tcW w:type="dxa" w:w="3000"/>
            <w:shd w:fill="FFFFFF" w:val="clear"/>
            <w:tcMar>
              <w:top w:type="dxa" w:w="70"/>
              <w:left w:type="dxa" w:w="100"/>
              <w:bottom w:type="dxa" w:w="70"/>
              <w:right w:type="dxa" w:w="100"/>
            </w:tcMar>
          </w:tcPr>
          <w:p>
            <w:r>
              <w:rPr>
                <w:sz w:val="19"/>
                <w:szCs w:val="19"/>
              </w:rPr>
              <w:t xml:space="preserve">/v1/quotes</w:t>
            </w:r>
          </w:p>
        </w:tc>
        <w:tc>
          <w:tcPr>
            <w:tcW w:type="dxa" w:w="4950"/>
            <w:shd w:fill="FFFFFF" w:val="clear"/>
            <w:tcMar>
              <w:top w:type="dxa" w:w="70"/>
              <w:left w:type="dxa" w:w="100"/>
              <w:bottom w:type="dxa" w:w="70"/>
              <w:right w:type="dxa" w:w="100"/>
            </w:tcMar>
          </w:tcPr>
          <w:p>
            <w:r>
              <w:rPr>
                <w:sz w:val="19"/>
                <w:szCs w:val="19"/>
              </w:rPr>
              <w:t xml:space="preserve">List / create quotes</w:t>
            </w:r>
          </w:p>
        </w:tc>
      </w:tr>
      <w:tr>
        <w:tc>
          <w:tcPr>
            <w:tcW w:type="dxa" w:w="1400"/>
            <w:shd w:fill="DCE6F1" w:val="clear"/>
            <w:tcMar>
              <w:top w:type="dxa" w:w="70"/>
              <w:left w:type="dxa" w:w="100"/>
              <w:bottom w:type="dxa" w:w="70"/>
              <w:right w:type="dxa" w:w="100"/>
            </w:tcMar>
          </w:tcPr>
          <w:p>
            <w:r>
              <w:rPr>
                <w:sz w:val="19"/>
                <w:szCs w:val="19"/>
              </w:rPr>
              <w:t xml:space="preserve">POST</w:t>
            </w:r>
          </w:p>
        </w:tc>
        <w:tc>
          <w:tcPr>
            <w:tcW w:type="dxa" w:w="3000"/>
            <w:shd w:fill="DCE6F1" w:val="clear"/>
            <w:tcMar>
              <w:top w:type="dxa" w:w="70"/>
              <w:left w:type="dxa" w:w="100"/>
              <w:bottom w:type="dxa" w:w="70"/>
              <w:right w:type="dxa" w:w="100"/>
            </w:tcMar>
          </w:tcPr>
          <w:p>
            <w:r>
              <w:rPr>
                <w:sz w:val="19"/>
                <w:szCs w:val="19"/>
              </w:rPr>
              <w:t xml:space="preserve">/v1/quotes/{id}/convert</w:t>
            </w:r>
          </w:p>
        </w:tc>
        <w:tc>
          <w:tcPr>
            <w:tcW w:type="dxa" w:w="4950"/>
            <w:shd w:fill="DCE6F1" w:val="clear"/>
            <w:tcMar>
              <w:top w:type="dxa" w:w="70"/>
              <w:left w:type="dxa" w:w="100"/>
              <w:bottom w:type="dxa" w:w="70"/>
              <w:right w:type="dxa" w:w="100"/>
            </w:tcMar>
          </w:tcPr>
          <w:p>
            <w:r>
              <w:rPr>
                <w:sz w:val="19"/>
                <w:szCs w:val="19"/>
              </w:rPr>
              <w:t xml:space="preserve">Convert quote to sales order (Vol.1 VS-01)</w:t>
            </w:r>
          </w:p>
        </w:tc>
      </w:tr>
      <w:tr>
        <w:tc>
          <w:tcPr>
            <w:tcW w:type="dxa" w:w="1400"/>
            <w:shd w:fill="FFFFFF" w:val="clear"/>
            <w:tcMar>
              <w:top w:type="dxa" w:w="70"/>
              <w:left w:type="dxa" w:w="100"/>
              <w:bottom w:type="dxa" w:w="70"/>
              <w:right w:type="dxa" w:w="100"/>
            </w:tcMar>
          </w:tcPr>
          <w:p>
            <w:r>
              <w:rPr>
                <w:sz w:val="19"/>
                <w:szCs w:val="19"/>
              </w:rPr>
              <w:t xml:space="preserve">GET/POST</w:t>
            </w:r>
          </w:p>
        </w:tc>
        <w:tc>
          <w:tcPr>
            <w:tcW w:type="dxa" w:w="3000"/>
            <w:shd w:fill="FFFFFF" w:val="clear"/>
            <w:tcMar>
              <w:top w:type="dxa" w:w="70"/>
              <w:left w:type="dxa" w:w="100"/>
              <w:bottom w:type="dxa" w:w="70"/>
              <w:right w:type="dxa" w:w="100"/>
            </w:tcMar>
          </w:tcPr>
          <w:p>
            <w:r>
              <w:rPr>
                <w:sz w:val="19"/>
                <w:szCs w:val="19"/>
              </w:rPr>
              <w:t xml:space="preserve">/v1/invoices</w:t>
            </w:r>
          </w:p>
        </w:tc>
        <w:tc>
          <w:tcPr>
            <w:tcW w:type="dxa" w:w="4950"/>
            <w:shd w:fill="FFFFFF" w:val="clear"/>
            <w:tcMar>
              <w:top w:type="dxa" w:w="70"/>
              <w:left w:type="dxa" w:w="100"/>
              <w:bottom w:type="dxa" w:w="70"/>
              <w:right w:type="dxa" w:w="100"/>
            </w:tcMar>
          </w:tcPr>
          <w:p>
            <w:r>
              <w:rPr>
                <w:sz w:val="19"/>
                <w:szCs w:val="19"/>
              </w:rPr>
              <w:t xml:space="preserve">List / create invoices</w:t>
            </w:r>
          </w:p>
        </w:tc>
      </w:tr>
      <w:tr>
        <w:tc>
          <w:tcPr>
            <w:tcW w:type="dxa" w:w="1400"/>
            <w:shd w:fill="DCE6F1" w:val="clear"/>
            <w:tcMar>
              <w:top w:type="dxa" w:w="70"/>
              <w:left w:type="dxa" w:w="100"/>
              <w:bottom w:type="dxa" w:w="70"/>
              <w:right w:type="dxa" w:w="100"/>
            </w:tcMar>
          </w:tcPr>
          <w:p>
            <w:r>
              <w:rPr>
                <w:sz w:val="19"/>
                <w:szCs w:val="19"/>
              </w:rPr>
              <w:t xml:space="preserve">POST</w:t>
            </w:r>
          </w:p>
        </w:tc>
        <w:tc>
          <w:tcPr>
            <w:tcW w:type="dxa" w:w="3000"/>
            <w:shd w:fill="DCE6F1" w:val="clear"/>
            <w:tcMar>
              <w:top w:type="dxa" w:w="70"/>
              <w:left w:type="dxa" w:w="100"/>
              <w:bottom w:type="dxa" w:w="70"/>
              <w:right w:type="dxa" w:w="100"/>
            </w:tcMar>
          </w:tcPr>
          <w:p>
            <w:r>
              <w:rPr>
                <w:sz w:val="19"/>
                <w:szCs w:val="19"/>
              </w:rPr>
              <w:t xml:space="preserve">/v1/invoices/{id}/send</w:t>
            </w:r>
          </w:p>
        </w:tc>
        <w:tc>
          <w:tcPr>
            <w:tcW w:type="dxa" w:w="4950"/>
            <w:shd w:fill="DCE6F1" w:val="clear"/>
            <w:tcMar>
              <w:top w:type="dxa" w:w="70"/>
              <w:left w:type="dxa" w:w="100"/>
              <w:bottom w:type="dxa" w:w="70"/>
              <w:right w:type="dxa" w:w="100"/>
            </w:tcMar>
          </w:tcPr>
          <w:p>
            <w:r>
              <w:rPr>
                <w:sz w:val="19"/>
                <w:szCs w:val="19"/>
              </w:rPr>
              <w:t xml:space="preserve">Send invoice (triggers Vol.2 Section 9.1 flow)</w:t>
            </w:r>
          </w:p>
        </w:tc>
      </w:tr>
      <w:tr>
        <w:tc>
          <w:tcPr>
            <w:tcW w:type="dxa" w:w="1400"/>
            <w:shd w:fill="FFFFFF" w:val="clear"/>
            <w:tcMar>
              <w:top w:type="dxa" w:w="70"/>
              <w:left w:type="dxa" w:w="100"/>
              <w:bottom w:type="dxa" w:w="70"/>
              <w:right w:type="dxa" w:w="100"/>
            </w:tcMar>
          </w:tcPr>
          <w:p>
            <w:r>
              <w:rPr>
                <w:sz w:val="19"/>
                <w:szCs w:val="19"/>
              </w:rPr>
              <w:t xml:space="preserve">POST</w:t>
            </w:r>
          </w:p>
        </w:tc>
        <w:tc>
          <w:tcPr>
            <w:tcW w:type="dxa" w:w="3000"/>
            <w:shd w:fill="FFFFFF" w:val="clear"/>
            <w:tcMar>
              <w:top w:type="dxa" w:w="70"/>
              <w:left w:type="dxa" w:w="100"/>
              <w:bottom w:type="dxa" w:w="70"/>
              <w:right w:type="dxa" w:w="100"/>
            </w:tcMar>
          </w:tcPr>
          <w:p>
            <w:r>
              <w:rPr>
                <w:sz w:val="19"/>
                <w:szCs w:val="19"/>
              </w:rPr>
              <w:t xml:space="preserve">/v1/invoices/{id}/payments</w:t>
            </w:r>
          </w:p>
        </w:tc>
        <w:tc>
          <w:tcPr>
            <w:tcW w:type="dxa" w:w="4950"/>
            <w:shd w:fill="FFFFFF" w:val="clear"/>
            <w:tcMar>
              <w:top w:type="dxa" w:w="70"/>
              <w:left w:type="dxa" w:w="100"/>
              <w:bottom w:type="dxa" w:w="70"/>
              <w:right w:type="dxa" w:w="100"/>
            </w:tcMar>
          </w:tcPr>
          <w:p>
            <w:r>
              <w:rPr>
                <w:sz w:val="19"/>
                <w:szCs w:val="19"/>
              </w:rPr>
              <w:t xml:space="preserve">Record a payment against an invoice</w:t>
            </w:r>
          </w:p>
        </w:tc>
      </w:tr>
      <w:tr>
        <w:tc>
          <w:tcPr>
            <w:tcW w:type="dxa" w:w="1400"/>
            <w:shd w:fill="DCE6F1" w:val="clear"/>
            <w:tcMar>
              <w:top w:type="dxa" w:w="70"/>
              <w:left w:type="dxa" w:w="100"/>
              <w:bottom w:type="dxa" w:w="70"/>
              <w:right w:type="dxa" w:w="100"/>
            </w:tcMar>
          </w:tcPr>
          <w:p>
            <w:r>
              <w:rPr>
                <w:sz w:val="19"/>
                <w:szCs w:val="19"/>
              </w:rPr>
              <w:t xml:space="preserve">POST</w:t>
            </w:r>
          </w:p>
        </w:tc>
        <w:tc>
          <w:tcPr>
            <w:tcW w:type="dxa" w:w="3000"/>
            <w:shd w:fill="DCE6F1" w:val="clear"/>
            <w:tcMar>
              <w:top w:type="dxa" w:w="70"/>
              <w:left w:type="dxa" w:w="100"/>
              <w:bottom w:type="dxa" w:w="70"/>
              <w:right w:type="dxa" w:w="100"/>
            </w:tcMar>
          </w:tcPr>
          <w:p>
            <w:r>
              <w:rPr>
                <w:sz w:val="19"/>
                <w:szCs w:val="19"/>
              </w:rPr>
              <w:t xml:space="preserve">/v1/invoices/{id}/void</w:t>
            </w:r>
          </w:p>
        </w:tc>
        <w:tc>
          <w:tcPr>
            <w:tcW w:type="dxa" w:w="4950"/>
            <w:shd w:fill="DCE6F1" w:val="clear"/>
            <w:tcMar>
              <w:top w:type="dxa" w:w="70"/>
              <w:left w:type="dxa" w:w="100"/>
              <w:bottom w:type="dxa" w:w="70"/>
              <w:right w:type="dxa" w:w="100"/>
            </w:tcMar>
          </w:tcPr>
          <w:p>
            <w:r>
              <w:rPr>
                <w:sz w:val="19"/>
                <w:szCs w:val="19"/>
              </w:rPr>
              <w:t xml:space="preserve">Void an invoice (append-only reversal, Vol.4 Section 2 D2/D6)</w:t>
            </w:r>
          </w:p>
        </w:tc>
      </w:tr>
    </w:tbl>
    <w:p>
      <w:pPr>
        <w:pStyle w:val="Heading3"/>
        <w:spacing w:before="200" w:after="100"/>
      </w:pPr>
      <w:r>
        <w:rPr>
          <w:b/>
          <w:bCs/>
          <w:color w:val="1F3864"/>
          <w:sz w:val="23"/>
          <w:szCs w:val="23"/>
        </w:rPr>
        <w:t xml:space="preserve">7.4 Payables (CTX-04) &amp; Inventory (CTX-07)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50"/>
      </w:tblGrid>
      <w:tr>
        <w:trPr>
          <w:tblHeader/>
        </w:trPr>
        <w:tc>
          <w:tcPr>
            <w:tcW w:type="dxa" w:w="1400"/>
            <w:shd w:fill="1F3864" w:val="clear"/>
            <w:tcMar>
              <w:top w:type="dxa" w:w="80"/>
              <w:left w:type="dxa" w:w="100"/>
              <w:bottom w:type="dxa" w:w="80"/>
              <w:right w:type="dxa" w:w="100"/>
            </w:tcMar>
            <w:vAlign w:val="center"/>
          </w:tcPr>
          <w:p>
            <w:r>
              <w:rPr>
                <w:b/>
                <w:bCs/>
                <w:color w:val="FFFFFF"/>
                <w:sz w:val="19"/>
                <w:szCs w:val="19"/>
              </w:rPr>
              <w:t xml:space="preserve">Method</w:t>
            </w:r>
          </w:p>
        </w:tc>
        <w:tc>
          <w:tcPr>
            <w:tcW w:type="dxa" w:w="3000"/>
            <w:shd w:fill="1F3864" w:val="clear"/>
            <w:tcMar>
              <w:top w:type="dxa" w:w="80"/>
              <w:left w:type="dxa" w:w="100"/>
              <w:bottom w:type="dxa" w:w="80"/>
              <w:right w:type="dxa" w:w="100"/>
            </w:tcMar>
            <w:vAlign w:val="center"/>
          </w:tcPr>
          <w:p>
            <w:r>
              <w:rPr>
                <w:b/>
                <w:bCs/>
                <w:color w:val="FFFFFF"/>
                <w:sz w:val="19"/>
                <w:szCs w:val="19"/>
              </w:rPr>
              <w:t xml:space="preserve">Path</w:t>
            </w:r>
          </w:p>
        </w:tc>
        <w:tc>
          <w:tcPr>
            <w:tcW w:type="dxa" w:w="4950"/>
            <w:shd w:fill="1F3864" w:val="clear"/>
            <w:tcMar>
              <w:top w:type="dxa" w:w="80"/>
              <w:left w:type="dxa" w:w="100"/>
              <w:bottom w:type="dxa" w:w="80"/>
              <w:right w:type="dxa" w:w="100"/>
            </w:tcMar>
            <w:vAlign w:val="center"/>
          </w:tcPr>
          <w:p>
            <w:r>
              <w:rPr>
                <w:b/>
                <w:bCs/>
                <w:color w:val="FFFFFF"/>
                <w:sz w:val="19"/>
                <w:szCs w:val="19"/>
              </w:rPr>
              <w:t xml:space="preserve">Purpose</w:t>
            </w:r>
          </w:p>
        </w:tc>
      </w:tr>
      <w:tr>
        <w:tc>
          <w:tcPr>
            <w:tcW w:type="dxa" w:w="1400"/>
            <w:shd w:fill="FFFFFF" w:val="clear"/>
            <w:tcMar>
              <w:top w:type="dxa" w:w="70"/>
              <w:left w:type="dxa" w:w="100"/>
              <w:bottom w:type="dxa" w:w="70"/>
              <w:right w:type="dxa" w:w="100"/>
            </w:tcMar>
          </w:tcPr>
          <w:p>
            <w:r>
              <w:rPr>
                <w:sz w:val="19"/>
                <w:szCs w:val="19"/>
              </w:rPr>
              <w:t xml:space="preserve">GET/POST</w:t>
            </w:r>
          </w:p>
        </w:tc>
        <w:tc>
          <w:tcPr>
            <w:tcW w:type="dxa" w:w="3000"/>
            <w:shd w:fill="FFFFFF" w:val="clear"/>
            <w:tcMar>
              <w:top w:type="dxa" w:w="70"/>
              <w:left w:type="dxa" w:w="100"/>
              <w:bottom w:type="dxa" w:w="70"/>
              <w:right w:type="dxa" w:w="100"/>
            </w:tcMar>
          </w:tcPr>
          <w:p>
            <w:r>
              <w:rPr>
                <w:sz w:val="19"/>
                <w:szCs w:val="19"/>
              </w:rPr>
              <w:t xml:space="preserve">/v1/purchase-orders</w:t>
            </w:r>
          </w:p>
        </w:tc>
        <w:tc>
          <w:tcPr>
            <w:tcW w:type="dxa" w:w="4950"/>
            <w:shd w:fill="FFFFFF" w:val="clear"/>
            <w:tcMar>
              <w:top w:type="dxa" w:w="70"/>
              <w:left w:type="dxa" w:w="100"/>
              <w:bottom w:type="dxa" w:w="70"/>
              <w:right w:type="dxa" w:w="100"/>
            </w:tcMar>
          </w:tcPr>
          <w:p>
            <w:r>
              <w:rPr>
                <w:sz w:val="19"/>
                <w:szCs w:val="19"/>
              </w:rPr>
              <w:t xml:space="preserve">List / create purchase orders</w:t>
            </w:r>
          </w:p>
        </w:tc>
      </w:tr>
      <w:tr>
        <w:tc>
          <w:tcPr>
            <w:tcW w:type="dxa" w:w="1400"/>
            <w:shd w:fill="DCE6F1" w:val="clear"/>
            <w:tcMar>
              <w:top w:type="dxa" w:w="70"/>
              <w:left w:type="dxa" w:w="100"/>
              <w:bottom w:type="dxa" w:w="70"/>
              <w:right w:type="dxa" w:w="100"/>
            </w:tcMar>
          </w:tcPr>
          <w:p>
            <w:r>
              <w:rPr>
                <w:sz w:val="19"/>
                <w:szCs w:val="19"/>
              </w:rPr>
              <w:t xml:space="preserve">GET/POST</w:t>
            </w:r>
          </w:p>
        </w:tc>
        <w:tc>
          <w:tcPr>
            <w:tcW w:type="dxa" w:w="3000"/>
            <w:shd w:fill="DCE6F1" w:val="clear"/>
            <w:tcMar>
              <w:top w:type="dxa" w:w="70"/>
              <w:left w:type="dxa" w:w="100"/>
              <w:bottom w:type="dxa" w:w="70"/>
              <w:right w:type="dxa" w:w="100"/>
            </w:tcMar>
          </w:tcPr>
          <w:p>
            <w:r>
              <w:rPr>
                <w:sz w:val="19"/>
                <w:szCs w:val="19"/>
              </w:rPr>
              <w:t xml:space="preserve">/v1/bills</w:t>
            </w:r>
          </w:p>
        </w:tc>
        <w:tc>
          <w:tcPr>
            <w:tcW w:type="dxa" w:w="4950"/>
            <w:shd w:fill="DCE6F1" w:val="clear"/>
            <w:tcMar>
              <w:top w:type="dxa" w:w="70"/>
              <w:left w:type="dxa" w:w="100"/>
              <w:bottom w:type="dxa" w:w="70"/>
              <w:right w:type="dxa" w:w="100"/>
            </w:tcMar>
          </w:tcPr>
          <w:p>
            <w:r>
              <w:rPr>
                <w:sz w:val="19"/>
                <w:szCs w:val="19"/>
              </w:rPr>
              <w:t xml:space="preserve">List / create vendor bills</w:t>
            </w:r>
          </w:p>
        </w:tc>
      </w:tr>
      <w:tr>
        <w:tc>
          <w:tcPr>
            <w:tcW w:type="dxa" w:w="1400"/>
            <w:shd w:fill="FFFFFF" w:val="clear"/>
            <w:tcMar>
              <w:top w:type="dxa" w:w="70"/>
              <w:left w:type="dxa" w:w="100"/>
              <w:bottom w:type="dxa" w:w="70"/>
              <w:right w:type="dxa" w:w="100"/>
            </w:tcMar>
          </w:tcPr>
          <w:p>
            <w:r>
              <w:rPr>
                <w:sz w:val="19"/>
                <w:szCs w:val="19"/>
              </w:rPr>
              <w:t xml:space="preserve">POST</w:t>
            </w:r>
          </w:p>
        </w:tc>
        <w:tc>
          <w:tcPr>
            <w:tcW w:type="dxa" w:w="3000"/>
            <w:shd w:fill="FFFFFF" w:val="clear"/>
            <w:tcMar>
              <w:top w:type="dxa" w:w="70"/>
              <w:left w:type="dxa" w:w="100"/>
              <w:bottom w:type="dxa" w:w="70"/>
              <w:right w:type="dxa" w:w="100"/>
            </w:tcMar>
          </w:tcPr>
          <w:p>
            <w:r>
              <w:rPr>
                <w:sz w:val="19"/>
                <w:szCs w:val="19"/>
              </w:rPr>
              <w:t xml:space="preserve">/v1/bills/{id}/approve</w:t>
            </w:r>
          </w:p>
        </w:tc>
        <w:tc>
          <w:tcPr>
            <w:tcW w:type="dxa" w:w="4950"/>
            <w:shd w:fill="FFFFFF" w:val="clear"/>
            <w:tcMar>
              <w:top w:type="dxa" w:w="70"/>
              <w:left w:type="dxa" w:w="100"/>
              <w:bottom w:type="dxa" w:w="70"/>
              <w:right w:type="dxa" w:w="100"/>
            </w:tcMar>
          </w:tcPr>
          <w:p>
            <w:r>
              <w:rPr>
                <w:sz w:val="19"/>
                <w:szCs w:val="19"/>
              </w:rPr>
              <w:t xml:space="preserve">Approve a bill post-3-way-match (Vol.2 Section 9.3)</w:t>
            </w:r>
          </w:p>
        </w:tc>
      </w:tr>
      <w:tr>
        <w:tc>
          <w:tcPr>
            <w:tcW w:type="dxa" w:w="1400"/>
            <w:shd w:fill="DCE6F1" w:val="clear"/>
            <w:tcMar>
              <w:top w:type="dxa" w:w="70"/>
              <w:left w:type="dxa" w:w="100"/>
              <w:bottom w:type="dxa" w:w="70"/>
              <w:right w:type="dxa" w:w="100"/>
            </w:tcMar>
          </w:tcPr>
          <w:p>
            <w:r>
              <w:rPr>
                <w:sz w:val="19"/>
                <w:szCs w:val="19"/>
              </w:rPr>
              <w:t xml:space="preserve">GET/POST</w:t>
            </w:r>
          </w:p>
        </w:tc>
        <w:tc>
          <w:tcPr>
            <w:tcW w:type="dxa" w:w="3000"/>
            <w:shd w:fill="DCE6F1" w:val="clear"/>
            <w:tcMar>
              <w:top w:type="dxa" w:w="70"/>
              <w:left w:type="dxa" w:w="100"/>
              <w:bottom w:type="dxa" w:w="70"/>
              <w:right w:type="dxa" w:w="100"/>
            </w:tcMar>
          </w:tcPr>
          <w:p>
            <w:r>
              <w:rPr>
                <w:sz w:val="19"/>
                <w:szCs w:val="19"/>
              </w:rPr>
              <w:t xml:space="preserve">/v1/items</w:t>
            </w:r>
          </w:p>
        </w:tc>
        <w:tc>
          <w:tcPr>
            <w:tcW w:type="dxa" w:w="4950"/>
            <w:shd w:fill="DCE6F1" w:val="clear"/>
            <w:tcMar>
              <w:top w:type="dxa" w:w="70"/>
              <w:left w:type="dxa" w:w="100"/>
              <w:bottom w:type="dxa" w:w="70"/>
              <w:right w:type="dxa" w:w="100"/>
            </w:tcMar>
          </w:tcPr>
          <w:p>
            <w:r>
              <w:rPr>
                <w:sz w:val="19"/>
                <w:szCs w:val="19"/>
              </w:rPr>
              <w:t xml:space="preserve">List / create inventory items</w:t>
            </w:r>
          </w:p>
        </w:tc>
      </w:tr>
      <w:tr>
        <w:tc>
          <w:tcPr>
            <w:tcW w:type="dxa" w:w="1400"/>
            <w:shd w:fill="FFFFFF" w:val="clear"/>
            <w:tcMar>
              <w:top w:type="dxa" w:w="70"/>
              <w:left w:type="dxa" w:w="100"/>
              <w:bottom w:type="dxa" w:w="70"/>
              <w:right w:type="dxa" w:w="100"/>
            </w:tcMar>
          </w:tcPr>
          <w:p>
            <w:r>
              <w:rPr>
                <w:sz w:val="19"/>
                <w:szCs w:val="19"/>
              </w:rPr>
              <w:t xml:space="preserve">POST</w:t>
            </w:r>
          </w:p>
        </w:tc>
        <w:tc>
          <w:tcPr>
            <w:tcW w:type="dxa" w:w="3000"/>
            <w:shd w:fill="FFFFFF" w:val="clear"/>
            <w:tcMar>
              <w:top w:type="dxa" w:w="70"/>
              <w:left w:type="dxa" w:w="100"/>
              <w:bottom w:type="dxa" w:w="70"/>
              <w:right w:type="dxa" w:w="100"/>
            </w:tcMar>
          </w:tcPr>
          <w:p>
            <w:r>
              <w:rPr>
                <w:sz w:val="19"/>
                <w:szCs w:val="19"/>
              </w:rPr>
              <w:t xml:space="preserve">/v1/items/{id}/adjustments</w:t>
            </w:r>
          </w:p>
        </w:tc>
        <w:tc>
          <w:tcPr>
            <w:tcW w:type="dxa" w:w="4950"/>
            <w:shd w:fill="FFFFFF" w:val="clear"/>
            <w:tcMar>
              <w:top w:type="dxa" w:w="70"/>
              <w:left w:type="dxa" w:w="100"/>
              <w:bottom w:type="dxa" w:w="70"/>
              <w:right w:type="dxa" w:w="100"/>
            </w:tcMar>
          </w:tcPr>
          <w:p>
            <w:r>
              <w:rPr>
                <w:sz w:val="19"/>
                <w:szCs w:val="19"/>
              </w:rPr>
              <w:t xml:space="preserve">Record a stock adjustment</w:t>
            </w:r>
          </w:p>
        </w:tc>
      </w:tr>
    </w:tbl>
    <w:p>
      <w:pPr>
        <w:pStyle w:val="Heading3"/>
        <w:spacing w:before="200" w:after="100"/>
      </w:pPr>
      <w:r>
        <w:rPr>
          <w:b/>
          <w:bCs/>
          <w:color w:val="1F3864"/>
          <w:sz w:val="23"/>
          <w:szCs w:val="23"/>
        </w:rPr>
        <w:t xml:space="preserve">7.5 Banking (CTX-05) &amp; Payments (CTX-06)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50"/>
      </w:tblGrid>
      <w:tr>
        <w:trPr>
          <w:tblHeader/>
        </w:trPr>
        <w:tc>
          <w:tcPr>
            <w:tcW w:type="dxa" w:w="1400"/>
            <w:shd w:fill="1F3864" w:val="clear"/>
            <w:tcMar>
              <w:top w:type="dxa" w:w="80"/>
              <w:left w:type="dxa" w:w="100"/>
              <w:bottom w:type="dxa" w:w="80"/>
              <w:right w:type="dxa" w:w="100"/>
            </w:tcMar>
            <w:vAlign w:val="center"/>
          </w:tcPr>
          <w:p>
            <w:r>
              <w:rPr>
                <w:b/>
                <w:bCs/>
                <w:color w:val="FFFFFF"/>
                <w:sz w:val="19"/>
                <w:szCs w:val="19"/>
              </w:rPr>
              <w:t xml:space="preserve">Method</w:t>
            </w:r>
          </w:p>
        </w:tc>
        <w:tc>
          <w:tcPr>
            <w:tcW w:type="dxa" w:w="3400"/>
            <w:shd w:fill="1F3864" w:val="clear"/>
            <w:tcMar>
              <w:top w:type="dxa" w:w="80"/>
              <w:left w:type="dxa" w:w="100"/>
              <w:bottom w:type="dxa" w:w="80"/>
              <w:right w:type="dxa" w:w="100"/>
            </w:tcMar>
            <w:vAlign w:val="center"/>
          </w:tcPr>
          <w:p>
            <w:r>
              <w:rPr>
                <w:b/>
                <w:bCs/>
                <w:color w:val="FFFFFF"/>
                <w:sz w:val="19"/>
                <w:szCs w:val="19"/>
              </w:rPr>
              <w:t xml:space="preserve">Path</w:t>
            </w:r>
          </w:p>
        </w:tc>
        <w:tc>
          <w:tcPr>
            <w:tcW w:type="dxa" w:w="4550"/>
            <w:shd w:fill="1F3864" w:val="clear"/>
            <w:tcMar>
              <w:top w:type="dxa" w:w="80"/>
              <w:left w:type="dxa" w:w="100"/>
              <w:bottom w:type="dxa" w:w="80"/>
              <w:right w:type="dxa" w:w="100"/>
            </w:tcMar>
            <w:vAlign w:val="center"/>
          </w:tcPr>
          <w:p>
            <w:r>
              <w:rPr>
                <w:b/>
                <w:bCs/>
                <w:color w:val="FFFFFF"/>
                <w:sz w:val="19"/>
                <w:szCs w:val="19"/>
              </w:rPr>
              <w:t xml:space="preserve">Purpose</w:t>
            </w:r>
          </w:p>
        </w:tc>
      </w:tr>
      <w:tr>
        <w:tc>
          <w:tcPr>
            <w:tcW w:type="dxa" w:w="1400"/>
            <w:shd w:fill="FFFFFF" w:val="clear"/>
            <w:tcMar>
              <w:top w:type="dxa" w:w="70"/>
              <w:left w:type="dxa" w:w="100"/>
              <w:bottom w:type="dxa" w:w="70"/>
              <w:right w:type="dxa" w:w="100"/>
            </w:tcMar>
          </w:tcPr>
          <w:p>
            <w:r>
              <w:rPr>
                <w:sz w:val="19"/>
                <w:szCs w:val="19"/>
              </w:rPr>
              <w:t xml:space="preserve">GET</w:t>
            </w:r>
          </w:p>
        </w:tc>
        <w:tc>
          <w:tcPr>
            <w:tcW w:type="dxa" w:w="3400"/>
            <w:shd w:fill="FFFFFF" w:val="clear"/>
            <w:tcMar>
              <w:top w:type="dxa" w:w="70"/>
              <w:left w:type="dxa" w:w="100"/>
              <w:bottom w:type="dxa" w:w="70"/>
              <w:right w:type="dxa" w:w="100"/>
            </w:tcMar>
          </w:tcPr>
          <w:p>
            <w:r>
              <w:rPr>
                <w:sz w:val="19"/>
                <w:szCs w:val="19"/>
              </w:rPr>
              <w:t xml:space="preserve">/v1/bank-accounts</w:t>
            </w:r>
          </w:p>
        </w:tc>
        <w:tc>
          <w:tcPr>
            <w:tcW w:type="dxa" w:w="4550"/>
            <w:shd w:fill="FFFFFF" w:val="clear"/>
            <w:tcMar>
              <w:top w:type="dxa" w:w="70"/>
              <w:left w:type="dxa" w:w="100"/>
              <w:bottom w:type="dxa" w:w="70"/>
              <w:right w:type="dxa" w:w="100"/>
            </w:tcMar>
          </w:tcPr>
          <w:p>
            <w:r>
              <w:rPr>
                <w:sz w:val="19"/>
                <w:szCs w:val="19"/>
              </w:rPr>
              <w:t xml:space="preserve">List connected bank accounts (Vol.5 Section 3.2)</w:t>
            </w:r>
          </w:p>
        </w:tc>
      </w:tr>
      <w:tr>
        <w:tc>
          <w:tcPr>
            <w:tcW w:type="dxa" w:w="1400"/>
            <w:shd w:fill="DCE6F1" w:val="clear"/>
            <w:tcMar>
              <w:top w:type="dxa" w:w="70"/>
              <w:left w:type="dxa" w:w="100"/>
              <w:bottom w:type="dxa" w:w="70"/>
              <w:right w:type="dxa" w:w="100"/>
            </w:tcMar>
          </w:tcPr>
          <w:p>
            <w:r>
              <w:rPr>
                <w:sz w:val="19"/>
                <w:szCs w:val="19"/>
              </w:rPr>
              <w:t xml:space="preserve">GET</w:t>
            </w:r>
          </w:p>
        </w:tc>
        <w:tc>
          <w:tcPr>
            <w:tcW w:type="dxa" w:w="3400"/>
            <w:shd w:fill="DCE6F1" w:val="clear"/>
            <w:tcMar>
              <w:top w:type="dxa" w:w="70"/>
              <w:left w:type="dxa" w:w="100"/>
              <w:bottom w:type="dxa" w:w="70"/>
              <w:right w:type="dxa" w:w="100"/>
            </w:tcMar>
          </w:tcPr>
          <w:p>
            <w:r>
              <w:rPr>
                <w:sz w:val="19"/>
                <w:szCs w:val="19"/>
              </w:rPr>
              <w:t xml:space="preserve">/v1/bank-transactions</w:t>
            </w:r>
          </w:p>
        </w:tc>
        <w:tc>
          <w:tcPr>
            <w:tcW w:type="dxa" w:w="4550"/>
            <w:shd w:fill="DCE6F1" w:val="clear"/>
            <w:tcMar>
              <w:top w:type="dxa" w:w="70"/>
              <w:left w:type="dxa" w:w="100"/>
              <w:bottom w:type="dxa" w:w="70"/>
              <w:right w:type="dxa" w:w="100"/>
            </w:tcMar>
          </w:tcPr>
          <w:p>
            <w:r>
              <w:rPr>
                <w:sz w:val="19"/>
                <w:szCs w:val="19"/>
              </w:rPr>
              <w:t xml:space="preserve">List imported bank transactions</w:t>
            </w:r>
          </w:p>
        </w:tc>
      </w:tr>
      <w:tr>
        <w:tc>
          <w:tcPr>
            <w:tcW w:type="dxa" w:w="1400"/>
            <w:shd w:fill="FFFFFF" w:val="clear"/>
            <w:tcMar>
              <w:top w:type="dxa" w:w="70"/>
              <w:left w:type="dxa" w:w="100"/>
              <w:bottom w:type="dxa" w:w="70"/>
              <w:right w:type="dxa" w:w="100"/>
            </w:tcMar>
          </w:tcPr>
          <w:p>
            <w:r>
              <w:rPr>
                <w:sz w:val="19"/>
                <w:szCs w:val="19"/>
              </w:rPr>
              <w:t xml:space="preserve">POST</w:t>
            </w:r>
          </w:p>
        </w:tc>
        <w:tc>
          <w:tcPr>
            <w:tcW w:type="dxa" w:w="3400"/>
            <w:shd w:fill="FFFFFF" w:val="clear"/>
            <w:tcMar>
              <w:top w:type="dxa" w:w="70"/>
              <w:left w:type="dxa" w:w="100"/>
              <w:bottom w:type="dxa" w:w="70"/>
              <w:right w:type="dxa" w:w="100"/>
            </w:tcMar>
          </w:tcPr>
          <w:p>
            <w:r>
              <w:rPr>
                <w:sz w:val="19"/>
                <w:szCs w:val="19"/>
              </w:rPr>
              <w:t xml:space="preserve">/v1/bank-transactions/{id}/reconcile</w:t>
            </w:r>
          </w:p>
        </w:tc>
        <w:tc>
          <w:tcPr>
            <w:tcW w:type="dxa" w:w="4550"/>
            <w:shd w:fill="FFFFFF" w:val="clear"/>
            <w:tcMar>
              <w:top w:type="dxa" w:w="70"/>
              <w:left w:type="dxa" w:w="100"/>
              <w:bottom w:type="dxa" w:w="70"/>
              <w:right w:type="dxa" w:w="100"/>
            </w:tcMar>
          </w:tcPr>
          <w:p>
            <w:r>
              <w:rPr>
                <w:sz w:val="19"/>
                <w:szCs w:val="19"/>
              </w:rPr>
              <w:t xml:space="preserve">Match a transaction to an invoice/bill payment</w:t>
            </w:r>
          </w:p>
        </w:tc>
      </w:tr>
      <w:tr>
        <w:tc>
          <w:tcPr>
            <w:tcW w:type="dxa" w:w="1400"/>
            <w:shd w:fill="DCE6F1" w:val="clear"/>
            <w:tcMar>
              <w:top w:type="dxa" w:w="70"/>
              <w:left w:type="dxa" w:w="100"/>
              <w:bottom w:type="dxa" w:w="70"/>
              <w:right w:type="dxa" w:w="100"/>
            </w:tcMar>
          </w:tcPr>
          <w:p>
            <w:r>
              <w:rPr>
                <w:sz w:val="19"/>
                <w:szCs w:val="19"/>
              </w:rPr>
              <w:t xml:space="preserve">POST</w:t>
            </w:r>
          </w:p>
        </w:tc>
        <w:tc>
          <w:tcPr>
            <w:tcW w:type="dxa" w:w="3400"/>
            <w:shd w:fill="DCE6F1" w:val="clear"/>
            <w:tcMar>
              <w:top w:type="dxa" w:w="70"/>
              <w:left w:type="dxa" w:w="100"/>
              <w:bottom w:type="dxa" w:w="70"/>
              <w:right w:type="dxa" w:w="100"/>
            </w:tcMar>
          </w:tcPr>
          <w:p>
            <w:r>
              <w:rPr>
                <w:sz w:val="19"/>
                <w:szCs w:val="19"/>
              </w:rPr>
              <w:t xml:space="preserve">/v1/payment-links</w:t>
            </w:r>
          </w:p>
        </w:tc>
        <w:tc>
          <w:tcPr>
            <w:tcW w:type="dxa" w:w="4550"/>
            <w:shd w:fill="DCE6F1" w:val="clear"/>
            <w:tcMar>
              <w:top w:type="dxa" w:w="70"/>
              <w:left w:type="dxa" w:w="100"/>
              <w:bottom w:type="dxa" w:w="70"/>
              <w:right w:type="dxa" w:w="100"/>
            </w:tcMar>
          </w:tcPr>
          <w:p>
            <w:r>
              <w:rPr>
                <w:sz w:val="19"/>
                <w:szCs w:val="19"/>
              </w:rPr>
              <w:t xml:space="preserve">Create a payment link for an invoice (Vol.5 Section 4.3)</w:t>
            </w:r>
          </w:p>
        </w:tc>
      </w:tr>
    </w:tbl>
    <w:p>
      <w:pPr>
        <w:pStyle w:val="Heading3"/>
        <w:spacing w:before="200" w:after="100"/>
      </w:pPr>
      <w:r>
        <w:rPr>
          <w:b/>
          <w:bCs/>
          <w:color w:val="1F3864"/>
          <w:sz w:val="23"/>
          <w:szCs w:val="23"/>
        </w:rPr>
        <w:t xml:space="preserve">7.6 Reporting (CTX-11)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50"/>
      </w:tblGrid>
      <w:tr>
        <w:trPr>
          <w:tblHeader/>
        </w:trPr>
        <w:tc>
          <w:tcPr>
            <w:tcW w:type="dxa" w:w="1400"/>
            <w:shd w:fill="1F3864" w:val="clear"/>
            <w:tcMar>
              <w:top w:type="dxa" w:w="80"/>
              <w:left w:type="dxa" w:w="100"/>
              <w:bottom w:type="dxa" w:w="80"/>
              <w:right w:type="dxa" w:w="100"/>
            </w:tcMar>
            <w:vAlign w:val="center"/>
          </w:tcPr>
          <w:p>
            <w:r>
              <w:rPr>
                <w:b/>
                <w:bCs/>
                <w:color w:val="FFFFFF"/>
                <w:sz w:val="19"/>
                <w:szCs w:val="19"/>
              </w:rPr>
              <w:t xml:space="preserve">Method</w:t>
            </w:r>
          </w:p>
        </w:tc>
        <w:tc>
          <w:tcPr>
            <w:tcW w:type="dxa" w:w="3000"/>
            <w:shd w:fill="1F3864" w:val="clear"/>
            <w:tcMar>
              <w:top w:type="dxa" w:w="80"/>
              <w:left w:type="dxa" w:w="100"/>
              <w:bottom w:type="dxa" w:w="80"/>
              <w:right w:type="dxa" w:w="100"/>
            </w:tcMar>
            <w:vAlign w:val="center"/>
          </w:tcPr>
          <w:p>
            <w:r>
              <w:rPr>
                <w:b/>
                <w:bCs/>
                <w:color w:val="FFFFFF"/>
                <w:sz w:val="19"/>
                <w:szCs w:val="19"/>
              </w:rPr>
              <w:t xml:space="preserve">Path</w:t>
            </w:r>
          </w:p>
        </w:tc>
        <w:tc>
          <w:tcPr>
            <w:tcW w:type="dxa" w:w="4950"/>
            <w:shd w:fill="1F3864" w:val="clear"/>
            <w:tcMar>
              <w:top w:type="dxa" w:w="80"/>
              <w:left w:type="dxa" w:w="100"/>
              <w:bottom w:type="dxa" w:w="80"/>
              <w:right w:type="dxa" w:w="100"/>
            </w:tcMar>
            <w:vAlign w:val="center"/>
          </w:tcPr>
          <w:p>
            <w:r>
              <w:rPr>
                <w:b/>
                <w:bCs/>
                <w:color w:val="FFFFFF"/>
                <w:sz w:val="19"/>
                <w:szCs w:val="19"/>
              </w:rPr>
              <w:t xml:space="preserve">Purpose</w:t>
            </w:r>
          </w:p>
        </w:tc>
      </w:tr>
      <w:tr>
        <w:tc>
          <w:tcPr>
            <w:tcW w:type="dxa" w:w="1400"/>
            <w:shd w:fill="FFFFFF" w:val="clear"/>
            <w:tcMar>
              <w:top w:type="dxa" w:w="70"/>
              <w:left w:type="dxa" w:w="100"/>
              <w:bottom w:type="dxa" w:w="70"/>
              <w:right w:type="dxa" w:w="100"/>
            </w:tcMar>
          </w:tcPr>
          <w:p>
            <w:r>
              <w:rPr>
                <w:sz w:val="19"/>
                <w:szCs w:val="19"/>
              </w:rPr>
              <w:t xml:space="preserve">GET</w:t>
            </w:r>
          </w:p>
        </w:tc>
        <w:tc>
          <w:tcPr>
            <w:tcW w:type="dxa" w:w="3000"/>
            <w:shd w:fill="FFFFFF" w:val="clear"/>
            <w:tcMar>
              <w:top w:type="dxa" w:w="70"/>
              <w:left w:type="dxa" w:w="100"/>
              <w:bottom w:type="dxa" w:w="70"/>
              <w:right w:type="dxa" w:w="100"/>
            </w:tcMar>
          </w:tcPr>
          <w:p>
            <w:r>
              <w:rPr>
                <w:sz w:val="19"/>
                <w:szCs w:val="19"/>
              </w:rPr>
              <w:t xml:space="preserve">/v1/reports/profit-and-loss</w:t>
            </w:r>
          </w:p>
        </w:tc>
        <w:tc>
          <w:tcPr>
            <w:tcW w:type="dxa" w:w="4950"/>
            <w:shd w:fill="FFFFFF" w:val="clear"/>
            <w:tcMar>
              <w:top w:type="dxa" w:w="70"/>
              <w:left w:type="dxa" w:w="100"/>
              <w:bottom w:type="dxa" w:w="70"/>
              <w:right w:type="dxa" w:w="100"/>
            </w:tcMar>
          </w:tcPr>
          <w:p>
            <w:r>
              <w:rPr>
                <w:sz w:val="19"/>
                <w:szCs w:val="19"/>
              </w:rPr>
              <w:t xml:space="preserve">Generate P&amp;L for a date range</w:t>
            </w:r>
          </w:p>
        </w:tc>
      </w:tr>
      <w:tr>
        <w:tc>
          <w:tcPr>
            <w:tcW w:type="dxa" w:w="1400"/>
            <w:shd w:fill="DCE6F1" w:val="clear"/>
            <w:tcMar>
              <w:top w:type="dxa" w:w="70"/>
              <w:left w:type="dxa" w:w="100"/>
              <w:bottom w:type="dxa" w:w="70"/>
              <w:right w:type="dxa" w:w="100"/>
            </w:tcMar>
          </w:tcPr>
          <w:p>
            <w:r>
              <w:rPr>
                <w:sz w:val="19"/>
                <w:szCs w:val="19"/>
              </w:rPr>
              <w:t xml:space="preserve">GET</w:t>
            </w:r>
          </w:p>
        </w:tc>
        <w:tc>
          <w:tcPr>
            <w:tcW w:type="dxa" w:w="3000"/>
            <w:shd w:fill="DCE6F1" w:val="clear"/>
            <w:tcMar>
              <w:top w:type="dxa" w:w="70"/>
              <w:left w:type="dxa" w:w="100"/>
              <w:bottom w:type="dxa" w:w="70"/>
              <w:right w:type="dxa" w:w="100"/>
            </w:tcMar>
          </w:tcPr>
          <w:p>
            <w:r>
              <w:rPr>
                <w:sz w:val="19"/>
                <w:szCs w:val="19"/>
              </w:rPr>
              <w:t xml:space="preserve">/v1/reports/balance-sheet</w:t>
            </w:r>
          </w:p>
        </w:tc>
        <w:tc>
          <w:tcPr>
            <w:tcW w:type="dxa" w:w="4950"/>
            <w:shd w:fill="DCE6F1" w:val="clear"/>
            <w:tcMar>
              <w:top w:type="dxa" w:w="70"/>
              <w:left w:type="dxa" w:w="100"/>
              <w:bottom w:type="dxa" w:w="70"/>
              <w:right w:type="dxa" w:w="100"/>
            </w:tcMar>
          </w:tcPr>
          <w:p>
            <w:r>
              <w:rPr>
                <w:sz w:val="19"/>
                <w:szCs w:val="19"/>
              </w:rPr>
              <w:t xml:space="preserve">Generate balance sheet as of a date</w:t>
            </w:r>
          </w:p>
        </w:tc>
      </w:tr>
      <w:tr>
        <w:tc>
          <w:tcPr>
            <w:tcW w:type="dxa" w:w="1400"/>
            <w:shd w:fill="FFFFFF" w:val="clear"/>
            <w:tcMar>
              <w:top w:type="dxa" w:w="70"/>
              <w:left w:type="dxa" w:w="100"/>
              <w:bottom w:type="dxa" w:w="70"/>
              <w:right w:type="dxa" w:w="100"/>
            </w:tcMar>
          </w:tcPr>
          <w:p>
            <w:r>
              <w:rPr>
                <w:sz w:val="19"/>
                <w:szCs w:val="19"/>
              </w:rPr>
              <w:t xml:space="preserve">GET</w:t>
            </w:r>
          </w:p>
        </w:tc>
        <w:tc>
          <w:tcPr>
            <w:tcW w:type="dxa" w:w="3000"/>
            <w:shd w:fill="FFFFFF" w:val="clear"/>
            <w:tcMar>
              <w:top w:type="dxa" w:w="70"/>
              <w:left w:type="dxa" w:w="100"/>
              <w:bottom w:type="dxa" w:w="70"/>
              <w:right w:type="dxa" w:w="100"/>
            </w:tcMar>
          </w:tcPr>
          <w:p>
            <w:r>
              <w:rPr>
                <w:sz w:val="19"/>
                <w:szCs w:val="19"/>
              </w:rPr>
              <w:t xml:space="preserve">/v1/reports/custom</w:t>
            </w:r>
          </w:p>
        </w:tc>
        <w:tc>
          <w:tcPr>
            <w:tcW w:type="dxa" w:w="4950"/>
            <w:shd w:fill="FFFFFF" w:val="clear"/>
            <w:tcMar>
              <w:top w:type="dxa" w:w="70"/>
              <w:left w:type="dxa" w:w="100"/>
              <w:bottom w:type="dxa" w:w="70"/>
              <w:right w:type="dxa" w:w="100"/>
            </w:tcMar>
          </w:tcPr>
          <w:p>
            <w:r>
              <w:rPr>
                <w:sz w:val="19"/>
                <w:szCs w:val="19"/>
              </w:rPr>
              <w:t xml:space="preserve">Run a saved custom report (Vol.1 BC-13)</w:t>
            </w:r>
          </w:p>
        </w:tc>
      </w:tr>
    </w:tbl>
    <w:p>
      <w:r>
        <w:br w:type="page"/>
      </w:r>
    </w:p>
    <w:p>
      <w:pPr>
        <w:pStyle w:val="Heading2"/>
        <w:spacing w:before="300" w:after="150"/>
      </w:pPr>
      <w:r>
        <w:rPr>
          <w:b/>
          <w:bCs/>
          <w:color w:val="2E75B6"/>
          <w:sz w:val="26"/>
          <w:szCs w:val="26"/>
        </w:rPr>
        <w:t xml:space="preserve">8. Request/Response Examples</w:t>
      </w:r>
    </w:p>
    <w:p>
      <w:pPr>
        <w:pStyle w:val="Heading3"/>
        <w:spacing w:before="200" w:after="100"/>
      </w:pPr>
      <w:r>
        <w:rPr>
          <w:b/>
          <w:bCs/>
          <w:color w:val="1F3864"/>
          <w:sz w:val="23"/>
          <w:szCs w:val="23"/>
        </w:rPr>
        <w:t xml:space="preserve">8.1 Create Invoice</w:t>
      </w:r>
    </w:p>
    <w:p>
      <w:pPr>
        <w:spacing w:before="200" w:after="60"/>
      </w:pPr>
      <w:r>
        <w:rPr>
          <w:b/>
          <w:bCs/>
          <w:i/>
          <w:iCs/>
          <w:color w:val="2E75B6"/>
          <w:sz w:val="20"/>
          <w:szCs w:val="20"/>
        </w:rPr>
        <w:t xml:space="preserve">POST /v1/invoices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Request:</w:t>
            </w:r>
          </w:p>
          <w:p>
            <w:r>
              <w:rPr>
                <w:color w:val="333333"/>
                <w:sz w:val="18"/>
                <w:szCs w:val="18"/>
                <w:rFonts w:ascii="Consolas" w:cs="Consolas" w:eastAsia="Consolas" w:hAnsi="Consolas"/>
              </w:rPr>
              <w:t xml:space="preserve">{</w:t>
            </w:r>
          </w:p>
          <w:p>
            <w:r>
              <w:rPr>
                <w:color w:val="333333"/>
                <w:sz w:val="18"/>
                <w:szCs w:val="18"/>
                <w:rFonts w:ascii="Consolas" w:cs="Consolas" w:eastAsia="Consolas" w:hAnsi="Consolas"/>
              </w:rPr>
              <w:t xml:space="preserve">  "customerId": "cus_7f21a",</w:t>
            </w:r>
          </w:p>
          <w:p>
            <w:r>
              <w:rPr>
                <w:color w:val="333333"/>
                <w:sz w:val="18"/>
                <w:szCs w:val="18"/>
                <w:rFonts w:ascii="Consolas" w:cs="Consolas" w:eastAsia="Consolas" w:hAnsi="Consolas"/>
              </w:rPr>
              <w:t xml:space="preserve">  "currency": "USD",</w:t>
            </w:r>
          </w:p>
          <w:p>
            <w:r>
              <w:rPr>
                <w:color w:val="333333"/>
                <w:sz w:val="18"/>
                <w:szCs w:val="18"/>
                <w:rFonts w:ascii="Consolas" w:cs="Consolas" w:eastAsia="Consolas" w:hAnsi="Consolas"/>
              </w:rPr>
              <w:t xml:space="preserve">  "dueDate": "2026-08-15",</w:t>
            </w:r>
          </w:p>
          <w:p>
            <w:r>
              <w:rPr>
                <w:color w:val="333333"/>
                <w:sz w:val="18"/>
                <w:szCs w:val="18"/>
                <w:rFonts w:ascii="Consolas" w:cs="Consolas" w:eastAsia="Consolas" w:hAnsi="Consolas"/>
              </w:rPr>
              <w:t xml:space="preserve">  "lineItems": [</w:t>
            </w:r>
          </w:p>
          <w:p>
            <w:r>
              <w:rPr>
                <w:color w:val="333333"/>
                <w:sz w:val="18"/>
                <w:szCs w:val="18"/>
                <w:rFonts w:ascii="Consolas" w:cs="Consolas" w:eastAsia="Consolas" w:hAnsi="Consolas"/>
              </w:rPr>
              <w:t xml:space="preserve">    { "itemId": "itm_44a1", "quantity": 2, "unitPrice": 250.00 }</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w:t>
            </w:r>
          </w:p>
          <w:p>
            <w:r>
              <w:rPr>
                <w:color w:val="333333"/>
                <w:sz w:val="18"/>
                <w:szCs w:val="18"/>
                <w:rFonts w:ascii="Consolas" w:cs="Consolas" w:eastAsia="Consolas" w:hAnsi="Consolas"/>
              </w:rPr>
              <w:t xml:space="preserve">Headers: Idempotency-Key: 5c1e-...</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Response (201):</w:t>
            </w:r>
          </w:p>
          <w:p>
            <w:r>
              <w:rPr>
                <w:color w:val="333333"/>
                <w:sz w:val="18"/>
                <w:szCs w:val="18"/>
                <w:rFonts w:ascii="Consolas" w:cs="Consolas" w:eastAsia="Consolas" w:hAnsi="Consolas"/>
              </w:rPr>
              <w:t xml:space="preserve">{</w:t>
            </w:r>
          </w:p>
          <w:p>
            <w:r>
              <w:rPr>
                <w:color w:val="333333"/>
                <w:sz w:val="18"/>
                <w:szCs w:val="18"/>
                <w:rFonts w:ascii="Consolas" w:cs="Consolas" w:eastAsia="Consolas" w:hAnsi="Consolas"/>
              </w:rPr>
              <w:t xml:space="preserve">  "id": "inv_0042",</w:t>
            </w:r>
          </w:p>
          <w:p>
            <w:r>
              <w:rPr>
                <w:color w:val="333333"/>
                <w:sz w:val="18"/>
                <w:szCs w:val="18"/>
                <w:rFonts w:ascii="Consolas" w:cs="Consolas" w:eastAsia="Consolas" w:hAnsi="Consolas"/>
              </w:rPr>
              <w:t xml:space="preserve">  "invoiceNumber": "INV-0042",</w:t>
            </w:r>
          </w:p>
          <w:p>
            <w:r>
              <w:rPr>
                <w:color w:val="333333"/>
                <w:sz w:val="18"/>
                <w:szCs w:val="18"/>
                <w:rFonts w:ascii="Consolas" w:cs="Consolas" w:eastAsia="Consolas" w:hAnsi="Consolas"/>
              </w:rPr>
              <w:t xml:space="preserve">  "status": "Draft",</w:t>
            </w:r>
          </w:p>
          <w:p>
            <w:r>
              <w:rPr>
                <w:color w:val="333333"/>
                <w:sz w:val="18"/>
                <w:szCs w:val="18"/>
                <w:rFonts w:ascii="Consolas" w:cs="Consolas" w:eastAsia="Consolas" w:hAnsi="Consolas"/>
              </w:rPr>
              <w:t xml:space="preserve">  "totalAmount": "500.0000",</w:t>
            </w:r>
          </w:p>
          <w:p>
            <w:r>
              <w:rPr>
                <w:color w:val="333333"/>
                <w:sz w:val="18"/>
                <w:szCs w:val="18"/>
                <w:rFonts w:ascii="Consolas" w:cs="Consolas" w:eastAsia="Consolas" w:hAnsi="Consolas"/>
              </w:rPr>
              <w:t xml:space="preserve">  "balanceDue": "500.0000",</w:t>
            </w:r>
          </w:p>
          <w:p>
            <w:r>
              <w:rPr>
                <w:color w:val="333333"/>
                <w:sz w:val="18"/>
                <w:szCs w:val="18"/>
                <w:rFonts w:ascii="Consolas" w:cs="Consolas" w:eastAsia="Consolas" w:hAnsi="Consolas"/>
              </w:rPr>
              <w:t xml:space="preserve">  "currency": "USD"</w:t>
            </w:r>
          </w:p>
          <w:p>
            <w:r>
              <w:rPr>
                <w:color w:val="333333"/>
                <w:sz w:val="18"/>
                <w:szCs w:val="18"/>
                <w:rFonts w:ascii="Consolas" w:cs="Consolas" w:eastAsia="Consolas" w:hAnsi="Consolas"/>
              </w:rPr>
              <w:t xml:space="preserve">}</w:t>
            </w:r>
          </w:p>
        </w:tc>
      </w:tr>
    </w:tbl>
    <w:p>
      <w:pPr>
        <w:spacing w:after="200"/>
      </w:pPr>
      <w:r>
        <w:rPr>
          <w:sz w:val="10"/>
          <w:szCs w:val="10"/>
        </w:rPr>
      </w:r>
    </w:p>
    <w:p>
      <w:pPr>
        <w:pStyle w:val="Heading3"/>
        <w:spacing w:before="200" w:after="100"/>
      </w:pPr>
      <w:r>
        <w:rPr>
          <w:b/>
          <w:bCs/>
          <w:color w:val="1F3864"/>
          <w:sz w:val="23"/>
          <w:szCs w:val="23"/>
        </w:rPr>
        <w:t xml:space="preserve">8.2 Record Payment</w:t>
      </w:r>
    </w:p>
    <w:p>
      <w:pPr>
        <w:spacing w:before="200" w:after="60"/>
      </w:pPr>
      <w:r>
        <w:rPr>
          <w:b/>
          <w:bCs/>
          <w:i/>
          <w:iCs/>
          <w:color w:val="2E75B6"/>
          <w:sz w:val="20"/>
          <w:szCs w:val="20"/>
        </w:rPr>
        <w:t xml:space="preserve">POST /v1/invoices/inv_0042/payments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Request:</w:t>
            </w:r>
          </w:p>
          <w:p>
            <w:r>
              <w:rPr>
                <w:color w:val="333333"/>
                <w:sz w:val="18"/>
                <w:szCs w:val="18"/>
                <w:rFonts w:ascii="Consolas" w:cs="Consolas" w:eastAsia="Consolas" w:hAnsi="Consolas"/>
              </w:rPr>
              <w:t xml:space="preserve">{ "amount": 500.00, "method": "bank_transfer", "paymentDate": "2026-08-01" }</w:t>
            </w:r>
          </w:p>
          <w:p>
            <w:r>
              <w:rPr>
                <w:color w:val="333333"/>
                <w:sz w:val="18"/>
                <w:szCs w:val="18"/>
                <w:rFonts w:ascii="Consolas" w:cs="Consolas" w:eastAsia="Consolas" w:hAnsi="Consolas"/>
              </w:rPr>
              <w:t xml:space="preserve">Headers: Idempotency-Key: 9a2f-...</w:t>
            </w:r>
          </w:p>
          <w:p>
            <w:r>
              <w:rPr>
                <w:color w:val="333333"/>
                <w:sz w:val="18"/>
                <w:szCs w:val="18"/>
                <w:rFonts w:ascii="Consolas" w:cs="Consolas" w:eastAsia="Consolas" w:hAnsi="Consolas"/>
              </w:rPr>
              <w:t xml:space="preserve"> </w:t>
            </w:r>
          </w:p>
          <w:p>
            <w:r>
              <w:rPr>
                <w:color w:val="333333"/>
                <w:sz w:val="18"/>
                <w:szCs w:val="18"/>
                <w:rFonts w:ascii="Consolas" w:cs="Consolas" w:eastAsia="Consolas" w:hAnsi="Consolas"/>
              </w:rPr>
              <w:t xml:space="preserve">Response (201):</w:t>
            </w:r>
          </w:p>
          <w:p>
            <w:r>
              <w:rPr>
                <w:color w:val="333333"/>
                <w:sz w:val="18"/>
                <w:szCs w:val="18"/>
                <w:rFonts w:ascii="Consolas" w:cs="Consolas" w:eastAsia="Consolas" w:hAnsi="Consolas"/>
              </w:rPr>
              <w:t xml:space="preserve">{</w:t>
            </w:r>
          </w:p>
          <w:p>
            <w:r>
              <w:rPr>
                <w:color w:val="333333"/>
                <w:sz w:val="18"/>
                <w:szCs w:val="18"/>
                <w:rFonts w:ascii="Consolas" w:cs="Consolas" w:eastAsia="Consolas" w:hAnsi="Consolas"/>
              </w:rPr>
              <w:t xml:space="preserve">  "id": "pay_1188",</w:t>
            </w:r>
          </w:p>
          <w:p>
            <w:r>
              <w:rPr>
                <w:color w:val="333333"/>
                <w:sz w:val="18"/>
                <w:szCs w:val="18"/>
                <w:rFonts w:ascii="Consolas" w:cs="Consolas" w:eastAsia="Consolas" w:hAnsi="Consolas"/>
              </w:rPr>
              <w:t xml:space="preserve">  "invoiceId": "inv_0042",</w:t>
            </w:r>
          </w:p>
          <w:p>
            <w:r>
              <w:rPr>
                <w:color w:val="333333"/>
                <w:sz w:val="18"/>
                <w:szCs w:val="18"/>
                <w:rFonts w:ascii="Consolas" w:cs="Consolas" w:eastAsia="Consolas" w:hAnsi="Consolas"/>
              </w:rPr>
              <w:t xml:space="preserve">  "amount": "500.0000",</w:t>
            </w:r>
          </w:p>
          <w:p>
            <w:r>
              <w:rPr>
                <w:color w:val="333333"/>
                <w:sz w:val="18"/>
                <w:szCs w:val="18"/>
                <w:rFonts w:ascii="Consolas" w:cs="Consolas" w:eastAsia="Consolas" w:hAnsi="Consolas"/>
              </w:rPr>
              <w:t xml:space="preserve">  "invoiceStatus": "Paid"</w:t>
            </w:r>
          </w:p>
          <w:p>
            <w:r>
              <w:rPr>
                <w:color w:val="333333"/>
                <w:sz w:val="18"/>
                <w:szCs w:val="18"/>
                <w:rFonts w:ascii="Consolas" w:cs="Consolas" w:eastAsia="Consolas" w:hAnsi="Consolas"/>
              </w:rPr>
              <w:t xml:space="preserve">}</w:t>
            </w:r>
          </w:p>
        </w:tc>
      </w:tr>
    </w:tbl>
    <w:p>
      <w:pPr>
        <w:spacing w:after="200"/>
      </w:pPr>
      <w:r>
        <w:rPr>
          <w:sz w:val="10"/>
          <w:szCs w:val="10"/>
        </w:rPr>
      </w:r>
    </w:p>
    <w:p>
      <w:r>
        <w:br w:type="page"/>
      </w:r>
    </w:p>
    <w:p>
      <w:pPr>
        <w:pStyle w:val="Heading2"/>
        <w:spacing w:before="300" w:after="150"/>
      </w:pPr>
      <w:r>
        <w:rPr>
          <w:b/>
          <w:bCs/>
          <w:color w:val="2E75B6"/>
          <w:sz w:val="26"/>
          <w:szCs w:val="26"/>
        </w:rPr>
        <w:t xml:space="preserve">9. Webhook Payload Catalog (Expands Vol. 5 Section 7.1)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5150"/>
        <w:gridCol w:w="20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Webhook Event</w:t>
            </w:r>
          </w:p>
        </w:tc>
        <w:tc>
          <w:tcPr>
            <w:tcW w:type="dxa" w:w="5150"/>
            <w:shd w:fill="1F3864" w:val="clear"/>
            <w:tcMar>
              <w:top w:type="dxa" w:w="80"/>
              <w:left w:type="dxa" w:w="100"/>
              <w:bottom w:type="dxa" w:w="80"/>
              <w:right w:type="dxa" w:w="100"/>
            </w:tcMar>
            <w:vAlign w:val="center"/>
          </w:tcPr>
          <w:p>
            <w:r>
              <w:rPr>
                <w:b/>
                <w:bCs/>
                <w:color w:val="FFFFFF"/>
                <w:sz w:val="19"/>
                <w:szCs w:val="19"/>
              </w:rPr>
              <w:t xml:space="preserve">Payload Fields (representative)</w:t>
            </w:r>
          </w:p>
        </w:tc>
        <w:tc>
          <w:tcPr>
            <w:tcW w:type="dxa" w:w="2000"/>
            <w:shd w:fill="1F3864" w:val="clear"/>
            <w:tcMar>
              <w:top w:type="dxa" w:w="80"/>
              <w:left w:type="dxa" w:w="100"/>
              <w:bottom w:type="dxa" w:w="80"/>
              <w:right w:type="dxa" w:w="100"/>
            </w:tcMar>
            <w:vAlign w:val="center"/>
          </w:tcPr>
          <w:p>
            <w:r>
              <w:rPr>
                <w:b/>
                <w:bCs/>
                <w:color w:val="FFFFFF"/>
                <w:sz w:val="19"/>
                <w:szCs w:val="19"/>
              </w:rPr>
              <w:t xml:space="preserve">Signed</w:t>
            </w:r>
          </w:p>
        </w:tc>
      </w:tr>
      <w:tr>
        <w:tc>
          <w:tcPr>
            <w:tcW w:type="dxa" w:w="2200"/>
            <w:shd w:fill="FFFFFF" w:val="clear"/>
            <w:tcMar>
              <w:top w:type="dxa" w:w="70"/>
              <w:left w:type="dxa" w:w="100"/>
              <w:bottom w:type="dxa" w:w="70"/>
              <w:right w:type="dxa" w:w="100"/>
            </w:tcMar>
          </w:tcPr>
          <w:p>
            <w:r>
              <w:rPr>
                <w:sz w:val="19"/>
                <w:szCs w:val="19"/>
              </w:rPr>
              <w:t xml:space="preserve">invoice.sent</w:t>
            </w:r>
          </w:p>
        </w:tc>
        <w:tc>
          <w:tcPr>
            <w:tcW w:type="dxa" w:w="5150"/>
            <w:shd w:fill="FFFFFF" w:val="clear"/>
            <w:tcMar>
              <w:top w:type="dxa" w:w="70"/>
              <w:left w:type="dxa" w:w="100"/>
              <w:bottom w:type="dxa" w:w="70"/>
              <w:right w:type="dxa" w:w="100"/>
            </w:tcMar>
          </w:tcPr>
          <w:p>
            <w:r>
              <w:rPr>
                <w:sz w:val="19"/>
                <w:szCs w:val="19"/>
              </w:rPr>
              <w:t xml:space="preserve">invoiceId, invoiceNumber, customerId, totalAmount, currency, sentAt</w:t>
            </w:r>
          </w:p>
        </w:tc>
        <w:tc>
          <w:tcPr>
            <w:tcW w:type="dxa" w:w="2000"/>
            <w:shd w:fill="FFFFFF" w:val="clear"/>
            <w:tcMar>
              <w:top w:type="dxa" w:w="70"/>
              <w:left w:type="dxa" w:w="100"/>
              <w:bottom w:type="dxa" w:w="70"/>
              <w:right w:type="dxa" w:w="100"/>
            </w:tcMar>
          </w:tcPr>
          <w:p>
            <w:r>
              <w:rPr>
                <w:sz w:val="19"/>
                <w:szCs w:val="19"/>
              </w:rPr>
              <w:t xml:space="preserve">Yes (HMAC-SHA256, Vol.5 Section 7.1)</w:t>
            </w:r>
          </w:p>
        </w:tc>
      </w:tr>
      <w:tr>
        <w:tc>
          <w:tcPr>
            <w:tcW w:type="dxa" w:w="2200"/>
            <w:shd w:fill="DCE6F1" w:val="clear"/>
            <w:tcMar>
              <w:top w:type="dxa" w:w="70"/>
              <w:left w:type="dxa" w:w="100"/>
              <w:bottom w:type="dxa" w:w="70"/>
              <w:right w:type="dxa" w:w="100"/>
            </w:tcMar>
          </w:tcPr>
          <w:p>
            <w:r>
              <w:rPr>
                <w:sz w:val="19"/>
                <w:szCs w:val="19"/>
              </w:rPr>
              <w:t xml:space="preserve">invoice.paid</w:t>
            </w:r>
          </w:p>
        </w:tc>
        <w:tc>
          <w:tcPr>
            <w:tcW w:type="dxa" w:w="5150"/>
            <w:shd w:fill="DCE6F1" w:val="clear"/>
            <w:tcMar>
              <w:top w:type="dxa" w:w="70"/>
              <w:left w:type="dxa" w:w="100"/>
              <w:bottom w:type="dxa" w:w="70"/>
              <w:right w:type="dxa" w:w="100"/>
            </w:tcMar>
          </w:tcPr>
          <w:p>
            <w:r>
              <w:rPr>
                <w:sz w:val="19"/>
                <w:szCs w:val="19"/>
              </w:rPr>
              <w:t xml:space="preserve">invoiceId, paymentId, amount, balanceDue, paidAt</w:t>
            </w:r>
          </w:p>
        </w:tc>
        <w:tc>
          <w:tcPr>
            <w:tcW w:type="dxa" w:w="2000"/>
            <w:shd w:fill="DCE6F1" w:val="clear"/>
            <w:tcMar>
              <w:top w:type="dxa" w:w="70"/>
              <w:left w:type="dxa" w:w="100"/>
              <w:bottom w:type="dxa" w:w="70"/>
              <w:right w:type="dxa" w:w="100"/>
            </w:tcMar>
          </w:tcPr>
          <w:p>
            <w:r>
              <w:rPr>
                <w:sz w:val="19"/>
                <w:szCs w:val="19"/>
              </w:rPr>
              <w:t xml:space="preserve">Yes</w:t>
            </w:r>
          </w:p>
        </w:tc>
      </w:tr>
      <w:tr>
        <w:tc>
          <w:tcPr>
            <w:tcW w:type="dxa" w:w="2200"/>
            <w:shd w:fill="FFFFFF" w:val="clear"/>
            <w:tcMar>
              <w:top w:type="dxa" w:w="70"/>
              <w:left w:type="dxa" w:w="100"/>
              <w:bottom w:type="dxa" w:w="70"/>
              <w:right w:type="dxa" w:w="100"/>
            </w:tcMar>
          </w:tcPr>
          <w:p>
            <w:r>
              <w:rPr>
                <w:sz w:val="19"/>
                <w:szCs w:val="19"/>
              </w:rPr>
              <w:t xml:space="preserve">bill.approved</w:t>
            </w:r>
          </w:p>
        </w:tc>
        <w:tc>
          <w:tcPr>
            <w:tcW w:type="dxa" w:w="5150"/>
            <w:shd w:fill="FFFFFF" w:val="clear"/>
            <w:tcMar>
              <w:top w:type="dxa" w:w="70"/>
              <w:left w:type="dxa" w:w="100"/>
              <w:bottom w:type="dxa" w:w="70"/>
              <w:right w:type="dxa" w:w="100"/>
            </w:tcMar>
          </w:tcPr>
          <w:p>
            <w:r>
              <w:rPr>
                <w:sz w:val="19"/>
                <w:szCs w:val="19"/>
              </w:rPr>
              <w:t xml:space="preserve">billId, vendorId, totalAmount, approvedAt</w:t>
            </w:r>
          </w:p>
        </w:tc>
        <w:tc>
          <w:tcPr>
            <w:tcW w:type="dxa" w:w="2000"/>
            <w:shd w:fill="FFFFFF" w:val="clear"/>
            <w:tcMar>
              <w:top w:type="dxa" w:w="70"/>
              <w:left w:type="dxa" w:w="100"/>
              <w:bottom w:type="dxa" w:w="70"/>
              <w:right w:type="dxa" w:w="100"/>
            </w:tcMar>
          </w:tcPr>
          <w:p>
            <w:r>
              <w:rPr>
                <w:sz w:val="19"/>
                <w:szCs w:val="19"/>
              </w:rPr>
              <w:t xml:space="preserve">Yes</w:t>
            </w:r>
          </w:p>
        </w:tc>
      </w:tr>
      <w:tr>
        <w:tc>
          <w:tcPr>
            <w:tcW w:type="dxa" w:w="2200"/>
            <w:shd w:fill="DCE6F1" w:val="clear"/>
            <w:tcMar>
              <w:top w:type="dxa" w:w="70"/>
              <w:left w:type="dxa" w:w="100"/>
              <w:bottom w:type="dxa" w:w="70"/>
              <w:right w:type="dxa" w:w="100"/>
            </w:tcMar>
          </w:tcPr>
          <w:p>
            <w:r>
              <w:rPr>
                <w:sz w:val="19"/>
                <w:szCs w:val="19"/>
              </w:rPr>
              <w:t xml:space="preserve">payment.failed</w:t>
            </w:r>
          </w:p>
        </w:tc>
        <w:tc>
          <w:tcPr>
            <w:tcW w:type="dxa" w:w="5150"/>
            <w:shd w:fill="DCE6F1" w:val="clear"/>
            <w:tcMar>
              <w:top w:type="dxa" w:w="70"/>
              <w:left w:type="dxa" w:w="100"/>
              <w:bottom w:type="dxa" w:w="70"/>
              <w:right w:type="dxa" w:w="100"/>
            </w:tcMar>
          </w:tcPr>
          <w:p>
            <w:r>
              <w:rPr>
                <w:sz w:val="19"/>
                <w:szCs w:val="19"/>
              </w:rPr>
              <w:t xml:space="preserve">paymentId, invoiceId, failureReason, failedAt</w:t>
            </w:r>
          </w:p>
        </w:tc>
        <w:tc>
          <w:tcPr>
            <w:tcW w:type="dxa" w:w="2000"/>
            <w:shd w:fill="DCE6F1" w:val="clear"/>
            <w:tcMar>
              <w:top w:type="dxa" w:w="70"/>
              <w:left w:type="dxa" w:w="100"/>
              <w:bottom w:type="dxa" w:w="70"/>
              <w:right w:type="dxa" w:w="100"/>
            </w:tcMar>
          </w:tcPr>
          <w:p>
            <w:r>
              <w:rPr>
                <w:sz w:val="19"/>
                <w:szCs w:val="19"/>
              </w:rPr>
              <w:t xml:space="preserve">Yes</w:t>
            </w:r>
          </w:p>
        </w:tc>
      </w:tr>
      <w:tr>
        <w:tc>
          <w:tcPr>
            <w:tcW w:type="dxa" w:w="2200"/>
            <w:shd w:fill="FFFFFF" w:val="clear"/>
            <w:tcMar>
              <w:top w:type="dxa" w:w="70"/>
              <w:left w:type="dxa" w:w="100"/>
              <w:bottom w:type="dxa" w:w="70"/>
              <w:right w:type="dxa" w:w="100"/>
            </w:tcMar>
          </w:tcPr>
          <w:p>
            <w:r>
              <w:rPr>
                <w:sz w:val="19"/>
                <w:szCs w:val="19"/>
              </w:rPr>
              <w:t xml:space="preserve">journal.posted</w:t>
            </w:r>
          </w:p>
        </w:tc>
        <w:tc>
          <w:tcPr>
            <w:tcW w:type="dxa" w:w="5150"/>
            <w:shd w:fill="FFFFFF" w:val="clear"/>
            <w:tcMar>
              <w:top w:type="dxa" w:w="70"/>
              <w:left w:type="dxa" w:w="100"/>
              <w:bottom w:type="dxa" w:w="70"/>
              <w:right w:type="dxa" w:w="100"/>
            </w:tcMar>
          </w:tcPr>
          <w:p>
            <w:r>
              <w:rPr>
                <w:sz w:val="19"/>
                <w:szCs w:val="19"/>
              </w:rPr>
              <w:t xml:space="preserve">journalEntryId, accountIds, totalDebit, totalCredit, postedAt</w:t>
            </w:r>
          </w:p>
        </w:tc>
        <w:tc>
          <w:tcPr>
            <w:tcW w:type="dxa" w:w="2000"/>
            <w:shd w:fill="FFFFFF" w:val="clear"/>
            <w:tcMar>
              <w:top w:type="dxa" w:w="70"/>
              <w:left w:type="dxa" w:w="100"/>
              <w:bottom w:type="dxa" w:w="70"/>
              <w:right w:type="dxa" w:w="100"/>
            </w:tcMar>
          </w:tcPr>
          <w:p>
            <w:r>
              <w:rPr>
                <w:sz w:val="19"/>
                <w:szCs w:val="19"/>
              </w:rPr>
              <w:t xml:space="preserve">Yes</w:t>
            </w:r>
          </w:p>
        </w:tc>
      </w:tr>
    </w:tbl>
    <w:p>
      <w:r>
        <w:br w:type="page"/>
      </w:r>
    </w:p>
    <w:p>
      <w:pPr>
        <w:pStyle w:val="Heading2"/>
        <w:spacing w:before="300" w:after="150"/>
      </w:pPr>
      <w:r>
        <w:rPr>
          <w:b/>
          <w:bCs/>
          <w:color w:val="2E75B6"/>
          <w:sz w:val="26"/>
          <w:szCs w:val="26"/>
        </w:rPr>
        <w:t xml:space="preserve">10. Error Code Reference (Formalizing Vol. 3 Section 4.3)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50"/>
      </w:tblGrid>
      <w:tr>
        <w:trPr>
          <w:tblHeader/>
        </w:trPr>
        <w:tc>
          <w:tcPr>
            <w:tcW w:type="dxa" w:w="3200"/>
            <w:shd w:fill="1F3864" w:val="clear"/>
            <w:tcMar>
              <w:top w:type="dxa" w:w="80"/>
              <w:left w:type="dxa" w:w="100"/>
              <w:bottom w:type="dxa" w:w="80"/>
              <w:right w:type="dxa" w:w="100"/>
            </w:tcMar>
            <w:vAlign w:val="center"/>
          </w:tcPr>
          <w:p>
            <w:r>
              <w:rPr>
                <w:b/>
                <w:bCs/>
                <w:color w:val="FFFFFF"/>
                <w:sz w:val="19"/>
                <w:szCs w:val="19"/>
              </w:rPr>
              <w:t xml:space="preserve">Error Code</w:t>
            </w:r>
          </w:p>
        </w:tc>
        <w:tc>
          <w:tcPr>
            <w:tcW w:type="dxa" w:w="1600"/>
            <w:shd w:fill="1F3864" w:val="clear"/>
            <w:tcMar>
              <w:top w:type="dxa" w:w="80"/>
              <w:left w:type="dxa" w:w="100"/>
              <w:bottom w:type="dxa" w:w="80"/>
              <w:right w:type="dxa" w:w="100"/>
            </w:tcMar>
            <w:vAlign w:val="center"/>
          </w:tcPr>
          <w:p>
            <w:r>
              <w:rPr>
                <w:b/>
                <w:bCs/>
                <w:color w:val="FFFFFF"/>
                <w:sz w:val="19"/>
                <w:szCs w:val="19"/>
              </w:rPr>
              <w:t xml:space="preserve">HTTP Status</w:t>
            </w:r>
          </w:p>
        </w:tc>
        <w:tc>
          <w:tcPr>
            <w:tcW w:type="dxa" w:w="4550"/>
            <w:shd w:fill="1F3864" w:val="clear"/>
            <w:tcMar>
              <w:top w:type="dxa" w:w="80"/>
              <w:left w:type="dxa" w:w="100"/>
              <w:bottom w:type="dxa" w:w="80"/>
              <w:right w:type="dxa" w:w="100"/>
            </w:tcMar>
            <w:vAlign w:val="center"/>
          </w:tcPr>
          <w:p>
            <w:r>
              <w:rPr>
                <w:b/>
                <w:bCs/>
                <w:color w:val="FFFFFF"/>
                <w:sz w:val="19"/>
                <w:szCs w:val="19"/>
              </w:rPr>
              <w:t xml:space="preserve">Meaning</w:t>
            </w:r>
          </w:p>
        </w:tc>
      </w:tr>
      <w:tr>
        <w:tc>
          <w:tcPr>
            <w:tcW w:type="dxa" w:w="3200"/>
            <w:shd w:fill="FFFFFF" w:val="clear"/>
            <w:tcMar>
              <w:top w:type="dxa" w:w="70"/>
              <w:left w:type="dxa" w:w="100"/>
              <w:bottom w:type="dxa" w:w="70"/>
              <w:right w:type="dxa" w:w="100"/>
            </w:tcMar>
          </w:tcPr>
          <w:p>
            <w:r>
              <w:rPr>
                <w:sz w:val="19"/>
                <w:szCs w:val="19"/>
              </w:rPr>
              <w:t xml:space="preserve">RECEIVABLES.INVOICE_ALREADY_PAID</w:t>
            </w:r>
          </w:p>
        </w:tc>
        <w:tc>
          <w:tcPr>
            <w:tcW w:type="dxa" w:w="1600"/>
            <w:shd w:fill="FFFFFF" w:val="clear"/>
            <w:tcMar>
              <w:top w:type="dxa" w:w="70"/>
              <w:left w:type="dxa" w:w="100"/>
              <w:bottom w:type="dxa" w:w="70"/>
              <w:right w:type="dxa" w:w="100"/>
            </w:tcMar>
          </w:tcPr>
          <w:p>
            <w:r>
              <w:rPr>
                <w:sz w:val="19"/>
                <w:szCs w:val="19"/>
              </w:rPr>
              <w:t xml:space="preserve">409</w:t>
            </w:r>
          </w:p>
        </w:tc>
        <w:tc>
          <w:tcPr>
            <w:tcW w:type="dxa" w:w="4550"/>
            <w:shd w:fill="FFFFFF" w:val="clear"/>
            <w:tcMar>
              <w:top w:type="dxa" w:w="70"/>
              <w:left w:type="dxa" w:w="100"/>
              <w:bottom w:type="dxa" w:w="70"/>
              <w:right w:type="dxa" w:w="100"/>
            </w:tcMar>
          </w:tcPr>
          <w:p>
            <w:r>
              <w:rPr>
                <w:sz w:val="19"/>
                <w:szCs w:val="19"/>
              </w:rPr>
              <w:t xml:space="preserve">Attempted to void/edit an invoice that is already fully paid</w:t>
            </w:r>
          </w:p>
        </w:tc>
      </w:tr>
      <w:tr>
        <w:tc>
          <w:tcPr>
            <w:tcW w:type="dxa" w:w="3200"/>
            <w:shd w:fill="DCE6F1" w:val="clear"/>
            <w:tcMar>
              <w:top w:type="dxa" w:w="70"/>
              <w:left w:type="dxa" w:w="100"/>
              <w:bottom w:type="dxa" w:w="70"/>
              <w:right w:type="dxa" w:w="100"/>
            </w:tcMar>
          </w:tcPr>
          <w:p>
            <w:r>
              <w:rPr>
                <w:sz w:val="19"/>
                <w:szCs w:val="19"/>
              </w:rPr>
              <w:t xml:space="preserve">RECEIVABLES.INSUFFICIENT_STOCK</w:t>
            </w:r>
          </w:p>
        </w:tc>
        <w:tc>
          <w:tcPr>
            <w:tcW w:type="dxa" w:w="1600"/>
            <w:shd w:fill="DCE6F1" w:val="clear"/>
            <w:tcMar>
              <w:top w:type="dxa" w:w="70"/>
              <w:left w:type="dxa" w:w="100"/>
              <w:bottom w:type="dxa" w:w="70"/>
              <w:right w:type="dxa" w:w="100"/>
            </w:tcMar>
          </w:tcPr>
          <w:p>
            <w:r>
              <w:rPr>
                <w:sz w:val="19"/>
                <w:szCs w:val="19"/>
              </w:rPr>
              <w:t xml:space="preserve">422</w:t>
            </w:r>
          </w:p>
        </w:tc>
        <w:tc>
          <w:tcPr>
            <w:tcW w:type="dxa" w:w="4550"/>
            <w:shd w:fill="DCE6F1" w:val="clear"/>
            <w:tcMar>
              <w:top w:type="dxa" w:w="70"/>
              <w:left w:type="dxa" w:w="100"/>
              <w:bottom w:type="dxa" w:w="70"/>
              <w:right w:type="dxa" w:w="100"/>
            </w:tcMar>
          </w:tcPr>
          <w:p>
            <w:r>
              <w:rPr>
                <w:sz w:val="19"/>
                <w:szCs w:val="19"/>
              </w:rPr>
              <w:t xml:space="preserve">Invoice/sales order line item exceeds available inventory (Vol.2 Section 9.1)</w:t>
            </w:r>
          </w:p>
        </w:tc>
      </w:tr>
      <w:tr>
        <w:tc>
          <w:tcPr>
            <w:tcW w:type="dxa" w:w="3200"/>
            <w:shd w:fill="FFFFFF" w:val="clear"/>
            <w:tcMar>
              <w:top w:type="dxa" w:w="70"/>
              <w:left w:type="dxa" w:w="100"/>
              <w:bottom w:type="dxa" w:w="70"/>
              <w:right w:type="dxa" w:w="100"/>
            </w:tcMar>
          </w:tcPr>
          <w:p>
            <w:r>
              <w:rPr>
                <w:sz w:val="19"/>
                <w:szCs w:val="19"/>
              </w:rPr>
              <w:t xml:space="preserve">LEDGER.PERIOD_LOCKED</w:t>
            </w:r>
          </w:p>
        </w:tc>
        <w:tc>
          <w:tcPr>
            <w:tcW w:type="dxa" w:w="1600"/>
            <w:shd w:fill="FFFFFF" w:val="clear"/>
            <w:tcMar>
              <w:top w:type="dxa" w:w="70"/>
              <w:left w:type="dxa" w:w="100"/>
              <w:bottom w:type="dxa" w:w="70"/>
              <w:right w:type="dxa" w:w="100"/>
            </w:tcMar>
          </w:tcPr>
          <w:p>
            <w:r>
              <w:rPr>
                <w:sz w:val="19"/>
                <w:szCs w:val="19"/>
              </w:rPr>
              <w:t xml:space="preserve">409</w:t>
            </w:r>
          </w:p>
        </w:tc>
        <w:tc>
          <w:tcPr>
            <w:tcW w:type="dxa" w:w="4550"/>
            <w:shd w:fill="FFFFFF" w:val="clear"/>
            <w:tcMar>
              <w:top w:type="dxa" w:w="70"/>
              <w:left w:type="dxa" w:w="100"/>
              <w:bottom w:type="dxa" w:w="70"/>
              <w:right w:type="dxa" w:w="100"/>
            </w:tcMar>
          </w:tcPr>
          <w:p>
            <w:r>
              <w:rPr>
                <w:sz w:val="19"/>
                <w:szCs w:val="19"/>
              </w:rPr>
              <w:t xml:space="preserve">Attempted to post to a locked fiscal period (Vol.1 VS-06)</w:t>
            </w:r>
          </w:p>
        </w:tc>
      </w:tr>
      <w:tr>
        <w:tc>
          <w:tcPr>
            <w:tcW w:type="dxa" w:w="3200"/>
            <w:shd w:fill="DCE6F1" w:val="clear"/>
            <w:tcMar>
              <w:top w:type="dxa" w:w="70"/>
              <w:left w:type="dxa" w:w="100"/>
              <w:bottom w:type="dxa" w:w="70"/>
              <w:right w:type="dxa" w:w="100"/>
            </w:tcMar>
          </w:tcPr>
          <w:p>
            <w:r>
              <w:rPr>
                <w:sz w:val="19"/>
                <w:szCs w:val="19"/>
              </w:rPr>
              <w:t xml:space="preserve">LEDGER.UNBALANCED_ENTRY</w:t>
            </w:r>
          </w:p>
        </w:tc>
        <w:tc>
          <w:tcPr>
            <w:tcW w:type="dxa" w:w="1600"/>
            <w:shd w:fill="DCE6F1" w:val="clear"/>
            <w:tcMar>
              <w:top w:type="dxa" w:w="70"/>
              <w:left w:type="dxa" w:w="100"/>
              <w:bottom w:type="dxa" w:w="70"/>
              <w:right w:type="dxa" w:w="100"/>
            </w:tcMar>
          </w:tcPr>
          <w:p>
            <w:r>
              <w:rPr>
                <w:sz w:val="19"/>
                <w:szCs w:val="19"/>
              </w:rPr>
              <w:t xml:space="preserve">422</w:t>
            </w:r>
          </w:p>
        </w:tc>
        <w:tc>
          <w:tcPr>
            <w:tcW w:type="dxa" w:w="4550"/>
            <w:shd w:fill="DCE6F1" w:val="clear"/>
            <w:tcMar>
              <w:top w:type="dxa" w:w="70"/>
              <w:left w:type="dxa" w:w="100"/>
              <w:bottom w:type="dxa" w:w="70"/>
              <w:right w:type="dxa" w:w="100"/>
            </w:tcMar>
          </w:tcPr>
          <w:p>
            <w:r>
              <w:rPr>
                <w:sz w:val="19"/>
                <w:szCs w:val="19"/>
              </w:rPr>
              <w:t xml:space="preserve">Journal entry debits and credits do not match (Vol.4 Section 4.1 chk_one_sided)</w:t>
            </w:r>
          </w:p>
        </w:tc>
      </w:tr>
      <w:tr>
        <w:tc>
          <w:tcPr>
            <w:tcW w:type="dxa" w:w="3200"/>
            <w:shd w:fill="FFFFFF" w:val="clear"/>
            <w:tcMar>
              <w:top w:type="dxa" w:w="70"/>
              <w:left w:type="dxa" w:w="100"/>
              <w:bottom w:type="dxa" w:w="70"/>
              <w:right w:type="dxa" w:w="100"/>
            </w:tcMar>
          </w:tcPr>
          <w:p>
            <w:r>
              <w:rPr>
                <w:sz w:val="19"/>
                <w:szCs w:val="19"/>
              </w:rPr>
              <w:t xml:space="preserve">PAYABLES.MATCH_VARIANCE</w:t>
            </w:r>
          </w:p>
        </w:tc>
        <w:tc>
          <w:tcPr>
            <w:tcW w:type="dxa" w:w="1600"/>
            <w:shd w:fill="FFFFFF" w:val="clear"/>
            <w:tcMar>
              <w:top w:type="dxa" w:w="70"/>
              <w:left w:type="dxa" w:w="100"/>
              <w:bottom w:type="dxa" w:w="70"/>
              <w:right w:type="dxa" w:w="100"/>
            </w:tcMar>
          </w:tcPr>
          <w:p>
            <w:r>
              <w:rPr>
                <w:sz w:val="19"/>
                <w:szCs w:val="19"/>
              </w:rPr>
              <w:t xml:space="preserve">422</w:t>
            </w:r>
          </w:p>
        </w:tc>
        <w:tc>
          <w:tcPr>
            <w:tcW w:type="dxa" w:w="4550"/>
            <w:shd w:fill="FFFFFF" w:val="clear"/>
            <w:tcMar>
              <w:top w:type="dxa" w:w="70"/>
              <w:left w:type="dxa" w:w="100"/>
              <w:bottom w:type="dxa" w:w="70"/>
              <w:right w:type="dxa" w:w="100"/>
            </w:tcMar>
          </w:tcPr>
          <w:p>
            <w:r>
              <w:rPr>
                <w:sz w:val="19"/>
                <w:szCs w:val="19"/>
              </w:rPr>
              <w:t xml:space="preserve">3-way match found a quantity or price variance requiring manual review (Vol.2 Section 9.3)</w:t>
            </w:r>
          </w:p>
        </w:tc>
      </w:tr>
      <w:tr>
        <w:tc>
          <w:tcPr>
            <w:tcW w:type="dxa" w:w="3200"/>
            <w:shd w:fill="DCE6F1" w:val="clear"/>
            <w:tcMar>
              <w:top w:type="dxa" w:w="70"/>
              <w:left w:type="dxa" w:w="100"/>
              <w:bottom w:type="dxa" w:w="70"/>
              <w:right w:type="dxa" w:w="100"/>
            </w:tcMar>
          </w:tcPr>
          <w:p>
            <w:r>
              <w:rPr>
                <w:sz w:val="19"/>
                <w:szCs w:val="19"/>
              </w:rPr>
              <w:t xml:space="preserve">AUTH.MFA_REQUIRED</w:t>
            </w:r>
          </w:p>
        </w:tc>
        <w:tc>
          <w:tcPr>
            <w:tcW w:type="dxa" w:w="1600"/>
            <w:shd w:fill="DCE6F1" w:val="clear"/>
            <w:tcMar>
              <w:top w:type="dxa" w:w="70"/>
              <w:left w:type="dxa" w:w="100"/>
              <w:bottom w:type="dxa" w:w="70"/>
              <w:right w:type="dxa" w:w="100"/>
            </w:tcMar>
          </w:tcPr>
          <w:p>
            <w:r>
              <w:rPr>
                <w:sz w:val="19"/>
                <w:szCs w:val="19"/>
              </w:rPr>
              <w:t xml:space="preserve">403</w:t>
            </w:r>
          </w:p>
        </w:tc>
        <w:tc>
          <w:tcPr>
            <w:tcW w:type="dxa" w:w="4550"/>
            <w:shd w:fill="DCE6F1" w:val="clear"/>
            <w:tcMar>
              <w:top w:type="dxa" w:w="70"/>
              <w:left w:type="dxa" w:w="100"/>
              <w:bottom w:type="dxa" w:w="70"/>
              <w:right w:type="dxa" w:w="100"/>
            </w:tcMar>
          </w:tcPr>
          <w:p>
            <w:r>
              <w:rPr>
                <w:sz w:val="19"/>
                <w:szCs w:val="19"/>
              </w:rPr>
              <w:t xml:space="preserve">Action requires MFA verification (Vol.6 Section 3.1) not yet completed in this session</w:t>
            </w:r>
          </w:p>
        </w:tc>
      </w:tr>
      <w:tr>
        <w:tc>
          <w:tcPr>
            <w:tcW w:type="dxa" w:w="3200"/>
            <w:shd w:fill="FFFFFF" w:val="clear"/>
            <w:tcMar>
              <w:top w:type="dxa" w:w="70"/>
              <w:left w:type="dxa" w:w="100"/>
              <w:bottom w:type="dxa" w:w="70"/>
              <w:right w:type="dxa" w:w="100"/>
            </w:tcMar>
          </w:tcPr>
          <w:p>
            <w:r>
              <w:rPr>
                <w:sz w:val="19"/>
                <w:szCs w:val="19"/>
              </w:rPr>
              <w:t xml:space="preserve">COMMON.IDEMPOTENCY_CONFLICT</w:t>
            </w:r>
          </w:p>
        </w:tc>
        <w:tc>
          <w:tcPr>
            <w:tcW w:type="dxa" w:w="1600"/>
            <w:shd w:fill="FFFFFF" w:val="clear"/>
            <w:tcMar>
              <w:top w:type="dxa" w:w="70"/>
              <w:left w:type="dxa" w:w="100"/>
              <w:bottom w:type="dxa" w:w="70"/>
              <w:right w:type="dxa" w:w="100"/>
            </w:tcMar>
          </w:tcPr>
          <w:p>
            <w:r>
              <w:rPr>
                <w:sz w:val="19"/>
                <w:szCs w:val="19"/>
              </w:rPr>
              <w:t xml:space="preserve">409</w:t>
            </w:r>
          </w:p>
        </w:tc>
        <w:tc>
          <w:tcPr>
            <w:tcW w:type="dxa" w:w="4550"/>
            <w:shd w:fill="FFFFFF" w:val="clear"/>
            <w:tcMar>
              <w:top w:type="dxa" w:w="70"/>
              <w:left w:type="dxa" w:w="100"/>
              <w:bottom w:type="dxa" w:w="70"/>
              <w:right w:type="dxa" w:w="100"/>
            </w:tcMar>
          </w:tcPr>
          <w:p>
            <w:r>
              <w:rPr>
                <w:sz w:val="19"/>
                <w:szCs w:val="19"/>
              </w:rPr>
              <w:t xml:space="preserve">Idempotency-Key reused with a different request body</w:t>
            </w:r>
          </w:p>
        </w:tc>
      </w:tr>
      <w:tr>
        <w:tc>
          <w:tcPr>
            <w:tcW w:type="dxa" w:w="3200"/>
            <w:shd w:fill="DCE6F1" w:val="clear"/>
            <w:tcMar>
              <w:top w:type="dxa" w:w="70"/>
              <w:left w:type="dxa" w:w="100"/>
              <w:bottom w:type="dxa" w:w="70"/>
              <w:right w:type="dxa" w:w="100"/>
            </w:tcMar>
          </w:tcPr>
          <w:p>
            <w:r>
              <w:rPr>
                <w:sz w:val="19"/>
                <w:szCs w:val="19"/>
              </w:rPr>
              <w:t xml:space="preserve">COMMON.RATE_LIMITED</w:t>
            </w:r>
          </w:p>
        </w:tc>
        <w:tc>
          <w:tcPr>
            <w:tcW w:type="dxa" w:w="1600"/>
            <w:shd w:fill="DCE6F1" w:val="clear"/>
            <w:tcMar>
              <w:top w:type="dxa" w:w="70"/>
              <w:left w:type="dxa" w:w="100"/>
              <w:bottom w:type="dxa" w:w="70"/>
              <w:right w:type="dxa" w:w="100"/>
            </w:tcMar>
          </w:tcPr>
          <w:p>
            <w:r>
              <w:rPr>
                <w:sz w:val="19"/>
                <w:szCs w:val="19"/>
              </w:rPr>
              <w:t xml:space="preserve">429</w:t>
            </w:r>
          </w:p>
        </w:tc>
        <w:tc>
          <w:tcPr>
            <w:tcW w:type="dxa" w:w="4550"/>
            <w:shd w:fill="DCE6F1" w:val="clear"/>
            <w:tcMar>
              <w:top w:type="dxa" w:w="70"/>
              <w:left w:type="dxa" w:w="100"/>
              <w:bottom w:type="dxa" w:w="70"/>
              <w:right w:type="dxa" w:w="100"/>
            </w:tcMar>
          </w:tcPr>
          <w:p>
            <w:r>
              <w:rPr>
                <w:sz w:val="19"/>
                <w:szCs w:val="19"/>
              </w:rPr>
              <w:t xml:space="preserve">Tenant/API-key rate limit exceeded (Vol.3 Section 7.1, Vol.5 Section 7.2)</w:t>
            </w:r>
          </w:p>
        </w:tc>
      </w:tr>
    </w:tbl>
    <w:p>
      <w:r>
        <w:br w:type="page"/>
      </w:r>
    </w:p>
    <w:p>
      <w:pPr>
        <w:pStyle w:val="Heading2"/>
        <w:spacing w:before="300" w:after="150"/>
      </w:pPr>
      <w:r>
        <w:rPr>
          <w:b/>
          <w:bCs/>
          <w:color w:val="2E75B6"/>
          <w:sz w:val="26"/>
          <w:szCs w:val="26"/>
        </w:rPr>
        <w:t xml:space="preserve">11. API Versioning &amp; Deprecation Policy</w:t>
      </w:r>
    </w:p>
    <w:p>
      <w:pPr>
        <w:pStyle w:val="ListParagraph"/>
        <w:numPr>
          <w:ilvl w:val="0"/>
          <w:numId w:val="1"/>
        </w:numPr>
        <w:spacing w:after="80"/>
      </w:pPr>
      <w:r>
        <w:rPr>
          <w:sz w:val="22"/>
          <w:szCs w:val="22"/>
        </w:rPr>
        <w:t xml:space="preserve">A new major version (/v2) is introduced only for breaking changes; additive fields and new optional parameters never require a version bump (Vol.3 Section 5).</w:t>
      </w:r>
    </w:p>
    <w:p>
      <w:pPr>
        <w:pStyle w:val="ListParagraph"/>
        <w:numPr>
          <w:ilvl w:val="0"/>
          <w:numId w:val="1"/>
        </w:numPr>
        <w:spacing w:after="80"/>
      </w:pPr>
      <w:r>
        <w:rPr>
          <w:sz w:val="22"/>
          <w:szCs w:val="22"/>
        </w:rPr>
        <w:t xml:space="preserve">A deprecated version is supported for a minimum of 12 months after its successor ships, with deprecation notices returned via a response header on every call.</w:t>
      </w:r>
    </w:p>
    <w:p>
      <w:pPr>
        <w:pStyle w:val="ListParagraph"/>
        <w:numPr>
          <w:ilvl w:val="0"/>
          <w:numId w:val="1"/>
        </w:numPr>
        <w:spacing w:after="80"/>
      </w:pPr>
      <w:r>
        <w:rPr>
          <w:sz w:val="22"/>
          <w:szCs w:val="22"/>
        </w:rPr>
        <w:t xml:space="preserve">Webhook payload schemas (Section 9) follow the same additive-only rule as internal domain events (Vol.3 Section 4.2 CS-06); a breaking payload change ships as a new event name, not a mutated existing one, so existing integrator subscriptions never silently break.</w:t>
      </w:r>
    </w:p>
    <w:p>
      <w:r>
        <w:br w:type="page"/>
      </w:r>
    </w:p>
    <w:p>
      <w:pPr>
        <w:pStyle w:val="Heading2"/>
        <w:spacing w:before="300" w:after="150"/>
      </w:pPr>
      <w:r>
        <w:rPr>
          <w:b/>
          <w:bCs/>
          <w:color w:val="2E75B6"/>
          <w:sz w:val="26"/>
          <w:szCs w:val="26"/>
        </w:rPr>
        <w:t xml:space="preserve">12. Developer Portal &amp; SDK Strategy</w:t>
      </w:r>
    </w:p>
    <w:p>
      <w:pPr>
        <w:spacing w:after="160" w:line="276"/>
      </w:pPr>
      <w:r>
        <w:rPr>
          <w:b w:val="false"/>
          <w:bCs w:val="false"/>
          <w:i w:val="false"/>
          <w:iCs w:val="false"/>
          <w:color w:val="1A1A1A"/>
          <w:sz w:val="22"/>
          <w:szCs w:val="22"/>
        </w:rPr>
        <w:t xml:space="preserve">A public developer portal (documentation, API key management, webhook subscription management, Vol.5 Section 7.1) is a Release 2/3 capability. At Release 1, API documentation is published as a static OpenAPI-generated reference site, and API keys are issued manually by the platform team on request - sufficient for early integrator partners without building a self-service portal before there is integrator demand to justify it.</w:t>
      </w:r>
    </w:p>
    <w:p>
      <w:r>
        <w:br w:type="page"/>
      </w:r>
    </w:p>
    <w:p>
      <w:pPr>
        <w:pStyle w:val="Heading1"/>
        <w:spacing w:before="400" w:after="200"/>
      </w:pPr>
      <w:r>
        <w:rPr>
          <w:b/>
          <w:bCs/>
          <w:color w:val="1F3864"/>
          <w:sz w:val="32"/>
          <w:szCs w:val="32"/>
        </w:rPr>
        <w:t xml:space="preserve">13. Full Blueprint Closure: Nine-Volume Traceability Index</w:t>
      </w:r>
    </w:p>
    <w:p>
      <w:pPr>
        <w:spacing w:after="160" w:line="276"/>
      </w:pPr>
      <w:r>
        <w:rPr>
          <w:b w:val="false"/>
          <w:bCs w:val="false"/>
          <w:i w:val="false"/>
          <w:iCs w:val="false"/>
          <w:color w:val="1A1A1A"/>
          <w:sz w:val="22"/>
          <w:szCs w:val="22"/>
        </w:rPr>
        <w:t xml:space="preserve">This is the capstone index for the entire Enterprise Architecture Blueprint. It maps every volume to what it produced and what still depends on it, so the blueprint can be read as a single coherent system rather than nine separate documents.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700"/>
        <w:gridCol w:w="1750"/>
      </w:tblGrid>
      <w:tr>
        <w:trPr>
          <w:tblHeader/>
        </w:trPr>
        <w:tc>
          <w:tcPr>
            <w:tcW w:type="dxa" w:w="500"/>
            <w:shd w:fill="1F3864" w:val="clear"/>
            <w:tcMar>
              <w:top w:type="dxa" w:w="80"/>
              <w:left w:type="dxa" w:w="100"/>
              <w:bottom w:type="dxa" w:w="80"/>
              <w:right w:type="dxa" w:w="100"/>
            </w:tcMar>
            <w:vAlign w:val="center"/>
          </w:tcPr>
          <w:p>
            <w:r>
              <w:rPr>
                <w:b/>
                <w:bCs/>
                <w:color w:val="FFFFFF"/>
                <w:sz w:val="19"/>
                <w:szCs w:val="19"/>
              </w:rPr>
              <w:t xml:space="preserve">Vol.</w:t>
            </w:r>
          </w:p>
        </w:tc>
        <w:tc>
          <w:tcPr>
            <w:tcW w:type="dxa" w:w="2400"/>
            <w:shd w:fill="1F3864" w:val="clear"/>
            <w:tcMar>
              <w:top w:type="dxa" w:w="80"/>
              <w:left w:type="dxa" w:w="100"/>
              <w:bottom w:type="dxa" w:w="80"/>
              <w:right w:type="dxa" w:w="100"/>
            </w:tcMar>
            <w:vAlign w:val="center"/>
          </w:tcPr>
          <w:p>
            <w:r>
              <w:rPr>
                <w:b/>
                <w:bCs/>
                <w:color w:val="FFFFFF"/>
                <w:sz w:val="19"/>
                <w:szCs w:val="19"/>
              </w:rPr>
              <w:t xml:space="preserve">Volume Title</w:t>
            </w:r>
          </w:p>
        </w:tc>
        <w:tc>
          <w:tcPr>
            <w:tcW w:type="dxa" w:w="4700"/>
            <w:shd w:fill="1F3864" w:val="clear"/>
            <w:tcMar>
              <w:top w:type="dxa" w:w="80"/>
              <w:left w:type="dxa" w:w="100"/>
              <w:bottom w:type="dxa" w:w="80"/>
              <w:right w:type="dxa" w:w="100"/>
            </w:tcMar>
            <w:vAlign w:val="center"/>
          </w:tcPr>
          <w:p>
            <w:r>
              <w:rPr>
                <w:b/>
                <w:bCs/>
                <w:color w:val="FFFFFF"/>
                <w:sz w:val="19"/>
                <w:szCs w:val="19"/>
              </w:rPr>
              <w:t xml:space="preserve">Core Artifact Produced</w:t>
            </w:r>
          </w:p>
        </w:tc>
        <w:tc>
          <w:tcPr>
            <w:tcW w:type="dxa" w:w="1750"/>
            <w:shd w:fill="1F3864" w:val="clear"/>
            <w:tcMar>
              <w:top w:type="dxa" w:w="80"/>
              <w:left w:type="dxa" w:w="100"/>
              <w:bottom w:type="dxa" w:w="80"/>
              <w:right w:type="dxa" w:w="100"/>
            </w:tcMar>
            <w:vAlign w:val="center"/>
          </w:tcPr>
          <w:p>
            <w:r>
              <w:rPr>
                <w:b/>
                <w:bCs/>
                <w:color w:val="FFFFFF"/>
                <w:sz w:val="19"/>
                <w:szCs w:val="19"/>
              </w:rPr>
              <w:t xml:space="preserve">Consumed By</w:t>
            </w:r>
          </w:p>
        </w:tc>
      </w:tr>
      <w:tr>
        <w:tc>
          <w:tcPr>
            <w:tcW w:type="dxa" w:w="500"/>
            <w:shd w:fill="FFFFFF" w:val="clear"/>
            <w:tcMar>
              <w:top w:type="dxa" w:w="70"/>
              <w:left w:type="dxa" w:w="100"/>
              <w:bottom w:type="dxa" w:w="70"/>
              <w:right w:type="dxa" w:w="100"/>
            </w:tcMar>
          </w:tcPr>
          <w:p>
            <w:r>
              <w:rPr>
                <w:sz w:val="19"/>
                <w:szCs w:val="19"/>
              </w:rPr>
              <w:t xml:space="preserve">1</w:t>
            </w:r>
          </w:p>
        </w:tc>
        <w:tc>
          <w:tcPr>
            <w:tcW w:type="dxa" w:w="2400"/>
            <w:shd w:fill="FFFFFF" w:val="clear"/>
            <w:tcMar>
              <w:top w:type="dxa" w:w="70"/>
              <w:left w:type="dxa" w:w="100"/>
              <w:bottom w:type="dxa" w:w="70"/>
              <w:right w:type="dxa" w:w="100"/>
            </w:tcMar>
          </w:tcPr>
          <w:p>
            <w:r>
              <w:rPr>
                <w:sz w:val="19"/>
                <w:szCs w:val="19"/>
              </w:rPr>
              <w:t xml:space="preserve">Business Architecture</w:t>
            </w:r>
          </w:p>
        </w:tc>
        <w:tc>
          <w:tcPr>
            <w:tcW w:type="dxa" w:w="4700"/>
            <w:shd w:fill="FFFFFF" w:val="clear"/>
            <w:tcMar>
              <w:top w:type="dxa" w:w="70"/>
              <w:left w:type="dxa" w:w="100"/>
              <w:bottom w:type="dxa" w:w="70"/>
              <w:right w:type="dxa" w:w="100"/>
            </w:tcMar>
          </w:tcPr>
          <w:p>
            <w:r>
              <w:rPr>
                <w:sz w:val="19"/>
                <w:szCs w:val="19"/>
              </w:rPr>
              <w:t xml:space="preserve">21 capability domains (BC-01...BC-21), 12 personas, 6 value streams, module scope catalog</w:t>
            </w:r>
          </w:p>
        </w:tc>
        <w:tc>
          <w:tcPr>
            <w:tcW w:type="dxa" w:w="1750"/>
            <w:shd w:fill="FFFFFF" w:val="clear"/>
            <w:tcMar>
              <w:top w:type="dxa" w:w="70"/>
              <w:left w:type="dxa" w:w="100"/>
              <w:bottom w:type="dxa" w:w="70"/>
              <w:right w:type="dxa" w:w="100"/>
            </w:tcMar>
          </w:tcPr>
          <w:p>
            <w:r>
              <w:rPr>
                <w:sz w:val="19"/>
                <w:szCs w:val="19"/>
              </w:rPr>
              <w:t xml:space="preserve">All subsequent volumes</w:t>
            </w:r>
          </w:p>
        </w:tc>
      </w:tr>
      <w:tr>
        <w:tc>
          <w:tcPr>
            <w:tcW w:type="dxa" w:w="500"/>
            <w:shd w:fill="DCE6F1" w:val="clear"/>
            <w:tcMar>
              <w:top w:type="dxa" w:w="70"/>
              <w:left w:type="dxa" w:w="100"/>
              <w:bottom w:type="dxa" w:w="70"/>
              <w:right w:type="dxa" w:w="100"/>
            </w:tcMar>
          </w:tcPr>
          <w:p>
            <w:r>
              <w:rPr>
                <w:sz w:val="19"/>
                <w:szCs w:val="19"/>
              </w:rPr>
              <w:t xml:space="preserve">2</w:t>
            </w:r>
          </w:p>
        </w:tc>
        <w:tc>
          <w:tcPr>
            <w:tcW w:type="dxa" w:w="2400"/>
            <w:shd w:fill="DCE6F1" w:val="clear"/>
            <w:tcMar>
              <w:top w:type="dxa" w:w="70"/>
              <w:left w:type="dxa" w:w="100"/>
              <w:bottom w:type="dxa" w:w="70"/>
              <w:right w:type="dxa" w:w="100"/>
            </w:tcMar>
          </w:tcPr>
          <w:p>
            <w:r>
              <w:rPr>
                <w:sz w:val="19"/>
                <w:szCs w:val="19"/>
              </w:rPr>
              <w:t xml:space="preserve">Application Architecture</w:t>
            </w:r>
          </w:p>
        </w:tc>
        <w:tc>
          <w:tcPr>
            <w:tcW w:type="dxa" w:w="4700"/>
            <w:shd w:fill="DCE6F1" w:val="clear"/>
            <w:tcMar>
              <w:top w:type="dxa" w:w="70"/>
              <w:left w:type="dxa" w:w="100"/>
              <w:bottom w:type="dxa" w:w="70"/>
              <w:right w:type="dxa" w:w="100"/>
            </w:tcMar>
          </w:tcPr>
          <w:p>
            <w:r>
              <w:rPr>
                <w:sz w:val="19"/>
                <w:szCs w:val="19"/>
              </w:rPr>
              <w:t xml:space="preserve">16 bounded contexts (CTX-01...CTX-16), C4 model, module dependency graph, event catalog</w:t>
            </w:r>
          </w:p>
        </w:tc>
        <w:tc>
          <w:tcPr>
            <w:tcW w:type="dxa" w:w="1750"/>
            <w:shd w:fill="DCE6F1" w:val="clear"/>
            <w:tcMar>
              <w:top w:type="dxa" w:w="70"/>
              <w:left w:type="dxa" w:w="100"/>
              <w:bottom w:type="dxa" w:w="70"/>
              <w:right w:type="dxa" w:w="100"/>
            </w:tcMar>
          </w:tcPr>
          <w:p>
            <w:r>
              <w:rPr>
                <w:sz w:val="19"/>
                <w:szCs w:val="19"/>
              </w:rPr>
              <w:t xml:space="preserve">Vol. 3-9</w:t>
            </w:r>
          </w:p>
        </w:tc>
      </w:tr>
      <w:tr>
        <w:tc>
          <w:tcPr>
            <w:tcW w:type="dxa" w:w="500"/>
            <w:shd w:fill="FFFFFF" w:val="clear"/>
            <w:tcMar>
              <w:top w:type="dxa" w:w="70"/>
              <w:left w:type="dxa" w:w="100"/>
              <w:bottom w:type="dxa" w:w="70"/>
              <w:right w:type="dxa" w:w="100"/>
            </w:tcMar>
          </w:tcPr>
          <w:p>
            <w:r>
              <w:rPr>
                <w:sz w:val="19"/>
                <w:szCs w:val="19"/>
              </w:rPr>
              <w:t xml:space="preserve">3</w:t>
            </w:r>
          </w:p>
        </w:tc>
        <w:tc>
          <w:tcPr>
            <w:tcW w:type="dxa" w:w="2400"/>
            <w:shd w:fill="FFFFFF" w:val="clear"/>
            <w:tcMar>
              <w:top w:type="dxa" w:w="70"/>
              <w:left w:type="dxa" w:w="100"/>
              <w:bottom w:type="dxa" w:w="70"/>
              <w:right w:type="dxa" w:w="100"/>
            </w:tcMar>
          </w:tcPr>
          <w:p>
            <w:r>
              <w:rPr>
                <w:sz w:val="19"/>
                <w:szCs w:val="19"/>
              </w:rPr>
              <w:t xml:space="preserve">Technical Architecture</w:t>
            </w:r>
          </w:p>
        </w:tc>
        <w:tc>
          <w:tcPr>
            <w:tcW w:type="dxa" w:w="4700"/>
            <w:shd w:fill="FFFFFF" w:val="clear"/>
            <w:tcMar>
              <w:top w:type="dxa" w:w="70"/>
              <w:left w:type="dxa" w:w="100"/>
              <w:bottom w:type="dxa" w:w="70"/>
              <w:right w:type="dxa" w:w="100"/>
            </w:tcMar>
          </w:tcPr>
          <w:p>
            <w:r>
              <w:rPr>
                <w:sz w:val="19"/>
                <w:szCs w:val="19"/>
              </w:rPr>
              <w:t xml:space="preserve">Stack decisions (NestJS/React/Postgres/Kafka/Redis/OpenSearch), folder structure, coding standards, logging/caching/queueing, multi-tenancy strategy</w:t>
            </w:r>
          </w:p>
        </w:tc>
        <w:tc>
          <w:tcPr>
            <w:tcW w:type="dxa" w:w="1750"/>
            <w:shd w:fill="FFFFFF" w:val="clear"/>
            <w:tcMar>
              <w:top w:type="dxa" w:w="70"/>
              <w:left w:type="dxa" w:w="100"/>
              <w:bottom w:type="dxa" w:w="70"/>
              <w:right w:type="dxa" w:w="100"/>
            </w:tcMar>
          </w:tcPr>
          <w:p>
            <w:r>
              <w:rPr>
                <w:sz w:val="19"/>
                <w:szCs w:val="19"/>
              </w:rPr>
              <w:t xml:space="preserve">Vol. 4-9</w:t>
            </w:r>
          </w:p>
        </w:tc>
      </w:tr>
      <w:tr>
        <w:tc>
          <w:tcPr>
            <w:tcW w:type="dxa" w:w="500"/>
            <w:shd w:fill="DCE6F1" w:val="clear"/>
            <w:tcMar>
              <w:top w:type="dxa" w:w="70"/>
              <w:left w:type="dxa" w:w="100"/>
              <w:bottom w:type="dxa" w:w="70"/>
              <w:right w:type="dxa" w:w="100"/>
            </w:tcMar>
          </w:tcPr>
          <w:p>
            <w:r>
              <w:rPr>
                <w:sz w:val="19"/>
                <w:szCs w:val="19"/>
              </w:rPr>
              <w:t xml:space="preserve">4</w:t>
            </w:r>
          </w:p>
        </w:tc>
        <w:tc>
          <w:tcPr>
            <w:tcW w:type="dxa" w:w="2400"/>
            <w:shd w:fill="DCE6F1" w:val="clear"/>
            <w:tcMar>
              <w:top w:type="dxa" w:w="70"/>
              <w:left w:type="dxa" w:w="100"/>
              <w:bottom w:type="dxa" w:w="70"/>
              <w:right w:type="dxa" w:w="100"/>
            </w:tcMar>
          </w:tcPr>
          <w:p>
            <w:r>
              <w:rPr>
                <w:sz w:val="19"/>
                <w:szCs w:val="19"/>
              </w:rPr>
              <w:t xml:space="preserve">Data Architecture</w:t>
            </w:r>
          </w:p>
        </w:tc>
        <w:tc>
          <w:tcPr>
            <w:tcW w:type="dxa" w:w="4700"/>
            <w:shd w:fill="DCE6F1" w:val="clear"/>
            <w:tcMar>
              <w:top w:type="dxa" w:w="70"/>
              <w:left w:type="dxa" w:w="100"/>
              <w:bottom w:type="dxa" w:w="70"/>
              <w:right w:type="dxa" w:w="100"/>
            </w:tcMar>
          </w:tcPr>
          <w:p>
            <w:r>
              <w:rPr>
                <w:sz w:val="19"/>
                <w:szCs w:val="19"/>
              </w:rPr>
              <w:t xml:space="preserve">ER diagrams, physical schema (DDL), RLS implementation, indexing/partitioning, migration &amp; retention strategy</w:t>
            </w:r>
          </w:p>
        </w:tc>
        <w:tc>
          <w:tcPr>
            <w:tcW w:type="dxa" w:w="1750"/>
            <w:shd w:fill="DCE6F1" w:val="clear"/>
            <w:tcMar>
              <w:top w:type="dxa" w:w="70"/>
              <w:left w:type="dxa" w:w="100"/>
              <w:bottom w:type="dxa" w:w="70"/>
              <w:right w:type="dxa" w:w="100"/>
            </w:tcMar>
          </w:tcPr>
          <w:p>
            <w:r>
              <w:rPr>
                <w:sz w:val="19"/>
                <w:szCs w:val="19"/>
              </w:rPr>
              <w:t xml:space="preserve">Vol. 5-9</w:t>
            </w:r>
          </w:p>
        </w:tc>
      </w:tr>
      <w:tr>
        <w:tc>
          <w:tcPr>
            <w:tcW w:type="dxa" w:w="500"/>
            <w:shd w:fill="FFFFFF" w:val="clear"/>
            <w:tcMar>
              <w:top w:type="dxa" w:w="70"/>
              <w:left w:type="dxa" w:w="100"/>
              <w:bottom w:type="dxa" w:w="70"/>
              <w:right w:type="dxa" w:w="100"/>
            </w:tcMar>
          </w:tcPr>
          <w:p>
            <w:r>
              <w:rPr>
                <w:sz w:val="19"/>
                <w:szCs w:val="19"/>
              </w:rPr>
              <w:t xml:space="preserve">5</w:t>
            </w:r>
          </w:p>
        </w:tc>
        <w:tc>
          <w:tcPr>
            <w:tcW w:type="dxa" w:w="2400"/>
            <w:shd w:fill="FFFFFF" w:val="clear"/>
            <w:tcMar>
              <w:top w:type="dxa" w:w="70"/>
              <w:left w:type="dxa" w:w="100"/>
              <w:bottom w:type="dxa" w:w="70"/>
              <w:right w:type="dxa" w:w="100"/>
            </w:tcMar>
          </w:tcPr>
          <w:p>
            <w:r>
              <w:rPr>
                <w:sz w:val="19"/>
                <w:szCs w:val="19"/>
              </w:rPr>
              <w:t xml:space="preserve">Integration Architecture</w:t>
            </w:r>
          </w:p>
        </w:tc>
        <w:tc>
          <w:tcPr>
            <w:tcW w:type="dxa" w:w="4700"/>
            <w:shd w:fill="FFFFFF" w:val="clear"/>
            <w:tcMar>
              <w:top w:type="dxa" w:w="70"/>
              <w:left w:type="dxa" w:w="100"/>
              <w:bottom w:type="dxa" w:w="70"/>
              <w:right w:type="dxa" w:w="100"/>
            </w:tcMar>
          </w:tcPr>
          <w:p>
            <w:r>
              <w:rPr>
                <w:sz w:val="19"/>
                <w:szCs w:val="19"/>
              </w:rPr>
              <w:t xml:space="preserve">Banking/payment/tax/e-commerce integration design, resilience patterns, public webhook platform</w:t>
            </w:r>
          </w:p>
        </w:tc>
        <w:tc>
          <w:tcPr>
            <w:tcW w:type="dxa" w:w="1750"/>
            <w:shd w:fill="FFFFFF" w:val="clear"/>
            <w:tcMar>
              <w:top w:type="dxa" w:w="70"/>
              <w:left w:type="dxa" w:w="100"/>
              <w:bottom w:type="dxa" w:w="70"/>
              <w:right w:type="dxa" w:w="100"/>
            </w:tcMar>
          </w:tcPr>
          <w:p>
            <w:r>
              <w:rPr>
                <w:sz w:val="19"/>
                <w:szCs w:val="19"/>
              </w:rPr>
              <w:t xml:space="preserve">Vol. 6-9</w:t>
            </w:r>
          </w:p>
        </w:tc>
      </w:tr>
      <w:tr>
        <w:tc>
          <w:tcPr>
            <w:tcW w:type="dxa" w:w="500"/>
            <w:shd w:fill="DCE6F1" w:val="clear"/>
            <w:tcMar>
              <w:top w:type="dxa" w:w="70"/>
              <w:left w:type="dxa" w:w="100"/>
              <w:bottom w:type="dxa" w:w="70"/>
              <w:right w:type="dxa" w:w="100"/>
            </w:tcMar>
          </w:tcPr>
          <w:p>
            <w:r>
              <w:rPr>
                <w:sz w:val="19"/>
                <w:szCs w:val="19"/>
              </w:rPr>
              <w:t xml:space="preserve">6</w:t>
            </w:r>
          </w:p>
        </w:tc>
        <w:tc>
          <w:tcPr>
            <w:tcW w:type="dxa" w:w="2400"/>
            <w:shd w:fill="DCE6F1" w:val="clear"/>
            <w:tcMar>
              <w:top w:type="dxa" w:w="70"/>
              <w:left w:type="dxa" w:w="100"/>
              <w:bottom w:type="dxa" w:w="70"/>
              <w:right w:type="dxa" w:w="100"/>
            </w:tcMar>
          </w:tcPr>
          <w:p>
            <w:r>
              <w:rPr>
                <w:sz w:val="19"/>
                <w:szCs w:val="19"/>
              </w:rPr>
              <w:t xml:space="preserve">Security Architecture</w:t>
            </w:r>
          </w:p>
        </w:tc>
        <w:tc>
          <w:tcPr>
            <w:tcW w:type="dxa" w:w="4700"/>
            <w:shd w:fill="DCE6F1" w:val="clear"/>
            <w:tcMar>
              <w:top w:type="dxa" w:w="70"/>
              <w:left w:type="dxa" w:w="100"/>
              <w:bottom w:type="dxa" w:w="70"/>
              <w:right w:type="dxa" w:w="100"/>
            </w:tcMar>
          </w:tcPr>
          <w:p>
            <w:r>
              <w:rPr>
                <w:sz w:val="19"/>
                <w:szCs w:val="19"/>
              </w:rPr>
              <w:t xml:space="preserve">Threat model, IAM/RBAC, encryption/secrets, defense-in-depth, audit trail, compliance mapping</w:t>
            </w:r>
          </w:p>
        </w:tc>
        <w:tc>
          <w:tcPr>
            <w:tcW w:type="dxa" w:w="1750"/>
            <w:shd w:fill="DCE6F1" w:val="clear"/>
            <w:tcMar>
              <w:top w:type="dxa" w:w="70"/>
              <w:left w:type="dxa" w:w="100"/>
              <w:bottom w:type="dxa" w:w="70"/>
              <w:right w:type="dxa" w:w="100"/>
            </w:tcMar>
          </w:tcPr>
          <w:p>
            <w:r>
              <w:rPr>
                <w:sz w:val="19"/>
                <w:szCs w:val="19"/>
              </w:rPr>
              <w:t xml:space="preserve">Vol. 7-9</w:t>
            </w:r>
          </w:p>
        </w:tc>
      </w:tr>
      <w:tr>
        <w:tc>
          <w:tcPr>
            <w:tcW w:type="dxa" w:w="500"/>
            <w:shd w:fill="FFFFFF" w:val="clear"/>
            <w:tcMar>
              <w:top w:type="dxa" w:w="70"/>
              <w:left w:type="dxa" w:w="100"/>
              <w:bottom w:type="dxa" w:w="70"/>
              <w:right w:type="dxa" w:w="100"/>
            </w:tcMar>
          </w:tcPr>
          <w:p>
            <w:r>
              <w:rPr>
                <w:sz w:val="19"/>
                <w:szCs w:val="19"/>
              </w:rPr>
              <w:t xml:space="preserve">7</w:t>
            </w:r>
          </w:p>
        </w:tc>
        <w:tc>
          <w:tcPr>
            <w:tcW w:type="dxa" w:w="2400"/>
            <w:shd w:fill="FFFFFF" w:val="clear"/>
            <w:tcMar>
              <w:top w:type="dxa" w:w="70"/>
              <w:left w:type="dxa" w:w="100"/>
              <w:bottom w:type="dxa" w:w="70"/>
              <w:right w:type="dxa" w:w="100"/>
            </w:tcMar>
          </w:tcPr>
          <w:p>
            <w:r>
              <w:rPr>
                <w:sz w:val="19"/>
                <w:szCs w:val="19"/>
              </w:rPr>
              <w:t xml:space="preserve">Infrastructure &amp; Deployment</w:t>
            </w:r>
          </w:p>
        </w:tc>
        <w:tc>
          <w:tcPr>
            <w:tcW w:type="dxa" w:w="4700"/>
            <w:shd w:fill="FFFFFF" w:val="clear"/>
            <w:tcMar>
              <w:top w:type="dxa" w:w="70"/>
              <w:left w:type="dxa" w:w="100"/>
              <w:bottom w:type="dxa" w:w="70"/>
              <w:right w:type="dxa" w:w="100"/>
            </w:tcMar>
          </w:tcPr>
          <w:p>
            <w:r>
              <w:rPr>
                <w:sz w:val="19"/>
                <w:szCs w:val="19"/>
              </w:rPr>
              <w:t xml:space="preserve">Cloud/managed-service mapping, deployment topology, CI/CD, scaling, observability, DR</w:t>
            </w:r>
          </w:p>
        </w:tc>
        <w:tc>
          <w:tcPr>
            <w:tcW w:type="dxa" w:w="1750"/>
            <w:shd w:fill="FFFFFF" w:val="clear"/>
            <w:tcMar>
              <w:top w:type="dxa" w:w="70"/>
              <w:left w:type="dxa" w:w="100"/>
              <w:bottom w:type="dxa" w:w="70"/>
              <w:right w:type="dxa" w:w="100"/>
            </w:tcMar>
          </w:tcPr>
          <w:p>
            <w:r>
              <w:rPr>
                <w:sz w:val="19"/>
                <w:szCs w:val="19"/>
              </w:rPr>
              <w:t xml:space="preserve">Vol. 8-9</w:t>
            </w:r>
          </w:p>
        </w:tc>
      </w:tr>
      <w:tr>
        <w:tc>
          <w:tcPr>
            <w:tcW w:type="dxa" w:w="500"/>
            <w:shd w:fill="DCE6F1" w:val="clear"/>
            <w:tcMar>
              <w:top w:type="dxa" w:w="70"/>
              <w:left w:type="dxa" w:w="100"/>
              <w:bottom w:type="dxa" w:w="70"/>
              <w:right w:type="dxa" w:w="100"/>
            </w:tcMar>
          </w:tcPr>
          <w:p>
            <w:r>
              <w:rPr>
                <w:sz w:val="19"/>
                <w:szCs w:val="19"/>
              </w:rPr>
              <w:t xml:space="preserve">8</w:t>
            </w:r>
          </w:p>
        </w:tc>
        <w:tc>
          <w:tcPr>
            <w:tcW w:type="dxa" w:w="2400"/>
            <w:shd w:fill="DCE6F1" w:val="clear"/>
            <w:tcMar>
              <w:top w:type="dxa" w:w="70"/>
              <w:left w:type="dxa" w:w="100"/>
              <w:bottom w:type="dxa" w:w="70"/>
              <w:right w:type="dxa" w:w="100"/>
            </w:tcMar>
          </w:tcPr>
          <w:p>
            <w:r>
              <w:rPr>
                <w:sz w:val="19"/>
                <w:szCs w:val="19"/>
              </w:rPr>
              <w:t xml:space="preserve">Testing &amp; QA Specification</w:t>
            </w:r>
          </w:p>
        </w:tc>
        <w:tc>
          <w:tcPr>
            <w:tcW w:type="dxa" w:w="4700"/>
            <w:shd w:fill="DCE6F1" w:val="clear"/>
            <w:tcMar>
              <w:top w:type="dxa" w:w="70"/>
              <w:left w:type="dxa" w:w="100"/>
              <w:bottom w:type="dxa" w:w="70"/>
              <w:right w:type="dxa" w:w="100"/>
            </w:tcMar>
          </w:tcPr>
          <w:p>
            <w:r>
              <w:rPr>
                <w:sz w:val="19"/>
                <w:szCs w:val="19"/>
              </w:rPr>
              <w:t xml:space="preserve">Test pyramid, security/performance/resilience test plans, UAT acceptance criteria, release gates</w:t>
            </w:r>
          </w:p>
        </w:tc>
        <w:tc>
          <w:tcPr>
            <w:tcW w:type="dxa" w:w="1750"/>
            <w:shd w:fill="DCE6F1" w:val="clear"/>
            <w:tcMar>
              <w:top w:type="dxa" w:w="70"/>
              <w:left w:type="dxa" w:w="100"/>
              <w:bottom w:type="dxa" w:w="70"/>
              <w:right w:type="dxa" w:w="100"/>
            </w:tcMar>
          </w:tcPr>
          <w:p>
            <w:r>
              <w:rPr>
                <w:sz w:val="19"/>
                <w:szCs w:val="19"/>
              </w:rPr>
              <w:t xml:space="preserve">Vol. 9, engineering execution</w:t>
            </w:r>
          </w:p>
        </w:tc>
      </w:tr>
      <w:tr>
        <w:tc>
          <w:tcPr>
            <w:tcW w:type="dxa" w:w="500"/>
            <w:shd w:fill="FFFFFF" w:val="clear"/>
            <w:tcMar>
              <w:top w:type="dxa" w:w="70"/>
              <w:left w:type="dxa" w:w="100"/>
              <w:bottom w:type="dxa" w:w="70"/>
              <w:right w:type="dxa" w:w="100"/>
            </w:tcMar>
          </w:tcPr>
          <w:p>
            <w:r>
              <w:rPr>
                <w:sz w:val="19"/>
                <w:szCs w:val="19"/>
              </w:rPr>
              <w:t xml:space="preserve">9</w:t>
            </w:r>
          </w:p>
        </w:tc>
        <w:tc>
          <w:tcPr>
            <w:tcW w:type="dxa" w:w="2400"/>
            <w:shd w:fill="FFFFFF" w:val="clear"/>
            <w:tcMar>
              <w:top w:type="dxa" w:w="70"/>
              <w:left w:type="dxa" w:w="100"/>
              <w:bottom w:type="dxa" w:w="70"/>
              <w:right w:type="dxa" w:w="100"/>
            </w:tcMar>
          </w:tcPr>
          <w:p>
            <w:r>
              <w:rPr>
                <w:sz w:val="19"/>
                <w:szCs w:val="19"/>
              </w:rPr>
              <w:t xml:space="preserve">UI/UX &amp; API Design (this volume)</w:t>
            </w:r>
          </w:p>
        </w:tc>
        <w:tc>
          <w:tcPr>
            <w:tcW w:type="dxa" w:w="4700"/>
            <w:shd w:fill="FFFFFF" w:val="clear"/>
            <w:tcMar>
              <w:top w:type="dxa" w:w="70"/>
              <w:left w:type="dxa" w:w="100"/>
              <w:bottom w:type="dxa" w:w="70"/>
              <w:right w:type="dxa" w:w="100"/>
            </w:tcMar>
          </w:tcPr>
          <w:p>
            <w:r>
              <w:rPr>
                <w:sz w:val="19"/>
                <w:szCs w:val="19"/>
              </w:rPr>
              <w:t xml:space="preserve">Design system, screen specs, full endpoint catalog, webhook payloads, error codes</w:t>
            </w:r>
          </w:p>
        </w:tc>
        <w:tc>
          <w:tcPr>
            <w:tcW w:type="dxa" w:w="1750"/>
            <w:shd w:fill="FFFFFF" w:val="clear"/>
            <w:tcMar>
              <w:top w:type="dxa" w:w="70"/>
              <w:left w:type="dxa" w:w="100"/>
              <w:bottom w:type="dxa" w:w="70"/>
              <w:right w:type="dxa" w:w="100"/>
            </w:tcMar>
          </w:tcPr>
          <w:p>
            <w:r>
              <w:rPr>
                <w:sz w:val="19"/>
                <w:szCs w:val="19"/>
              </w:rPr>
              <w:t xml:space="preserve">Engineering execution</w:t>
            </w:r>
          </w:p>
        </w:tc>
      </w:tr>
    </w:tbl>
    <w:p>
      <w:r>
        <w:br w:type="page"/>
      </w:r>
    </w:p>
    <w:p>
      <w:pPr>
        <w:pStyle w:val="Heading1"/>
        <w:spacing w:before="400" w:after="200"/>
      </w:pPr>
      <w:r>
        <w:rPr>
          <w:b/>
          <w:bCs/>
          <w:color w:val="1F3864"/>
          <w:sz w:val="32"/>
          <w:szCs w:val="32"/>
        </w:rPr>
        <w:t xml:space="preserve">14. Blueprint Completion Summary &amp; Recommended Next Steps</w:t>
      </w:r>
    </w:p>
    <w:p>
      <w:pPr>
        <w:pStyle w:val="Heading2"/>
        <w:spacing w:before="300" w:after="150"/>
      </w:pPr>
      <w:r>
        <w:rPr>
          <w:b/>
          <w:bCs/>
          <w:color w:val="2E75B6"/>
          <w:sz w:val="26"/>
          <w:szCs w:val="26"/>
        </w:rPr>
        <w:t xml:space="preserve">14.1 What This Blueprint Delivers</w:t>
      </w:r>
    </w:p>
    <w:p>
      <w:pPr>
        <w:spacing w:after="160" w:line="276"/>
      </w:pPr>
      <w:r>
        <w:rPr>
          <w:b w:val="false"/>
          <w:bCs w:val="false"/>
          <w:i w:val="false"/>
          <w:iCs w:val="false"/>
          <w:color w:val="1A1A1A"/>
          <w:sz w:val="22"/>
          <w:szCs w:val="22"/>
        </w:rPr>
        <w:t xml:space="preserve">Nine volumes now define, at enterprise depth, everything a Zoho Books-class platform needs before development begins: what the business does and for whom (Vol.1), how that decomposes into software boundaries (Vol.2), what it is built with and how it is coded (Vol.3), how data is modeled and protected in the database (Vol.4), how it talks to the outside financial world (Vol.5), how it is secured (Vol.6), how it runs in production (Vol.7), how it is proven correct before every release (Vol.8), and what it looks like and how it is called (Vol.9).</w:t>
      </w:r>
    </w:p>
    <w:p>
      <w:pPr>
        <w:pStyle w:val="Heading2"/>
        <w:spacing w:before="300" w:after="150"/>
      </w:pPr>
      <w:r>
        <w:rPr>
          <w:b/>
          <w:bCs/>
          <w:color w:val="2E75B6"/>
          <w:sz w:val="26"/>
          <w:szCs w:val="26"/>
        </w:rPr>
        <w:t xml:space="preserve">14.2 Recommended Next Steps</w:t>
      </w:r>
    </w:p>
    <w:p>
      <w:pPr>
        <w:pStyle w:val="ListParagraph"/>
        <w:numPr>
          <w:ilvl w:val="0"/>
          <w:numId w:val="2"/>
        </w:numPr>
        <w:spacing w:after="80"/>
      </w:pPr>
      <w:r>
        <w:rPr>
          <w:sz w:val="22"/>
          <w:szCs w:val="22"/>
        </w:rPr>
        <w:t xml:space="preserve">Circulate all nine volumes for stakeholder sign-off, prioritizing the open questions flagged at the end of each volume (target market countries, cloud provider confirmation, QA staffing, SLA commitments) since several later decisions (Vol.5, Vol.7) are contingent on those answers.</w:t>
      </w:r>
    </w:p>
    <w:p>
      <w:pPr>
        <w:pStyle w:val="ListParagraph"/>
        <w:numPr>
          <w:ilvl w:val="0"/>
          <w:numId w:val="2"/>
        </w:numPr>
        <w:spacing w:after="80"/>
      </w:pPr>
      <w:r>
        <w:rPr>
          <w:sz w:val="22"/>
          <w:szCs w:val="22"/>
        </w:rPr>
        <w:t xml:space="preserve">Stand up the monorepo (Vol.3 Section 3) and base infrastructure (Vol.7 Section 6 Terraform modules) as the first engineering sprint, before any feature module work begins, so every subsequent module is built against the correct scaffolding from day one.</w:t>
      </w:r>
    </w:p>
    <w:p>
      <w:pPr>
        <w:pStyle w:val="ListParagraph"/>
        <w:numPr>
          <w:ilvl w:val="0"/>
          <w:numId w:val="2"/>
        </w:numPr>
        <w:spacing w:after="80"/>
      </w:pPr>
      <w:r>
        <w:rPr>
          <w:sz w:val="22"/>
          <w:szCs w:val="22"/>
        </w:rPr>
        <w:t xml:space="preserve">Sequence Release 1 (MVP) engineering work by the module priority already fixed in Vol.1 Section 6, respecting the layered dependency order in Vol.2 Section 7 (build Identity &amp; Tenant and Ledger first, since every other module depends on them).</w:t>
      </w:r>
    </w:p>
    <w:p>
      <w:pPr>
        <w:pStyle w:val="ListParagraph"/>
        <w:numPr>
          <w:ilvl w:val="0"/>
          <w:numId w:val="2"/>
        </w:numPr>
        <w:spacing w:after="80"/>
      </w:pPr>
      <w:r>
        <w:rPr>
          <w:sz w:val="22"/>
          <w:szCs w:val="22"/>
        </w:rPr>
        <w:t xml:space="preserve">Treat this blueprint as a living set of documents: when a real implementation decision deviates from what is written here, update the relevant volume rather than letting the documentation and the system silently drift apart - the whole value of this exercise depends on that discipline.</w:t>
      </w:r>
    </w:p>
    <w:p>
      <w:pPr>
        <w:pStyle w:val="Heading2"/>
        <w:spacing w:before="300" w:after="150"/>
      </w:pPr>
      <w:r>
        <w:rPr>
          <w:b/>
          <w:bCs/>
          <w:color w:val="2E75B6"/>
          <w:sz w:val="26"/>
          <w:szCs w:val="26"/>
        </w:rPr>
        <w:t xml:space="preserve">14.3 Closing Note</w:t>
      </w:r>
    </w:p>
    <w:p>
      <w:pPr>
        <w:spacing w:after="160" w:line="276"/>
      </w:pPr>
      <w:r>
        <w:rPr>
          <w:b w:val="false"/>
          <w:bCs w:val="false"/>
          <w:i w:val="false"/>
          <w:iCs w:val="false"/>
          <w:color w:val="1A1A1A"/>
          <w:sz w:val="22"/>
          <w:szCs w:val="22"/>
        </w:rPr>
        <w:t xml:space="preserve">This concludes the nine-volume Enterprise Architecture Blueprint. Thank you for the opportunity to build this out at the depth you asked for - a genuine engineering foundation rather than a template SRS.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Enterprise Architecture Blueprint - Vol. 9: UI/UX &amp; API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Architecture Blueprint - Volume 9: UI/UX &amp; API Design Document</dc:title>
  <dc:creator>Claude</dc:creator>
  <cp:lastModifiedBy>Un-named</cp:lastModifiedBy>
  <cp:revision>1</cp:revision>
  <dcterms:created xsi:type="dcterms:W3CDTF">2026-07-17T12:51:08.398Z</dcterms:created>
  <dcterms:modified xsi:type="dcterms:W3CDTF">2026-07-17T12:51:08.398Z</dcterms:modified>
</cp:coreProperties>
</file>

<file path=docProps/custom.xml><?xml version="1.0" encoding="utf-8"?>
<Properties xmlns="http://schemas.openxmlformats.org/officeDocument/2006/custom-properties" xmlns:vt="http://schemas.openxmlformats.org/officeDocument/2006/docPropsVTypes"/>
</file>