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D115" w14:textId="77777777" w:rsidR="00B07268" w:rsidRPr="00304368" w:rsidRDefault="00000000">
      <w:pPr>
        <w:pStyle w:val="Heading1"/>
        <w:rPr>
          <w:rFonts w:asciiTheme="minorBidi" w:hAnsiTheme="minorBidi" w:cstheme="minorBidi"/>
          <w:color w:val="auto"/>
        </w:rPr>
      </w:pPr>
      <w:r w:rsidRPr="00304368">
        <w:rPr>
          <w:rFonts w:asciiTheme="minorBidi" w:hAnsiTheme="minorBidi" w:cstheme="minorBidi"/>
          <w:color w:val="auto"/>
        </w:rPr>
        <w:t>EcoScore Excel Model – Calculation Methodology</w:t>
      </w:r>
    </w:p>
    <w:p w14:paraId="7663E499" w14:textId="77777777" w:rsidR="00B07268" w:rsidRPr="00304368" w:rsidRDefault="00000000">
      <w:pPr>
        <w:rPr>
          <w:rFonts w:asciiTheme="minorBidi" w:hAnsiTheme="minorBidi"/>
        </w:rPr>
      </w:pPr>
      <w:r w:rsidRPr="00304368">
        <w:rPr>
          <w:rFonts w:asciiTheme="minorBidi" w:hAnsiTheme="minorBidi"/>
        </w:rPr>
        <w:t>This document explains, step by step, how calculations are performed inside the EcoScore Excel model. The Excel file is fully compatible with Excel 2016 and newer versions and uses only standard, non-dynamic Excel functions.</w:t>
      </w:r>
    </w:p>
    <w:p w14:paraId="7145B6D8"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1. Overall Logic</w:t>
      </w:r>
    </w:p>
    <w:p w14:paraId="1A8460A7" w14:textId="77777777" w:rsidR="00B07268" w:rsidRPr="00304368" w:rsidRDefault="00000000">
      <w:pPr>
        <w:rPr>
          <w:rFonts w:asciiTheme="minorBidi" w:hAnsiTheme="minorBidi"/>
        </w:rPr>
      </w:pPr>
      <w:r w:rsidRPr="00304368">
        <w:rPr>
          <w:rFonts w:asciiTheme="minorBidi" w:hAnsiTheme="minorBidi"/>
        </w:rPr>
        <w:t>The model converts material-level Life Cycle Assessment (LCA) proxy values into a single EcoScore (0–100) for a garment. Calculations proceed from material inputs → blended impacts → normalization → weighting → toxicity and circularity adjustments → final score and grade.</w:t>
      </w:r>
    </w:p>
    <w:p w14:paraId="637C9499"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2. Materials Database</w:t>
      </w:r>
    </w:p>
    <w:p w14:paraId="3D5D98AF" w14:textId="77777777" w:rsidR="00B07268" w:rsidRPr="00304368" w:rsidRDefault="00000000">
      <w:pPr>
        <w:rPr>
          <w:rFonts w:asciiTheme="minorBidi" w:hAnsiTheme="minorBidi"/>
        </w:rPr>
      </w:pPr>
      <w:r w:rsidRPr="00304368">
        <w:rPr>
          <w:rFonts w:asciiTheme="minorBidi" w:hAnsiTheme="minorBidi"/>
        </w:rPr>
        <w:t>Each material is assigned industry-average midpoint values for CO</w:t>
      </w:r>
      <w:r w:rsidRPr="00304368">
        <w:rPr>
          <w:rFonts w:ascii="Cambria Math" w:hAnsi="Cambria Math" w:cs="Cambria Math"/>
        </w:rPr>
        <w:t>₂</w:t>
      </w:r>
      <w:r w:rsidRPr="00304368">
        <w:rPr>
          <w:rFonts w:asciiTheme="minorBidi" w:hAnsiTheme="minorBidi"/>
        </w:rPr>
        <w:t xml:space="preserve"> emissions (kg CO</w:t>
      </w:r>
      <w:r w:rsidRPr="00304368">
        <w:rPr>
          <w:rFonts w:ascii="Cambria Math" w:hAnsi="Cambria Math" w:cs="Cambria Math"/>
        </w:rPr>
        <w:t>₂</w:t>
      </w:r>
      <w:r w:rsidRPr="00304368">
        <w:rPr>
          <w:rFonts w:asciiTheme="minorBidi" w:hAnsiTheme="minorBidi"/>
        </w:rPr>
        <w:t>e/kg), water use (L/kg), and energy use (MJ/kg). Each material also has qualitative classifications for toxicity (Low / Medium / High) and circularity potential (Low / Medium / High). Optional links to recycled or organic alternatives are stored for automatic substitution.</w:t>
      </w:r>
    </w:p>
    <w:p w14:paraId="4AB74904"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3. Product Composition &amp; Blends</w:t>
      </w:r>
    </w:p>
    <w:p w14:paraId="7478F751" w14:textId="77777777" w:rsidR="00B07268" w:rsidRPr="00304368" w:rsidRDefault="00000000">
      <w:pPr>
        <w:rPr>
          <w:rFonts w:asciiTheme="minorBidi" w:hAnsiTheme="minorBidi"/>
        </w:rPr>
      </w:pPr>
      <w:r w:rsidRPr="00304368">
        <w:rPr>
          <w:rFonts w:asciiTheme="minorBidi" w:hAnsiTheme="minorBidi"/>
        </w:rPr>
        <w:t>A product can contain up to six material components. Each component has a mass fraction (which should sum to 1.0). For blended fabrics, impacts are calculated as a weighted average using SUMPRODUCT, multiplying each material’s impact by its fraction.</w:t>
      </w:r>
    </w:p>
    <w:p w14:paraId="5FB4C899"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4. Recycled &amp; Organic Modifiers</w:t>
      </w:r>
    </w:p>
    <w:p w14:paraId="35807E42" w14:textId="77777777" w:rsidR="00B07268" w:rsidRPr="00304368" w:rsidRDefault="00000000">
      <w:pPr>
        <w:rPr>
          <w:rFonts w:asciiTheme="minorBidi" w:hAnsiTheme="minorBidi"/>
        </w:rPr>
      </w:pPr>
      <w:r w:rsidRPr="00304368">
        <w:rPr>
          <w:rFonts w:asciiTheme="minorBidi" w:hAnsiTheme="minorBidi"/>
        </w:rPr>
        <w:t>If a recycled fraction is specified for a material, the model interpolates linearly between the virgin material impact and its recycled alternative. If the organic flag is enabled, the organic alternative replaces the base material values. All substitutions are handled automatically using VLOOKUP and IF logic.</w:t>
      </w:r>
    </w:p>
    <w:p w14:paraId="1D787A4D"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5. Blended Impact Calculation</w:t>
      </w:r>
    </w:p>
    <w:p w14:paraId="31F8AB06" w14:textId="77777777" w:rsidR="00B07268" w:rsidRPr="00304368" w:rsidRDefault="00000000">
      <w:pPr>
        <w:rPr>
          <w:rFonts w:asciiTheme="minorBidi" w:hAnsiTheme="minorBidi"/>
        </w:rPr>
      </w:pPr>
      <w:r w:rsidRPr="00304368">
        <w:rPr>
          <w:rFonts w:asciiTheme="minorBidi" w:hAnsiTheme="minorBidi"/>
        </w:rPr>
        <w:t>For each impact category (CO</w:t>
      </w:r>
      <w:r w:rsidRPr="00304368">
        <w:rPr>
          <w:rFonts w:ascii="Cambria Math" w:hAnsi="Cambria Math" w:cs="Cambria Math"/>
        </w:rPr>
        <w:t>₂</w:t>
      </w:r>
      <w:r w:rsidRPr="00304368">
        <w:rPr>
          <w:rFonts w:asciiTheme="minorBidi" w:hAnsiTheme="minorBidi"/>
        </w:rPr>
        <w:t>, water, energy), a blended impact per kilogram of fabric is calculated:</w:t>
      </w:r>
      <w:r w:rsidRPr="00304368">
        <w:rPr>
          <w:rFonts w:asciiTheme="minorBidi" w:hAnsiTheme="minorBidi"/>
        </w:rPr>
        <w:br/>
        <w:t xml:space="preserve">Blended Impact = </w:t>
      </w:r>
      <w:r w:rsidRPr="00304368">
        <w:rPr>
          <w:rFonts w:ascii="Arial" w:hAnsi="Arial" w:cs="Arial"/>
        </w:rPr>
        <w:t>Σ</w:t>
      </w:r>
      <w:r w:rsidRPr="00304368">
        <w:rPr>
          <w:rFonts w:asciiTheme="minorBidi" w:hAnsiTheme="minorBidi"/>
        </w:rPr>
        <w:t xml:space="preserve"> (material fraction </w:t>
      </w:r>
      <w:r w:rsidRPr="00304368">
        <w:rPr>
          <w:rFonts w:ascii="Arial" w:hAnsi="Arial" w:cs="Arial"/>
        </w:rPr>
        <w:t>×</w:t>
      </w:r>
      <w:r w:rsidRPr="00304368">
        <w:rPr>
          <w:rFonts w:asciiTheme="minorBidi" w:hAnsiTheme="minorBidi"/>
        </w:rPr>
        <w:t xml:space="preserve"> effective material impact).</w:t>
      </w:r>
    </w:p>
    <w:p w14:paraId="2BC5D0DC"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6. Normalization</w:t>
      </w:r>
    </w:p>
    <w:p w14:paraId="5EEA4CEE" w14:textId="77777777" w:rsidR="00B07268" w:rsidRPr="00304368" w:rsidRDefault="00000000">
      <w:pPr>
        <w:rPr>
          <w:rFonts w:asciiTheme="minorBidi" w:hAnsiTheme="minorBidi"/>
        </w:rPr>
      </w:pPr>
      <w:r w:rsidRPr="00304368">
        <w:rPr>
          <w:rFonts w:asciiTheme="minorBidi" w:hAnsiTheme="minorBidi"/>
        </w:rPr>
        <w:t>Blended impacts are normalized against configurable maximum reference values. This produces dimensionless values between 0 and 1, ensuring different impact categories are comparable within a single scoring framework.</w:t>
      </w:r>
    </w:p>
    <w:p w14:paraId="5D962B76"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7. Weighting</w:t>
      </w:r>
    </w:p>
    <w:p w14:paraId="650E485F" w14:textId="77777777" w:rsidR="00B07268" w:rsidRPr="00304368" w:rsidRDefault="00000000">
      <w:pPr>
        <w:rPr>
          <w:rFonts w:asciiTheme="minorBidi" w:hAnsiTheme="minorBidi"/>
        </w:rPr>
      </w:pPr>
      <w:r w:rsidRPr="00304368">
        <w:rPr>
          <w:rFonts w:asciiTheme="minorBidi" w:hAnsiTheme="minorBidi"/>
        </w:rPr>
        <w:t>Normalized impacts are multiplied by weighting factors (CO</w:t>
      </w:r>
      <w:r w:rsidRPr="00304368">
        <w:rPr>
          <w:rFonts w:ascii="Cambria Math" w:hAnsi="Cambria Math" w:cs="Cambria Math"/>
        </w:rPr>
        <w:t>₂</w:t>
      </w:r>
      <w:r w:rsidRPr="00304368">
        <w:rPr>
          <w:rFonts w:asciiTheme="minorBidi" w:hAnsiTheme="minorBidi"/>
        </w:rPr>
        <w:t>, water, energy). Weights are stored in the Config sheet and can be adjusted without changing formulas.</w:t>
      </w:r>
    </w:p>
    <w:p w14:paraId="6FFB6409"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lastRenderedPageBreak/>
        <w:t>8. Toxicity Multiplier</w:t>
      </w:r>
    </w:p>
    <w:p w14:paraId="1A39B352" w14:textId="77777777" w:rsidR="00B07268" w:rsidRPr="00304368" w:rsidRDefault="00000000">
      <w:pPr>
        <w:rPr>
          <w:rFonts w:asciiTheme="minorBidi" w:hAnsiTheme="minorBidi"/>
        </w:rPr>
      </w:pPr>
      <w:r w:rsidRPr="00304368">
        <w:rPr>
          <w:rFonts w:asciiTheme="minorBidi" w:hAnsiTheme="minorBidi"/>
        </w:rPr>
        <w:t>The highest toxicity level among all materials determines a penalty multiplier. Low toxicity applies no penalty, medium toxicity applies a small increase, and high toxicity applies the strongest penalty to the weighted impact index.</w:t>
      </w:r>
    </w:p>
    <w:p w14:paraId="32A1029E"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9. Circularity Bonus</w:t>
      </w:r>
    </w:p>
    <w:p w14:paraId="65EE3938" w14:textId="77777777" w:rsidR="00B07268" w:rsidRPr="00304368" w:rsidRDefault="00000000">
      <w:pPr>
        <w:rPr>
          <w:rFonts w:asciiTheme="minorBidi" w:hAnsiTheme="minorBidi"/>
        </w:rPr>
      </w:pPr>
      <w:r w:rsidRPr="00304368">
        <w:rPr>
          <w:rFonts w:asciiTheme="minorBidi" w:hAnsiTheme="minorBidi"/>
        </w:rPr>
        <w:t>The lowest circularity level among the materials determines a bonus (or zero bonus). Highly circular materials receive additional points added directly to the EcoScore, rewarding recyclability and end-of-life potential.</w:t>
      </w:r>
    </w:p>
    <w:p w14:paraId="7F1600AB"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10. Final EcoScore &amp; Grade</w:t>
      </w:r>
    </w:p>
    <w:p w14:paraId="0A248C79" w14:textId="77777777" w:rsidR="00B07268" w:rsidRPr="00304368" w:rsidRDefault="00000000">
      <w:pPr>
        <w:rPr>
          <w:rFonts w:asciiTheme="minorBidi" w:hAnsiTheme="minorBidi"/>
        </w:rPr>
      </w:pPr>
      <w:r w:rsidRPr="00304368">
        <w:rPr>
          <w:rFonts w:asciiTheme="minorBidi" w:hAnsiTheme="minorBidi"/>
        </w:rPr>
        <w:t>The final EcoScore is calculated on a 0–100 scale:</w:t>
      </w:r>
      <w:r w:rsidRPr="00304368">
        <w:rPr>
          <w:rFonts w:asciiTheme="minorBidi" w:hAnsiTheme="minorBidi"/>
        </w:rPr>
        <w:br/>
        <w:t>EcoScore = (1 − adjusted impact index) × 100 + circularity bonus.</w:t>
      </w:r>
      <w:r w:rsidRPr="00304368">
        <w:rPr>
          <w:rFonts w:asciiTheme="minorBidi" w:hAnsiTheme="minorBidi"/>
        </w:rPr>
        <w:br/>
      </w:r>
      <w:r w:rsidRPr="00304368">
        <w:rPr>
          <w:rFonts w:asciiTheme="minorBidi" w:hAnsiTheme="minorBidi"/>
        </w:rPr>
        <w:br/>
        <w:t>Scores are translated into grades:</w:t>
      </w:r>
      <w:r w:rsidRPr="00304368">
        <w:rPr>
          <w:rFonts w:asciiTheme="minorBidi" w:hAnsiTheme="minorBidi"/>
        </w:rPr>
        <w:br/>
        <w:t>A ≥ 85, B ≥ 70, C ≥ 55, D ≥ 40, E &lt; 40.</w:t>
      </w:r>
    </w:p>
    <w:p w14:paraId="372DA43F" w14:textId="77777777" w:rsidR="00B07268" w:rsidRPr="00304368" w:rsidRDefault="00000000">
      <w:pPr>
        <w:pStyle w:val="Heading2"/>
        <w:rPr>
          <w:rFonts w:asciiTheme="minorBidi" w:hAnsiTheme="minorBidi" w:cstheme="minorBidi"/>
          <w:color w:val="auto"/>
        </w:rPr>
      </w:pPr>
      <w:r w:rsidRPr="00304368">
        <w:rPr>
          <w:rFonts w:asciiTheme="minorBidi" w:hAnsiTheme="minorBidi" w:cstheme="minorBidi"/>
          <w:color w:val="auto"/>
        </w:rPr>
        <w:t>11. Item-Level Impacts</w:t>
      </w:r>
    </w:p>
    <w:p w14:paraId="6D02D7C1" w14:textId="77777777" w:rsidR="00B07268" w:rsidRPr="00304368" w:rsidRDefault="00000000">
      <w:pPr>
        <w:rPr>
          <w:rFonts w:asciiTheme="minorBidi" w:hAnsiTheme="minorBidi"/>
        </w:rPr>
      </w:pPr>
      <w:r w:rsidRPr="00304368">
        <w:rPr>
          <w:rFonts w:asciiTheme="minorBidi" w:hAnsiTheme="minorBidi"/>
        </w:rPr>
        <w:t>By multiplying per</w:t>
      </w:r>
      <w:r w:rsidRPr="00304368">
        <w:rPr>
          <w:rFonts w:ascii="Cambria Math" w:hAnsi="Cambria Math" w:cs="Cambria Math"/>
        </w:rPr>
        <w:t>‑</w:t>
      </w:r>
      <w:r w:rsidRPr="00304368">
        <w:rPr>
          <w:rFonts w:asciiTheme="minorBidi" w:hAnsiTheme="minorBidi"/>
        </w:rPr>
        <w:t>kilogram impacts by garment mass, the model also outputs item-level CO</w:t>
      </w:r>
      <w:r w:rsidRPr="00304368">
        <w:rPr>
          <w:rFonts w:ascii="Cambria Math" w:hAnsi="Cambria Math" w:cs="Cambria Math"/>
        </w:rPr>
        <w:t>₂</w:t>
      </w:r>
      <w:r w:rsidRPr="00304368">
        <w:rPr>
          <w:rFonts w:asciiTheme="minorBidi" w:hAnsiTheme="minorBidi"/>
        </w:rPr>
        <w:t>, water, and energy footprints. This allows direct comparison between products of different weights.</w:t>
      </w:r>
    </w:p>
    <w:p w14:paraId="211C0346" w14:textId="77777777" w:rsidR="00B07268" w:rsidRPr="00304368" w:rsidRDefault="00000000">
      <w:pPr>
        <w:rPr>
          <w:rFonts w:asciiTheme="minorBidi" w:hAnsiTheme="minorBidi"/>
        </w:rPr>
      </w:pPr>
      <w:r w:rsidRPr="00304368">
        <w:rPr>
          <w:rFonts w:asciiTheme="minorBidi" w:hAnsiTheme="minorBidi"/>
        </w:rPr>
        <w:t>This structure ensures transparency, auditability, and easy extension to additional materials, impact categories, or regulatory frameworks (e.g., EU PEF, CSRD).</w:t>
      </w:r>
    </w:p>
    <w:sectPr w:rsidR="00B07268" w:rsidRPr="003043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255481">
    <w:abstractNumId w:val="8"/>
  </w:num>
  <w:num w:numId="2" w16cid:durableId="1340892808">
    <w:abstractNumId w:val="6"/>
  </w:num>
  <w:num w:numId="3" w16cid:durableId="2138642635">
    <w:abstractNumId w:val="5"/>
  </w:num>
  <w:num w:numId="4" w16cid:durableId="63526312">
    <w:abstractNumId w:val="4"/>
  </w:num>
  <w:num w:numId="5" w16cid:durableId="255596928">
    <w:abstractNumId w:val="7"/>
  </w:num>
  <w:num w:numId="6" w16cid:durableId="1547135170">
    <w:abstractNumId w:val="3"/>
  </w:num>
  <w:num w:numId="7" w16cid:durableId="1667514784">
    <w:abstractNumId w:val="2"/>
  </w:num>
  <w:num w:numId="8" w16cid:durableId="718895400">
    <w:abstractNumId w:val="1"/>
  </w:num>
  <w:num w:numId="9" w16cid:durableId="17052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4368"/>
    <w:rsid w:val="00326F90"/>
    <w:rsid w:val="008C1C3B"/>
    <w:rsid w:val="00AA1D8D"/>
    <w:rsid w:val="00B0726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6C11B"/>
  <w14:defaultImageDpi w14:val="300"/>
  <w15:docId w15:val="{9889C7C7-074C-4543-9CD3-C6B23B78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2783</Characters>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2025-12-22T22:39:00Z</dcterms:created>
  <dcterms:modified xsi:type="dcterms:W3CDTF">2025-12-22T22:39:00Z</dcterms:modified>
  <cp:category/>
</cp:coreProperties>
</file>