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JAVA KEYWORDS</w:t>
      </w:r>
    </w:p>
    <w:p>
      <w:pPr>
        <w:jc w:val="center"/>
      </w:pPr>
      <w:r>
        <w:rPr>
          <w:i/>
          <w:sz w:val="20"/>
        </w:rPr>
        <w:t>57 Java keywords / key terms, their meanings, and current status</w:t>
      </w:r>
    </w:p>
    <w:p>
      <w:r>
        <w:rPr>
          <w:b/>
        </w:rPr>
        <w:t xml:space="preserve">Note: </w:t>
      </w:r>
      <w:r>
        <w:t>This 57-item list follows the assignment requirement. It distinguishes reserved Java keywords from contextual keywords. The words true, false, and null are literals, not keywords, so they are not included. const and goto are reserved but not implemented; strictfp remains a keyword but is obsolete.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605"/>
          </w:tcPr>
          <w:p>
            <w:pPr>
              <w:spacing w:after="0"/>
            </w:pPr>
            <w:r>
              <w:rPr>
                <w:b/>
                <w:sz w:val="17"/>
              </w:rPr>
              <w:t>No.</w:t>
            </w:r>
          </w:p>
        </w:tc>
        <w:tc>
          <w:tcPr>
            <w:tcW w:type="dxa" w:w="1944"/>
          </w:tcPr>
          <w:p>
            <w:pPr>
              <w:spacing w:after="0"/>
            </w:pPr>
            <w:r>
              <w:rPr>
                <w:b/>
                <w:sz w:val="17"/>
              </w:rPr>
              <w:t>Keyword / Key Term</w:t>
            </w:r>
          </w:p>
        </w:tc>
        <w:tc>
          <w:tcPr>
            <w:tcW w:type="dxa" w:w="6840"/>
          </w:tcPr>
          <w:p>
            <w:pPr>
              <w:spacing w:after="0"/>
            </w:pPr>
            <w:r>
              <w:rPr>
                <w:b/>
                <w:sz w:val="17"/>
              </w:rPr>
              <w:t>Meaning</w:t>
            </w:r>
          </w:p>
        </w:tc>
        <w:tc>
          <w:tcPr>
            <w:tcW w:type="dxa" w:w="2376"/>
          </w:tcPr>
          <w:p>
            <w:pPr>
              <w:spacing w:after="0"/>
            </w:pPr>
            <w:r>
              <w:rPr>
                <w:b/>
                <w:sz w:val="17"/>
              </w:rPr>
              <w:t>Status</w:t>
            </w:r>
          </w:p>
        </w:tc>
      </w:tr>
      <w:tr>
        <w:tc>
          <w:tcPr>
            <w:tcW w:type="dxa" w:w="605"/>
            <w:vAlign w:val="center"/>
          </w:tcPr>
          <w:p>
            <w:pPr>
              <w:spacing w:after="0"/>
            </w:pPr>
            <w:r>
              <w:rPr>
                <w:sz w:val="17"/>
              </w:rPr>
              <w:t>1</w:t>
            </w:r>
          </w:p>
        </w:tc>
        <w:tc>
          <w:tcPr>
            <w:tcW w:type="dxa" w:w="1944"/>
            <w:vAlign w:val="center"/>
          </w:tcPr>
          <w:p>
            <w:pPr>
              <w:spacing w:after="0"/>
            </w:pPr>
            <w:r>
              <w:rPr>
                <w:b/>
                <w:sz w:val="17"/>
              </w:rPr>
              <w:t>abstract</w:t>
            </w:r>
          </w:p>
        </w:tc>
        <w:tc>
          <w:tcPr>
            <w:tcW w:type="dxa" w:w="6840"/>
            <w:vAlign w:val="center"/>
          </w:tcPr>
          <w:p>
            <w:pPr>
              <w:spacing w:after="0"/>
            </w:pPr>
            <w:r>
              <w:rPr>
                <w:sz w:val="17"/>
              </w:rPr>
              <w:t>Declares a class or member that is incomplete and must be implemented/overridden by a subclass.</w:t>
            </w:r>
          </w:p>
        </w:tc>
        <w:tc>
          <w:tcPr>
            <w:tcW w:type="dxa" w:w="2376"/>
            <w:vAlign w:val="center"/>
          </w:tcPr>
          <w:p>
            <w:pPr>
              <w:spacing w:after="0"/>
            </w:pPr>
            <w:r>
              <w:rPr>
                <w:sz w:val="17"/>
              </w:rPr>
              <w:t>In use</w:t>
            </w:r>
          </w:p>
        </w:tc>
      </w:tr>
      <w:tr>
        <w:tc>
          <w:tcPr>
            <w:tcW w:type="dxa" w:w="605"/>
            <w:vAlign w:val="center"/>
          </w:tcPr>
          <w:p>
            <w:pPr>
              <w:spacing w:after="0"/>
            </w:pPr>
            <w:r>
              <w:rPr>
                <w:sz w:val="17"/>
              </w:rPr>
              <w:t>2</w:t>
            </w:r>
          </w:p>
        </w:tc>
        <w:tc>
          <w:tcPr>
            <w:tcW w:type="dxa" w:w="1944"/>
            <w:vAlign w:val="center"/>
          </w:tcPr>
          <w:p>
            <w:pPr>
              <w:spacing w:after="0"/>
            </w:pPr>
            <w:r>
              <w:rPr>
                <w:b/>
                <w:sz w:val="17"/>
              </w:rPr>
              <w:t>assert</w:t>
            </w:r>
          </w:p>
        </w:tc>
        <w:tc>
          <w:tcPr>
            <w:tcW w:type="dxa" w:w="6840"/>
            <w:vAlign w:val="center"/>
          </w:tcPr>
          <w:p>
            <w:pPr>
              <w:spacing w:after="0"/>
            </w:pPr>
            <w:r>
              <w:rPr>
                <w:sz w:val="17"/>
              </w:rPr>
              <w:t>Tests a condition during debugging and throws an AssertionError when the condition is false.</w:t>
            </w:r>
          </w:p>
        </w:tc>
        <w:tc>
          <w:tcPr>
            <w:tcW w:type="dxa" w:w="2376"/>
            <w:vAlign w:val="center"/>
          </w:tcPr>
          <w:p>
            <w:pPr>
              <w:spacing w:after="0"/>
            </w:pPr>
            <w:r>
              <w:rPr>
                <w:sz w:val="17"/>
              </w:rPr>
              <w:t>In use</w:t>
            </w:r>
          </w:p>
        </w:tc>
      </w:tr>
      <w:tr>
        <w:tc>
          <w:tcPr>
            <w:tcW w:type="dxa" w:w="605"/>
            <w:vAlign w:val="center"/>
          </w:tcPr>
          <w:p>
            <w:pPr>
              <w:spacing w:after="0"/>
            </w:pPr>
            <w:r>
              <w:rPr>
                <w:sz w:val="17"/>
              </w:rPr>
              <w:t>3</w:t>
            </w:r>
          </w:p>
        </w:tc>
        <w:tc>
          <w:tcPr>
            <w:tcW w:type="dxa" w:w="1944"/>
            <w:vAlign w:val="center"/>
          </w:tcPr>
          <w:p>
            <w:pPr>
              <w:spacing w:after="0"/>
            </w:pPr>
            <w:r>
              <w:rPr>
                <w:b/>
                <w:sz w:val="17"/>
              </w:rPr>
              <w:t>boolean</w:t>
            </w:r>
          </w:p>
        </w:tc>
        <w:tc>
          <w:tcPr>
            <w:tcW w:type="dxa" w:w="6840"/>
            <w:vAlign w:val="center"/>
          </w:tcPr>
          <w:p>
            <w:pPr>
              <w:spacing w:after="0"/>
            </w:pPr>
            <w:r>
              <w:rPr>
                <w:sz w:val="17"/>
              </w:rPr>
              <w:t>Declares a variable of the boolean type, which has the values true or false.</w:t>
            </w:r>
          </w:p>
        </w:tc>
        <w:tc>
          <w:tcPr>
            <w:tcW w:type="dxa" w:w="2376"/>
            <w:vAlign w:val="center"/>
          </w:tcPr>
          <w:p>
            <w:pPr>
              <w:spacing w:after="0"/>
            </w:pPr>
            <w:r>
              <w:rPr>
                <w:sz w:val="17"/>
              </w:rPr>
              <w:t>In use</w:t>
            </w:r>
          </w:p>
        </w:tc>
      </w:tr>
      <w:tr>
        <w:tc>
          <w:tcPr>
            <w:tcW w:type="dxa" w:w="605"/>
            <w:vAlign w:val="center"/>
          </w:tcPr>
          <w:p>
            <w:pPr>
              <w:spacing w:after="0"/>
            </w:pPr>
            <w:r>
              <w:rPr>
                <w:sz w:val="17"/>
              </w:rPr>
              <w:t>4</w:t>
            </w:r>
          </w:p>
        </w:tc>
        <w:tc>
          <w:tcPr>
            <w:tcW w:type="dxa" w:w="1944"/>
            <w:vAlign w:val="center"/>
          </w:tcPr>
          <w:p>
            <w:pPr>
              <w:spacing w:after="0"/>
            </w:pPr>
            <w:r>
              <w:rPr>
                <w:b/>
                <w:sz w:val="17"/>
              </w:rPr>
              <w:t>break</w:t>
            </w:r>
          </w:p>
        </w:tc>
        <w:tc>
          <w:tcPr>
            <w:tcW w:type="dxa" w:w="6840"/>
            <w:vAlign w:val="center"/>
          </w:tcPr>
          <w:p>
            <w:pPr>
              <w:spacing w:after="0"/>
            </w:pPr>
            <w:r>
              <w:rPr>
                <w:sz w:val="17"/>
              </w:rPr>
              <w:t>Terminates a loop or switch statement immediately.</w:t>
            </w:r>
          </w:p>
        </w:tc>
        <w:tc>
          <w:tcPr>
            <w:tcW w:type="dxa" w:w="2376"/>
            <w:vAlign w:val="center"/>
          </w:tcPr>
          <w:p>
            <w:pPr>
              <w:spacing w:after="0"/>
            </w:pPr>
            <w:r>
              <w:rPr>
                <w:sz w:val="17"/>
              </w:rPr>
              <w:t>In use</w:t>
            </w:r>
          </w:p>
        </w:tc>
      </w:tr>
      <w:tr>
        <w:tc>
          <w:tcPr>
            <w:tcW w:type="dxa" w:w="605"/>
            <w:vAlign w:val="center"/>
          </w:tcPr>
          <w:p>
            <w:pPr>
              <w:spacing w:after="0"/>
            </w:pPr>
            <w:r>
              <w:rPr>
                <w:sz w:val="17"/>
              </w:rPr>
              <w:t>5</w:t>
            </w:r>
          </w:p>
        </w:tc>
        <w:tc>
          <w:tcPr>
            <w:tcW w:type="dxa" w:w="1944"/>
            <w:vAlign w:val="center"/>
          </w:tcPr>
          <w:p>
            <w:pPr>
              <w:spacing w:after="0"/>
            </w:pPr>
            <w:r>
              <w:rPr>
                <w:b/>
                <w:sz w:val="17"/>
              </w:rPr>
              <w:t>byte</w:t>
            </w:r>
          </w:p>
        </w:tc>
        <w:tc>
          <w:tcPr>
            <w:tcW w:type="dxa" w:w="6840"/>
            <w:vAlign w:val="center"/>
          </w:tcPr>
          <w:p>
            <w:pPr>
              <w:spacing w:after="0"/>
            </w:pPr>
            <w:r>
              <w:rPr>
                <w:sz w:val="17"/>
              </w:rPr>
              <w:t>Declares an 8-bit signed integer primitive type.</w:t>
            </w:r>
          </w:p>
        </w:tc>
        <w:tc>
          <w:tcPr>
            <w:tcW w:type="dxa" w:w="2376"/>
            <w:vAlign w:val="center"/>
          </w:tcPr>
          <w:p>
            <w:pPr>
              <w:spacing w:after="0"/>
            </w:pPr>
            <w:r>
              <w:rPr>
                <w:sz w:val="17"/>
              </w:rPr>
              <w:t>In use</w:t>
            </w:r>
          </w:p>
        </w:tc>
      </w:tr>
      <w:tr>
        <w:tc>
          <w:tcPr>
            <w:tcW w:type="dxa" w:w="605"/>
            <w:vAlign w:val="center"/>
          </w:tcPr>
          <w:p>
            <w:pPr>
              <w:spacing w:after="0"/>
            </w:pPr>
            <w:r>
              <w:rPr>
                <w:sz w:val="17"/>
              </w:rPr>
              <w:t>6</w:t>
            </w:r>
          </w:p>
        </w:tc>
        <w:tc>
          <w:tcPr>
            <w:tcW w:type="dxa" w:w="1944"/>
            <w:vAlign w:val="center"/>
          </w:tcPr>
          <w:p>
            <w:pPr>
              <w:spacing w:after="0"/>
            </w:pPr>
            <w:r>
              <w:rPr>
                <w:b/>
                <w:sz w:val="17"/>
              </w:rPr>
              <w:t>case</w:t>
            </w:r>
          </w:p>
        </w:tc>
        <w:tc>
          <w:tcPr>
            <w:tcW w:type="dxa" w:w="6840"/>
            <w:vAlign w:val="center"/>
          </w:tcPr>
          <w:p>
            <w:pPr>
              <w:spacing w:after="0"/>
            </w:pPr>
            <w:r>
              <w:rPr>
                <w:sz w:val="17"/>
              </w:rPr>
              <w:t>Defines a branch within a switch statement.</w:t>
            </w:r>
          </w:p>
        </w:tc>
        <w:tc>
          <w:tcPr>
            <w:tcW w:type="dxa" w:w="2376"/>
            <w:vAlign w:val="center"/>
          </w:tcPr>
          <w:p>
            <w:pPr>
              <w:spacing w:after="0"/>
            </w:pPr>
            <w:r>
              <w:rPr>
                <w:sz w:val="17"/>
              </w:rPr>
              <w:t>In use</w:t>
            </w:r>
          </w:p>
        </w:tc>
      </w:tr>
      <w:tr>
        <w:tc>
          <w:tcPr>
            <w:tcW w:type="dxa" w:w="605"/>
            <w:vAlign w:val="center"/>
          </w:tcPr>
          <w:p>
            <w:pPr>
              <w:spacing w:after="0"/>
            </w:pPr>
            <w:r>
              <w:rPr>
                <w:sz w:val="17"/>
              </w:rPr>
              <w:t>7</w:t>
            </w:r>
          </w:p>
        </w:tc>
        <w:tc>
          <w:tcPr>
            <w:tcW w:type="dxa" w:w="1944"/>
            <w:vAlign w:val="center"/>
          </w:tcPr>
          <w:p>
            <w:pPr>
              <w:spacing w:after="0"/>
            </w:pPr>
            <w:r>
              <w:rPr>
                <w:b/>
                <w:sz w:val="17"/>
              </w:rPr>
              <w:t>catch</w:t>
            </w:r>
          </w:p>
        </w:tc>
        <w:tc>
          <w:tcPr>
            <w:tcW w:type="dxa" w:w="6840"/>
            <w:vAlign w:val="center"/>
          </w:tcPr>
          <w:p>
            <w:pPr>
              <w:spacing w:after="0"/>
            </w:pPr>
            <w:r>
              <w:rPr>
                <w:sz w:val="17"/>
              </w:rPr>
              <w:t>Handles an exception thrown from a try block.</w:t>
            </w:r>
          </w:p>
        </w:tc>
        <w:tc>
          <w:tcPr>
            <w:tcW w:type="dxa" w:w="2376"/>
            <w:vAlign w:val="center"/>
          </w:tcPr>
          <w:p>
            <w:pPr>
              <w:spacing w:after="0"/>
            </w:pPr>
            <w:r>
              <w:rPr>
                <w:sz w:val="17"/>
              </w:rPr>
              <w:t>In use</w:t>
            </w:r>
          </w:p>
        </w:tc>
      </w:tr>
      <w:tr>
        <w:tc>
          <w:tcPr>
            <w:tcW w:type="dxa" w:w="605"/>
            <w:vAlign w:val="center"/>
          </w:tcPr>
          <w:p>
            <w:pPr>
              <w:spacing w:after="0"/>
            </w:pPr>
            <w:r>
              <w:rPr>
                <w:sz w:val="17"/>
              </w:rPr>
              <w:t>8</w:t>
            </w:r>
          </w:p>
        </w:tc>
        <w:tc>
          <w:tcPr>
            <w:tcW w:type="dxa" w:w="1944"/>
            <w:vAlign w:val="center"/>
          </w:tcPr>
          <w:p>
            <w:pPr>
              <w:spacing w:after="0"/>
            </w:pPr>
            <w:r>
              <w:rPr>
                <w:b/>
                <w:sz w:val="17"/>
              </w:rPr>
              <w:t>char</w:t>
            </w:r>
          </w:p>
        </w:tc>
        <w:tc>
          <w:tcPr>
            <w:tcW w:type="dxa" w:w="6840"/>
            <w:vAlign w:val="center"/>
          </w:tcPr>
          <w:p>
            <w:pPr>
              <w:spacing w:after="0"/>
            </w:pPr>
            <w:r>
              <w:rPr>
                <w:sz w:val="17"/>
              </w:rPr>
              <w:t>Declares a 16-bit Unicode character primitive type.</w:t>
            </w:r>
          </w:p>
        </w:tc>
        <w:tc>
          <w:tcPr>
            <w:tcW w:type="dxa" w:w="2376"/>
            <w:vAlign w:val="center"/>
          </w:tcPr>
          <w:p>
            <w:pPr>
              <w:spacing w:after="0"/>
            </w:pPr>
            <w:r>
              <w:rPr>
                <w:sz w:val="17"/>
              </w:rPr>
              <w:t>In use</w:t>
            </w:r>
          </w:p>
        </w:tc>
      </w:tr>
      <w:tr>
        <w:tc>
          <w:tcPr>
            <w:tcW w:type="dxa" w:w="605"/>
            <w:vAlign w:val="center"/>
          </w:tcPr>
          <w:p>
            <w:pPr>
              <w:spacing w:after="0"/>
            </w:pPr>
            <w:r>
              <w:rPr>
                <w:sz w:val="17"/>
              </w:rPr>
              <w:t>9</w:t>
            </w:r>
          </w:p>
        </w:tc>
        <w:tc>
          <w:tcPr>
            <w:tcW w:type="dxa" w:w="1944"/>
            <w:vAlign w:val="center"/>
          </w:tcPr>
          <w:p>
            <w:pPr>
              <w:spacing w:after="0"/>
            </w:pPr>
            <w:r>
              <w:rPr>
                <w:b/>
                <w:sz w:val="17"/>
              </w:rPr>
              <w:t>class</w:t>
            </w:r>
          </w:p>
        </w:tc>
        <w:tc>
          <w:tcPr>
            <w:tcW w:type="dxa" w:w="6840"/>
            <w:vAlign w:val="center"/>
          </w:tcPr>
          <w:p>
            <w:pPr>
              <w:spacing w:after="0"/>
            </w:pPr>
            <w:r>
              <w:rPr>
                <w:sz w:val="17"/>
              </w:rPr>
              <w:t>Declares a class.</w:t>
            </w:r>
          </w:p>
        </w:tc>
        <w:tc>
          <w:tcPr>
            <w:tcW w:type="dxa" w:w="2376"/>
            <w:vAlign w:val="center"/>
          </w:tcPr>
          <w:p>
            <w:pPr>
              <w:spacing w:after="0"/>
            </w:pPr>
            <w:r>
              <w:rPr>
                <w:sz w:val="17"/>
              </w:rPr>
              <w:t>In use</w:t>
            </w:r>
          </w:p>
        </w:tc>
      </w:tr>
      <w:tr>
        <w:tc>
          <w:tcPr>
            <w:tcW w:type="dxa" w:w="605"/>
            <w:vAlign w:val="center"/>
          </w:tcPr>
          <w:p>
            <w:pPr>
              <w:spacing w:after="0"/>
            </w:pPr>
            <w:r>
              <w:rPr>
                <w:sz w:val="17"/>
              </w:rPr>
              <w:t>10</w:t>
            </w:r>
          </w:p>
        </w:tc>
        <w:tc>
          <w:tcPr>
            <w:tcW w:type="dxa" w:w="1944"/>
            <w:vAlign w:val="center"/>
          </w:tcPr>
          <w:p>
            <w:pPr>
              <w:spacing w:after="0"/>
            </w:pPr>
            <w:r>
              <w:rPr>
                <w:b/>
                <w:sz w:val="17"/>
              </w:rPr>
              <w:t>const</w:t>
            </w:r>
          </w:p>
        </w:tc>
        <w:tc>
          <w:tcPr>
            <w:tcW w:type="dxa" w:w="6840"/>
            <w:vAlign w:val="center"/>
          </w:tcPr>
          <w:p>
            <w:pPr>
              <w:spacing w:after="0"/>
            </w:pPr>
            <w:r>
              <w:rPr>
                <w:sz w:val="17"/>
              </w:rPr>
              <w:t>Reserved for possible future use; Java does not implement it.</w:t>
            </w:r>
          </w:p>
        </w:tc>
        <w:tc>
          <w:tcPr>
            <w:tcW w:type="dxa" w:w="2376"/>
            <w:vAlign w:val="center"/>
          </w:tcPr>
          <w:p>
            <w:pPr>
              <w:spacing w:after="0"/>
            </w:pPr>
            <w:r>
              <w:rPr>
                <w:sz w:val="17"/>
              </w:rPr>
              <w:t>Reserved / not implemented</w:t>
            </w:r>
          </w:p>
        </w:tc>
      </w:tr>
      <w:tr>
        <w:tc>
          <w:tcPr>
            <w:tcW w:type="dxa" w:w="605"/>
            <w:vAlign w:val="center"/>
          </w:tcPr>
          <w:p>
            <w:pPr>
              <w:spacing w:after="0"/>
            </w:pPr>
            <w:r>
              <w:rPr>
                <w:sz w:val="17"/>
              </w:rPr>
              <w:t>11</w:t>
            </w:r>
          </w:p>
        </w:tc>
        <w:tc>
          <w:tcPr>
            <w:tcW w:type="dxa" w:w="1944"/>
            <w:vAlign w:val="center"/>
          </w:tcPr>
          <w:p>
            <w:pPr>
              <w:spacing w:after="0"/>
            </w:pPr>
            <w:r>
              <w:rPr>
                <w:b/>
                <w:sz w:val="17"/>
              </w:rPr>
              <w:t>continue</w:t>
            </w:r>
          </w:p>
        </w:tc>
        <w:tc>
          <w:tcPr>
            <w:tcW w:type="dxa" w:w="6840"/>
            <w:vAlign w:val="center"/>
          </w:tcPr>
          <w:p>
            <w:pPr>
              <w:spacing w:after="0"/>
            </w:pPr>
            <w:r>
              <w:rPr>
                <w:sz w:val="17"/>
              </w:rPr>
              <w:t>Skips the current loop iteration and proceeds to the next iteration.</w:t>
            </w:r>
          </w:p>
        </w:tc>
        <w:tc>
          <w:tcPr>
            <w:tcW w:type="dxa" w:w="2376"/>
            <w:vAlign w:val="center"/>
          </w:tcPr>
          <w:p>
            <w:pPr>
              <w:spacing w:after="0"/>
            </w:pPr>
            <w:r>
              <w:rPr>
                <w:sz w:val="17"/>
              </w:rPr>
              <w:t>In use</w:t>
            </w:r>
          </w:p>
        </w:tc>
      </w:tr>
      <w:tr>
        <w:tc>
          <w:tcPr>
            <w:tcW w:type="dxa" w:w="605"/>
            <w:vAlign w:val="center"/>
          </w:tcPr>
          <w:p>
            <w:pPr>
              <w:spacing w:after="0"/>
            </w:pPr>
            <w:r>
              <w:rPr>
                <w:sz w:val="17"/>
              </w:rPr>
              <w:t>12</w:t>
            </w:r>
          </w:p>
        </w:tc>
        <w:tc>
          <w:tcPr>
            <w:tcW w:type="dxa" w:w="1944"/>
            <w:vAlign w:val="center"/>
          </w:tcPr>
          <w:p>
            <w:pPr>
              <w:spacing w:after="0"/>
            </w:pPr>
            <w:r>
              <w:rPr>
                <w:b/>
                <w:sz w:val="17"/>
              </w:rPr>
              <w:t>default</w:t>
            </w:r>
          </w:p>
        </w:tc>
        <w:tc>
          <w:tcPr>
            <w:tcW w:type="dxa" w:w="6840"/>
            <w:vAlign w:val="center"/>
          </w:tcPr>
          <w:p>
            <w:pPr>
              <w:spacing w:after="0"/>
            </w:pPr>
            <w:r>
              <w:rPr>
                <w:sz w:val="17"/>
              </w:rPr>
              <w:t>Specifies a default branch in a switch statement or a default method in an interface.</w:t>
            </w:r>
          </w:p>
        </w:tc>
        <w:tc>
          <w:tcPr>
            <w:tcW w:type="dxa" w:w="2376"/>
            <w:vAlign w:val="center"/>
          </w:tcPr>
          <w:p>
            <w:pPr>
              <w:spacing w:after="0"/>
            </w:pPr>
            <w:r>
              <w:rPr>
                <w:sz w:val="17"/>
              </w:rPr>
              <w:t>In use</w:t>
            </w:r>
          </w:p>
        </w:tc>
      </w:tr>
      <w:tr>
        <w:tc>
          <w:tcPr>
            <w:tcW w:type="dxa" w:w="605"/>
            <w:vAlign w:val="center"/>
          </w:tcPr>
          <w:p>
            <w:pPr>
              <w:spacing w:after="0"/>
            </w:pPr>
            <w:r>
              <w:rPr>
                <w:sz w:val="17"/>
              </w:rPr>
              <w:t>13</w:t>
            </w:r>
          </w:p>
        </w:tc>
        <w:tc>
          <w:tcPr>
            <w:tcW w:type="dxa" w:w="1944"/>
            <w:vAlign w:val="center"/>
          </w:tcPr>
          <w:p>
            <w:pPr>
              <w:spacing w:after="0"/>
            </w:pPr>
            <w:r>
              <w:rPr>
                <w:b/>
                <w:sz w:val="17"/>
              </w:rPr>
              <w:t>do</w:t>
            </w:r>
          </w:p>
        </w:tc>
        <w:tc>
          <w:tcPr>
            <w:tcW w:type="dxa" w:w="6840"/>
            <w:vAlign w:val="center"/>
          </w:tcPr>
          <w:p>
            <w:pPr>
              <w:spacing w:after="0"/>
            </w:pPr>
            <w:r>
              <w:rPr>
                <w:sz w:val="17"/>
              </w:rPr>
              <w:t>Begins a do-while loop.</w:t>
            </w:r>
          </w:p>
        </w:tc>
        <w:tc>
          <w:tcPr>
            <w:tcW w:type="dxa" w:w="2376"/>
            <w:vAlign w:val="center"/>
          </w:tcPr>
          <w:p>
            <w:pPr>
              <w:spacing w:after="0"/>
            </w:pPr>
            <w:r>
              <w:rPr>
                <w:sz w:val="17"/>
              </w:rPr>
              <w:t>In use</w:t>
            </w:r>
          </w:p>
        </w:tc>
      </w:tr>
      <w:tr>
        <w:tc>
          <w:tcPr>
            <w:tcW w:type="dxa" w:w="605"/>
            <w:vAlign w:val="center"/>
          </w:tcPr>
          <w:p>
            <w:pPr>
              <w:spacing w:after="0"/>
            </w:pPr>
            <w:r>
              <w:rPr>
                <w:sz w:val="17"/>
              </w:rPr>
              <w:t>14</w:t>
            </w:r>
          </w:p>
        </w:tc>
        <w:tc>
          <w:tcPr>
            <w:tcW w:type="dxa" w:w="1944"/>
            <w:vAlign w:val="center"/>
          </w:tcPr>
          <w:p>
            <w:pPr>
              <w:spacing w:after="0"/>
            </w:pPr>
            <w:r>
              <w:rPr>
                <w:b/>
                <w:sz w:val="17"/>
              </w:rPr>
              <w:t>double</w:t>
            </w:r>
          </w:p>
        </w:tc>
        <w:tc>
          <w:tcPr>
            <w:tcW w:type="dxa" w:w="6840"/>
            <w:vAlign w:val="center"/>
          </w:tcPr>
          <w:p>
            <w:pPr>
              <w:spacing w:after="0"/>
            </w:pPr>
            <w:r>
              <w:rPr>
                <w:sz w:val="17"/>
              </w:rPr>
              <w:t>Declares a 64-bit floating-point primitive type.</w:t>
            </w:r>
          </w:p>
        </w:tc>
        <w:tc>
          <w:tcPr>
            <w:tcW w:type="dxa" w:w="2376"/>
            <w:vAlign w:val="center"/>
          </w:tcPr>
          <w:p>
            <w:pPr>
              <w:spacing w:after="0"/>
            </w:pPr>
            <w:r>
              <w:rPr>
                <w:sz w:val="17"/>
              </w:rPr>
              <w:t>In use</w:t>
            </w:r>
          </w:p>
        </w:tc>
      </w:tr>
      <w:tr>
        <w:tc>
          <w:tcPr>
            <w:tcW w:type="dxa" w:w="605"/>
            <w:vAlign w:val="center"/>
          </w:tcPr>
          <w:p>
            <w:pPr>
              <w:spacing w:after="0"/>
            </w:pPr>
            <w:r>
              <w:rPr>
                <w:sz w:val="17"/>
              </w:rPr>
              <w:t>15</w:t>
            </w:r>
          </w:p>
        </w:tc>
        <w:tc>
          <w:tcPr>
            <w:tcW w:type="dxa" w:w="1944"/>
            <w:vAlign w:val="center"/>
          </w:tcPr>
          <w:p>
            <w:pPr>
              <w:spacing w:after="0"/>
            </w:pPr>
            <w:r>
              <w:rPr>
                <w:b/>
                <w:sz w:val="17"/>
              </w:rPr>
              <w:t>else</w:t>
            </w:r>
          </w:p>
        </w:tc>
        <w:tc>
          <w:tcPr>
            <w:tcW w:type="dxa" w:w="6840"/>
            <w:vAlign w:val="center"/>
          </w:tcPr>
          <w:p>
            <w:pPr>
              <w:spacing w:after="0"/>
            </w:pPr>
            <w:r>
              <w:rPr>
                <w:sz w:val="17"/>
              </w:rPr>
              <w:t>Specifies the alternative branch of an if statement.</w:t>
            </w:r>
          </w:p>
        </w:tc>
        <w:tc>
          <w:tcPr>
            <w:tcW w:type="dxa" w:w="2376"/>
            <w:vAlign w:val="center"/>
          </w:tcPr>
          <w:p>
            <w:pPr>
              <w:spacing w:after="0"/>
            </w:pPr>
            <w:r>
              <w:rPr>
                <w:sz w:val="17"/>
              </w:rPr>
              <w:t>In use</w:t>
            </w:r>
          </w:p>
        </w:tc>
      </w:tr>
      <w:tr>
        <w:tc>
          <w:tcPr>
            <w:tcW w:type="dxa" w:w="605"/>
            <w:vAlign w:val="center"/>
          </w:tcPr>
          <w:p>
            <w:pPr>
              <w:spacing w:after="0"/>
            </w:pPr>
            <w:r>
              <w:rPr>
                <w:sz w:val="17"/>
              </w:rPr>
              <w:t>16</w:t>
            </w:r>
          </w:p>
        </w:tc>
        <w:tc>
          <w:tcPr>
            <w:tcW w:type="dxa" w:w="1944"/>
            <w:vAlign w:val="center"/>
          </w:tcPr>
          <w:p>
            <w:pPr>
              <w:spacing w:after="0"/>
            </w:pPr>
            <w:r>
              <w:rPr>
                <w:b/>
                <w:sz w:val="17"/>
              </w:rPr>
              <w:t>enum</w:t>
            </w:r>
          </w:p>
        </w:tc>
        <w:tc>
          <w:tcPr>
            <w:tcW w:type="dxa" w:w="6840"/>
            <w:vAlign w:val="center"/>
          </w:tcPr>
          <w:p>
            <w:pPr>
              <w:spacing w:after="0"/>
            </w:pPr>
            <w:r>
              <w:rPr>
                <w:sz w:val="17"/>
              </w:rPr>
              <w:t>Declares an enumeration type containing a fixed set of constants.</w:t>
            </w:r>
          </w:p>
        </w:tc>
        <w:tc>
          <w:tcPr>
            <w:tcW w:type="dxa" w:w="2376"/>
            <w:vAlign w:val="center"/>
          </w:tcPr>
          <w:p>
            <w:pPr>
              <w:spacing w:after="0"/>
            </w:pPr>
            <w:r>
              <w:rPr>
                <w:sz w:val="17"/>
              </w:rPr>
              <w:t>In use</w:t>
            </w:r>
          </w:p>
        </w:tc>
      </w:tr>
      <w:tr>
        <w:tc>
          <w:tcPr>
            <w:tcW w:type="dxa" w:w="605"/>
            <w:vAlign w:val="center"/>
          </w:tcPr>
          <w:p>
            <w:pPr>
              <w:spacing w:after="0"/>
            </w:pPr>
            <w:r>
              <w:rPr>
                <w:sz w:val="17"/>
              </w:rPr>
              <w:t>17</w:t>
            </w:r>
          </w:p>
        </w:tc>
        <w:tc>
          <w:tcPr>
            <w:tcW w:type="dxa" w:w="1944"/>
            <w:vAlign w:val="center"/>
          </w:tcPr>
          <w:p>
            <w:pPr>
              <w:spacing w:after="0"/>
            </w:pPr>
            <w:r>
              <w:rPr>
                <w:b/>
                <w:sz w:val="17"/>
              </w:rPr>
              <w:t>extends</w:t>
            </w:r>
          </w:p>
        </w:tc>
        <w:tc>
          <w:tcPr>
            <w:tcW w:type="dxa" w:w="6840"/>
            <w:vAlign w:val="center"/>
          </w:tcPr>
          <w:p>
            <w:pPr>
              <w:spacing w:after="0"/>
            </w:pPr>
            <w:r>
              <w:rPr>
                <w:sz w:val="17"/>
              </w:rPr>
              <w:t>Specifies inheritance from a superclass or extension of an interface.</w:t>
            </w:r>
          </w:p>
        </w:tc>
        <w:tc>
          <w:tcPr>
            <w:tcW w:type="dxa" w:w="2376"/>
            <w:vAlign w:val="center"/>
          </w:tcPr>
          <w:p>
            <w:pPr>
              <w:spacing w:after="0"/>
            </w:pPr>
            <w:r>
              <w:rPr>
                <w:sz w:val="17"/>
              </w:rPr>
              <w:t>In use</w:t>
            </w:r>
          </w:p>
        </w:tc>
      </w:tr>
      <w:tr>
        <w:tc>
          <w:tcPr>
            <w:tcW w:type="dxa" w:w="605"/>
            <w:vAlign w:val="center"/>
          </w:tcPr>
          <w:p>
            <w:pPr>
              <w:spacing w:after="0"/>
            </w:pPr>
            <w:r>
              <w:rPr>
                <w:sz w:val="17"/>
              </w:rPr>
              <w:t>18</w:t>
            </w:r>
          </w:p>
        </w:tc>
        <w:tc>
          <w:tcPr>
            <w:tcW w:type="dxa" w:w="1944"/>
            <w:vAlign w:val="center"/>
          </w:tcPr>
          <w:p>
            <w:pPr>
              <w:spacing w:after="0"/>
            </w:pPr>
            <w:r>
              <w:rPr>
                <w:b/>
                <w:sz w:val="17"/>
              </w:rPr>
              <w:t>final</w:t>
            </w:r>
          </w:p>
        </w:tc>
        <w:tc>
          <w:tcPr>
            <w:tcW w:type="dxa" w:w="6840"/>
            <w:vAlign w:val="center"/>
          </w:tcPr>
          <w:p>
            <w:pPr>
              <w:spacing w:after="0"/>
            </w:pPr>
            <w:r>
              <w:rPr>
                <w:sz w:val="17"/>
              </w:rPr>
              <w:t>Prevents a variable from being reassigned, a method from being overridden, or a class from being subclassed.</w:t>
            </w:r>
          </w:p>
        </w:tc>
        <w:tc>
          <w:tcPr>
            <w:tcW w:type="dxa" w:w="2376"/>
            <w:vAlign w:val="center"/>
          </w:tcPr>
          <w:p>
            <w:pPr>
              <w:spacing w:after="0"/>
            </w:pPr>
            <w:r>
              <w:rPr>
                <w:sz w:val="17"/>
              </w:rPr>
              <w:t>In use</w:t>
            </w:r>
          </w:p>
        </w:tc>
      </w:tr>
      <w:tr>
        <w:tc>
          <w:tcPr>
            <w:tcW w:type="dxa" w:w="605"/>
            <w:vAlign w:val="center"/>
          </w:tcPr>
          <w:p>
            <w:pPr>
              <w:spacing w:after="0"/>
            </w:pPr>
            <w:r>
              <w:rPr>
                <w:sz w:val="17"/>
              </w:rPr>
              <w:t>19</w:t>
            </w:r>
          </w:p>
        </w:tc>
        <w:tc>
          <w:tcPr>
            <w:tcW w:type="dxa" w:w="1944"/>
            <w:vAlign w:val="center"/>
          </w:tcPr>
          <w:p>
            <w:pPr>
              <w:spacing w:after="0"/>
            </w:pPr>
            <w:r>
              <w:rPr>
                <w:b/>
                <w:sz w:val="17"/>
              </w:rPr>
              <w:t>finally</w:t>
            </w:r>
          </w:p>
        </w:tc>
        <w:tc>
          <w:tcPr>
            <w:tcW w:type="dxa" w:w="6840"/>
            <w:vAlign w:val="center"/>
          </w:tcPr>
          <w:p>
            <w:pPr>
              <w:spacing w:after="0"/>
            </w:pPr>
            <w:r>
              <w:rPr>
                <w:sz w:val="17"/>
              </w:rPr>
              <w:t>Defines a block that executes after try/catch processing, normally whether or not an exception occurs.</w:t>
            </w:r>
          </w:p>
        </w:tc>
        <w:tc>
          <w:tcPr>
            <w:tcW w:type="dxa" w:w="2376"/>
            <w:vAlign w:val="center"/>
          </w:tcPr>
          <w:p>
            <w:pPr>
              <w:spacing w:after="0"/>
            </w:pPr>
            <w:r>
              <w:rPr>
                <w:sz w:val="17"/>
              </w:rPr>
              <w:t>In use</w:t>
            </w:r>
          </w:p>
        </w:tc>
      </w:tr>
      <w:tr>
        <w:tc>
          <w:tcPr>
            <w:tcW w:type="dxa" w:w="605"/>
            <w:vAlign w:val="center"/>
          </w:tcPr>
          <w:p>
            <w:pPr>
              <w:spacing w:after="0"/>
            </w:pPr>
            <w:r>
              <w:rPr>
                <w:sz w:val="17"/>
              </w:rPr>
              <w:t>20</w:t>
            </w:r>
          </w:p>
        </w:tc>
        <w:tc>
          <w:tcPr>
            <w:tcW w:type="dxa" w:w="1944"/>
            <w:vAlign w:val="center"/>
          </w:tcPr>
          <w:p>
            <w:pPr>
              <w:spacing w:after="0"/>
            </w:pPr>
            <w:r>
              <w:rPr>
                <w:b/>
                <w:sz w:val="17"/>
              </w:rPr>
              <w:t>float</w:t>
            </w:r>
          </w:p>
        </w:tc>
        <w:tc>
          <w:tcPr>
            <w:tcW w:type="dxa" w:w="6840"/>
            <w:vAlign w:val="center"/>
          </w:tcPr>
          <w:p>
            <w:pPr>
              <w:spacing w:after="0"/>
            </w:pPr>
            <w:r>
              <w:rPr>
                <w:sz w:val="17"/>
              </w:rPr>
              <w:t>Declares a 32-bit floating-point primitive type.</w:t>
            </w:r>
          </w:p>
        </w:tc>
        <w:tc>
          <w:tcPr>
            <w:tcW w:type="dxa" w:w="2376"/>
            <w:vAlign w:val="center"/>
          </w:tcPr>
          <w:p>
            <w:pPr>
              <w:spacing w:after="0"/>
            </w:pPr>
            <w:r>
              <w:rPr>
                <w:sz w:val="17"/>
              </w:rPr>
              <w:t>In use</w:t>
            </w:r>
          </w:p>
        </w:tc>
      </w:tr>
      <w:tr>
        <w:tc>
          <w:tcPr>
            <w:tcW w:type="dxa" w:w="605"/>
            <w:vAlign w:val="center"/>
          </w:tcPr>
          <w:p>
            <w:pPr>
              <w:spacing w:after="0"/>
            </w:pPr>
            <w:r>
              <w:rPr>
                <w:sz w:val="17"/>
              </w:rPr>
              <w:t>21</w:t>
            </w:r>
          </w:p>
        </w:tc>
        <w:tc>
          <w:tcPr>
            <w:tcW w:type="dxa" w:w="1944"/>
            <w:vAlign w:val="center"/>
          </w:tcPr>
          <w:p>
            <w:pPr>
              <w:spacing w:after="0"/>
            </w:pPr>
            <w:r>
              <w:rPr>
                <w:b/>
                <w:sz w:val="17"/>
              </w:rPr>
              <w:t>for</w:t>
            </w:r>
          </w:p>
        </w:tc>
        <w:tc>
          <w:tcPr>
            <w:tcW w:type="dxa" w:w="6840"/>
            <w:vAlign w:val="center"/>
          </w:tcPr>
          <w:p>
            <w:pPr>
              <w:spacing w:after="0"/>
            </w:pPr>
            <w:r>
              <w:rPr>
                <w:sz w:val="17"/>
              </w:rPr>
              <w:t>Begins a for loop.</w:t>
            </w:r>
          </w:p>
        </w:tc>
        <w:tc>
          <w:tcPr>
            <w:tcW w:type="dxa" w:w="2376"/>
            <w:vAlign w:val="center"/>
          </w:tcPr>
          <w:p>
            <w:pPr>
              <w:spacing w:after="0"/>
            </w:pPr>
            <w:r>
              <w:rPr>
                <w:sz w:val="17"/>
              </w:rPr>
              <w:t>In use</w:t>
            </w:r>
          </w:p>
        </w:tc>
      </w:tr>
      <w:tr>
        <w:tc>
          <w:tcPr>
            <w:tcW w:type="dxa" w:w="605"/>
            <w:vAlign w:val="center"/>
          </w:tcPr>
          <w:p>
            <w:pPr>
              <w:spacing w:after="0"/>
            </w:pPr>
            <w:r>
              <w:rPr>
                <w:sz w:val="17"/>
              </w:rPr>
              <w:t>22</w:t>
            </w:r>
          </w:p>
        </w:tc>
        <w:tc>
          <w:tcPr>
            <w:tcW w:type="dxa" w:w="1944"/>
            <w:vAlign w:val="center"/>
          </w:tcPr>
          <w:p>
            <w:pPr>
              <w:spacing w:after="0"/>
            </w:pPr>
            <w:r>
              <w:rPr>
                <w:b/>
                <w:sz w:val="17"/>
              </w:rPr>
              <w:t>goto</w:t>
            </w:r>
          </w:p>
        </w:tc>
        <w:tc>
          <w:tcPr>
            <w:tcW w:type="dxa" w:w="6840"/>
            <w:vAlign w:val="center"/>
          </w:tcPr>
          <w:p>
            <w:pPr>
              <w:spacing w:after="0"/>
            </w:pPr>
            <w:r>
              <w:rPr>
                <w:sz w:val="17"/>
              </w:rPr>
              <w:t>Reserved for possible future use; Java has no goto statement.</w:t>
            </w:r>
          </w:p>
        </w:tc>
        <w:tc>
          <w:tcPr>
            <w:tcW w:type="dxa" w:w="2376"/>
            <w:vAlign w:val="center"/>
          </w:tcPr>
          <w:p>
            <w:pPr>
              <w:spacing w:after="0"/>
            </w:pPr>
            <w:r>
              <w:rPr>
                <w:sz w:val="17"/>
              </w:rPr>
              <w:t>Reserved / not implemented</w:t>
            </w:r>
          </w:p>
        </w:tc>
      </w:tr>
      <w:tr>
        <w:tc>
          <w:tcPr>
            <w:tcW w:type="dxa" w:w="605"/>
            <w:vAlign w:val="center"/>
          </w:tcPr>
          <w:p>
            <w:pPr>
              <w:spacing w:after="0"/>
            </w:pPr>
            <w:r>
              <w:rPr>
                <w:sz w:val="17"/>
              </w:rPr>
              <w:t>23</w:t>
            </w:r>
          </w:p>
        </w:tc>
        <w:tc>
          <w:tcPr>
            <w:tcW w:type="dxa" w:w="1944"/>
            <w:vAlign w:val="center"/>
          </w:tcPr>
          <w:p>
            <w:pPr>
              <w:spacing w:after="0"/>
            </w:pPr>
            <w:r>
              <w:rPr>
                <w:b/>
                <w:sz w:val="17"/>
              </w:rPr>
              <w:t>if</w:t>
            </w:r>
          </w:p>
        </w:tc>
        <w:tc>
          <w:tcPr>
            <w:tcW w:type="dxa" w:w="6840"/>
            <w:vAlign w:val="center"/>
          </w:tcPr>
          <w:p>
            <w:pPr>
              <w:spacing w:after="0"/>
            </w:pPr>
            <w:r>
              <w:rPr>
                <w:sz w:val="17"/>
              </w:rPr>
              <w:t>Begins a conditional statement.</w:t>
            </w:r>
          </w:p>
        </w:tc>
        <w:tc>
          <w:tcPr>
            <w:tcW w:type="dxa" w:w="2376"/>
            <w:vAlign w:val="center"/>
          </w:tcPr>
          <w:p>
            <w:pPr>
              <w:spacing w:after="0"/>
            </w:pPr>
            <w:r>
              <w:rPr>
                <w:sz w:val="17"/>
              </w:rPr>
              <w:t>In use</w:t>
            </w:r>
          </w:p>
        </w:tc>
      </w:tr>
      <w:tr>
        <w:tc>
          <w:tcPr>
            <w:tcW w:type="dxa" w:w="605"/>
            <w:vAlign w:val="center"/>
          </w:tcPr>
          <w:p>
            <w:pPr>
              <w:spacing w:after="0"/>
            </w:pPr>
            <w:r>
              <w:rPr>
                <w:sz w:val="17"/>
              </w:rPr>
              <w:t>24</w:t>
            </w:r>
          </w:p>
        </w:tc>
        <w:tc>
          <w:tcPr>
            <w:tcW w:type="dxa" w:w="1944"/>
            <w:vAlign w:val="center"/>
          </w:tcPr>
          <w:p>
            <w:pPr>
              <w:spacing w:after="0"/>
            </w:pPr>
            <w:r>
              <w:rPr>
                <w:b/>
                <w:sz w:val="17"/>
              </w:rPr>
              <w:t>implements</w:t>
            </w:r>
          </w:p>
        </w:tc>
        <w:tc>
          <w:tcPr>
            <w:tcW w:type="dxa" w:w="6840"/>
            <w:vAlign w:val="center"/>
          </w:tcPr>
          <w:p>
            <w:pPr>
              <w:spacing w:after="0"/>
            </w:pPr>
            <w:r>
              <w:rPr>
                <w:sz w:val="17"/>
              </w:rPr>
              <w:t>Specifies that a class implements one or more interfaces.</w:t>
            </w:r>
          </w:p>
        </w:tc>
        <w:tc>
          <w:tcPr>
            <w:tcW w:type="dxa" w:w="2376"/>
            <w:vAlign w:val="center"/>
          </w:tcPr>
          <w:p>
            <w:pPr>
              <w:spacing w:after="0"/>
            </w:pPr>
            <w:r>
              <w:rPr>
                <w:sz w:val="17"/>
              </w:rPr>
              <w:t>In use</w:t>
            </w:r>
          </w:p>
        </w:tc>
      </w:tr>
      <w:tr>
        <w:tc>
          <w:tcPr>
            <w:tcW w:type="dxa" w:w="605"/>
            <w:vAlign w:val="center"/>
          </w:tcPr>
          <w:p>
            <w:pPr>
              <w:spacing w:after="0"/>
            </w:pPr>
            <w:r>
              <w:rPr>
                <w:sz w:val="17"/>
              </w:rPr>
              <w:t>25</w:t>
            </w:r>
          </w:p>
        </w:tc>
        <w:tc>
          <w:tcPr>
            <w:tcW w:type="dxa" w:w="1944"/>
            <w:vAlign w:val="center"/>
          </w:tcPr>
          <w:p>
            <w:pPr>
              <w:spacing w:after="0"/>
            </w:pPr>
            <w:r>
              <w:rPr>
                <w:b/>
                <w:sz w:val="17"/>
              </w:rPr>
              <w:t>import</w:t>
            </w:r>
          </w:p>
        </w:tc>
        <w:tc>
          <w:tcPr>
            <w:tcW w:type="dxa" w:w="6840"/>
            <w:vAlign w:val="center"/>
          </w:tcPr>
          <w:p>
            <w:pPr>
              <w:spacing w:after="0"/>
            </w:pPr>
            <w:r>
              <w:rPr>
                <w:sz w:val="17"/>
              </w:rPr>
              <w:t>Makes classes, interfaces, or packages available by name in a source file.</w:t>
            </w:r>
          </w:p>
        </w:tc>
        <w:tc>
          <w:tcPr>
            <w:tcW w:type="dxa" w:w="2376"/>
            <w:vAlign w:val="center"/>
          </w:tcPr>
          <w:p>
            <w:pPr>
              <w:spacing w:after="0"/>
            </w:pPr>
            <w:r>
              <w:rPr>
                <w:sz w:val="17"/>
              </w:rPr>
              <w:t>In use</w:t>
            </w:r>
          </w:p>
        </w:tc>
      </w:tr>
      <w:tr>
        <w:tc>
          <w:tcPr>
            <w:tcW w:type="dxa" w:w="605"/>
            <w:vAlign w:val="center"/>
          </w:tcPr>
          <w:p>
            <w:pPr>
              <w:spacing w:after="0"/>
            </w:pPr>
            <w:r>
              <w:rPr>
                <w:sz w:val="17"/>
              </w:rPr>
              <w:t>26</w:t>
            </w:r>
          </w:p>
        </w:tc>
        <w:tc>
          <w:tcPr>
            <w:tcW w:type="dxa" w:w="1944"/>
            <w:vAlign w:val="center"/>
          </w:tcPr>
          <w:p>
            <w:pPr>
              <w:spacing w:after="0"/>
            </w:pPr>
            <w:r>
              <w:rPr>
                <w:b/>
                <w:sz w:val="17"/>
              </w:rPr>
              <w:t>instanceof</w:t>
            </w:r>
          </w:p>
        </w:tc>
        <w:tc>
          <w:tcPr>
            <w:tcW w:type="dxa" w:w="6840"/>
            <w:vAlign w:val="center"/>
          </w:tcPr>
          <w:p>
            <w:pPr>
              <w:spacing w:after="0"/>
            </w:pPr>
            <w:r>
              <w:rPr>
                <w:sz w:val="17"/>
              </w:rPr>
              <w:t>Tests whether an object is an instance of a specified type.</w:t>
            </w:r>
          </w:p>
        </w:tc>
        <w:tc>
          <w:tcPr>
            <w:tcW w:type="dxa" w:w="2376"/>
            <w:vAlign w:val="center"/>
          </w:tcPr>
          <w:p>
            <w:pPr>
              <w:spacing w:after="0"/>
            </w:pPr>
            <w:r>
              <w:rPr>
                <w:sz w:val="17"/>
              </w:rPr>
              <w:t>In use</w:t>
            </w:r>
          </w:p>
        </w:tc>
      </w:tr>
      <w:tr>
        <w:tc>
          <w:tcPr>
            <w:tcW w:type="dxa" w:w="605"/>
            <w:vAlign w:val="center"/>
          </w:tcPr>
          <w:p>
            <w:pPr>
              <w:spacing w:after="0"/>
            </w:pPr>
            <w:r>
              <w:rPr>
                <w:sz w:val="17"/>
              </w:rPr>
              <w:t>27</w:t>
            </w:r>
          </w:p>
        </w:tc>
        <w:tc>
          <w:tcPr>
            <w:tcW w:type="dxa" w:w="1944"/>
            <w:vAlign w:val="center"/>
          </w:tcPr>
          <w:p>
            <w:pPr>
              <w:spacing w:after="0"/>
            </w:pPr>
            <w:r>
              <w:rPr>
                <w:b/>
                <w:sz w:val="17"/>
              </w:rPr>
              <w:t>int</w:t>
            </w:r>
          </w:p>
        </w:tc>
        <w:tc>
          <w:tcPr>
            <w:tcW w:type="dxa" w:w="6840"/>
            <w:vAlign w:val="center"/>
          </w:tcPr>
          <w:p>
            <w:pPr>
              <w:spacing w:after="0"/>
            </w:pPr>
            <w:r>
              <w:rPr>
                <w:sz w:val="17"/>
              </w:rPr>
              <w:t>Declares a 32-bit signed integer primitive type.</w:t>
            </w:r>
          </w:p>
        </w:tc>
        <w:tc>
          <w:tcPr>
            <w:tcW w:type="dxa" w:w="2376"/>
            <w:vAlign w:val="center"/>
          </w:tcPr>
          <w:p>
            <w:pPr>
              <w:spacing w:after="0"/>
            </w:pPr>
            <w:r>
              <w:rPr>
                <w:sz w:val="17"/>
              </w:rPr>
              <w:t>In use</w:t>
            </w:r>
          </w:p>
        </w:tc>
      </w:tr>
      <w:tr>
        <w:tc>
          <w:tcPr>
            <w:tcW w:type="dxa" w:w="605"/>
            <w:vAlign w:val="center"/>
          </w:tcPr>
          <w:p>
            <w:pPr>
              <w:spacing w:after="0"/>
            </w:pPr>
            <w:r>
              <w:rPr>
                <w:sz w:val="17"/>
              </w:rPr>
              <w:t>28</w:t>
            </w:r>
          </w:p>
        </w:tc>
        <w:tc>
          <w:tcPr>
            <w:tcW w:type="dxa" w:w="1944"/>
            <w:vAlign w:val="center"/>
          </w:tcPr>
          <w:p>
            <w:pPr>
              <w:spacing w:after="0"/>
            </w:pPr>
            <w:r>
              <w:rPr>
                <w:b/>
                <w:sz w:val="17"/>
              </w:rPr>
              <w:t>interface</w:t>
            </w:r>
          </w:p>
        </w:tc>
        <w:tc>
          <w:tcPr>
            <w:tcW w:type="dxa" w:w="6840"/>
            <w:vAlign w:val="center"/>
          </w:tcPr>
          <w:p>
            <w:pPr>
              <w:spacing w:after="0"/>
            </w:pPr>
            <w:r>
              <w:rPr>
                <w:sz w:val="17"/>
              </w:rPr>
              <w:t>Declares an interface.</w:t>
            </w:r>
          </w:p>
        </w:tc>
        <w:tc>
          <w:tcPr>
            <w:tcW w:type="dxa" w:w="2376"/>
            <w:vAlign w:val="center"/>
          </w:tcPr>
          <w:p>
            <w:pPr>
              <w:spacing w:after="0"/>
            </w:pPr>
            <w:r>
              <w:rPr>
                <w:sz w:val="17"/>
              </w:rPr>
              <w:t>In use</w:t>
            </w:r>
          </w:p>
        </w:tc>
      </w:tr>
      <w:tr>
        <w:tc>
          <w:tcPr>
            <w:tcW w:type="dxa" w:w="605"/>
            <w:vAlign w:val="center"/>
          </w:tcPr>
          <w:p>
            <w:pPr>
              <w:spacing w:after="0"/>
            </w:pPr>
            <w:r>
              <w:rPr>
                <w:sz w:val="17"/>
              </w:rPr>
              <w:t>29</w:t>
            </w:r>
          </w:p>
        </w:tc>
        <w:tc>
          <w:tcPr>
            <w:tcW w:type="dxa" w:w="1944"/>
            <w:vAlign w:val="center"/>
          </w:tcPr>
          <w:p>
            <w:pPr>
              <w:spacing w:after="0"/>
            </w:pPr>
            <w:r>
              <w:rPr>
                <w:b/>
                <w:sz w:val="17"/>
              </w:rPr>
              <w:t>long</w:t>
            </w:r>
          </w:p>
        </w:tc>
        <w:tc>
          <w:tcPr>
            <w:tcW w:type="dxa" w:w="6840"/>
            <w:vAlign w:val="center"/>
          </w:tcPr>
          <w:p>
            <w:pPr>
              <w:spacing w:after="0"/>
            </w:pPr>
            <w:r>
              <w:rPr>
                <w:sz w:val="17"/>
              </w:rPr>
              <w:t>Declares a 64-bit signed integer primitive type.</w:t>
            </w:r>
          </w:p>
        </w:tc>
        <w:tc>
          <w:tcPr>
            <w:tcW w:type="dxa" w:w="2376"/>
            <w:vAlign w:val="center"/>
          </w:tcPr>
          <w:p>
            <w:pPr>
              <w:spacing w:after="0"/>
            </w:pPr>
            <w:r>
              <w:rPr>
                <w:sz w:val="17"/>
              </w:rPr>
              <w:t>In use</w:t>
            </w:r>
          </w:p>
        </w:tc>
      </w:tr>
      <w:tr>
        <w:tc>
          <w:tcPr>
            <w:tcW w:type="dxa" w:w="605"/>
            <w:vAlign w:val="center"/>
          </w:tcPr>
          <w:p>
            <w:pPr>
              <w:spacing w:after="0"/>
            </w:pPr>
            <w:r>
              <w:rPr>
                <w:sz w:val="17"/>
              </w:rPr>
              <w:t>30</w:t>
            </w:r>
          </w:p>
        </w:tc>
        <w:tc>
          <w:tcPr>
            <w:tcW w:type="dxa" w:w="1944"/>
            <w:vAlign w:val="center"/>
          </w:tcPr>
          <w:p>
            <w:pPr>
              <w:spacing w:after="0"/>
            </w:pPr>
            <w:r>
              <w:rPr>
                <w:b/>
                <w:sz w:val="17"/>
              </w:rPr>
              <w:t>native</w:t>
            </w:r>
          </w:p>
        </w:tc>
        <w:tc>
          <w:tcPr>
            <w:tcW w:type="dxa" w:w="6840"/>
            <w:vAlign w:val="center"/>
          </w:tcPr>
          <w:p>
            <w:pPr>
              <w:spacing w:after="0"/>
            </w:pPr>
            <w:r>
              <w:rPr>
                <w:sz w:val="17"/>
              </w:rPr>
              <w:t>Indicates that a method is implemented in platform-specific native code.</w:t>
            </w:r>
          </w:p>
        </w:tc>
        <w:tc>
          <w:tcPr>
            <w:tcW w:type="dxa" w:w="2376"/>
            <w:vAlign w:val="center"/>
          </w:tcPr>
          <w:p>
            <w:pPr>
              <w:spacing w:after="0"/>
            </w:pPr>
            <w:r>
              <w:rPr>
                <w:sz w:val="17"/>
              </w:rPr>
              <w:t>In use</w:t>
            </w:r>
          </w:p>
        </w:tc>
      </w:tr>
      <w:tr>
        <w:tc>
          <w:tcPr>
            <w:tcW w:type="dxa" w:w="605"/>
            <w:vAlign w:val="center"/>
          </w:tcPr>
          <w:p>
            <w:pPr>
              <w:spacing w:after="0"/>
            </w:pPr>
            <w:r>
              <w:rPr>
                <w:sz w:val="17"/>
              </w:rPr>
              <w:t>31</w:t>
            </w:r>
          </w:p>
        </w:tc>
        <w:tc>
          <w:tcPr>
            <w:tcW w:type="dxa" w:w="1944"/>
            <w:vAlign w:val="center"/>
          </w:tcPr>
          <w:p>
            <w:pPr>
              <w:spacing w:after="0"/>
            </w:pPr>
            <w:r>
              <w:rPr>
                <w:b/>
                <w:sz w:val="17"/>
              </w:rPr>
              <w:t>new</w:t>
            </w:r>
          </w:p>
        </w:tc>
        <w:tc>
          <w:tcPr>
            <w:tcW w:type="dxa" w:w="6840"/>
            <w:vAlign w:val="center"/>
          </w:tcPr>
          <w:p>
            <w:pPr>
              <w:spacing w:after="0"/>
            </w:pPr>
            <w:r>
              <w:rPr>
                <w:sz w:val="17"/>
              </w:rPr>
              <w:t>Creates a new object or array.</w:t>
            </w:r>
          </w:p>
        </w:tc>
        <w:tc>
          <w:tcPr>
            <w:tcW w:type="dxa" w:w="2376"/>
            <w:vAlign w:val="center"/>
          </w:tcPr>
          <w:p>
            <w:pPr>
              <w:spacing w:after="0"/>
            </w:pPr>
            <w:r>
              <w:rPr>
                <w:sz w:val="17"/>
              </w:rPr>
              <w:t>In use</w:t>
            </w:r>
          </w:p>
        </w:tc>
      </w:tr>
      <w:tr>
        <w:tc>
          <w:tcPr>
            <w:tcW w:type="dxa" w:w="605"/>
            <w:vAlign w:val="center"/>
          </w:tcPr>
          <w:p>
            <w:pPr>
              <w:spacing w:after="0"/>
            </w:pPr>
            <w:r>
              <w:rPr>
                <w:sz w:val="17"/>
              </w:rPr>
              <w:t>32</w:t>
            </w:r>
          </w:p>
        </w:tc>
        <w:tc>
          <w:tcPr>
            <w:tcW w:type="dxa" w:w="1944"/>
            <w:vAlign w:val="center"/>
          </w:tcPr>
          <w:p>
            <w:pPr>
              <w:spacing w:after="0"/>
            </w:pPr>
            <w:r>
              <w:rPr>
                <w:b/>
                <w:sz w:val="17"/>
              </w:rPr>
              <w:t>package</w:t>
            </w:r>
          </w:p>
        </w:tc>
        <w:tc>
          <w:tcPr>
            <w:tcW w:type="dxa" w:w="6840"/>
            <w:vAlign w:val="center"/>
          </w:tcPr>
          <w:p>
            <w:pPr>
              <w:spacing w:after="0"/>
            </w:pPr>
            <w:r>
              <w:rPr>
                <w:sz w:val="17"/>
              </w:rPr>
              <w:t>Declares the package to which a class or interface belongs.</w:t>
            </w:r>
          </w:p>
        </w:tc>
        <w:tc>
          <w:tcPr>
            <w:tcW w:type="dxa" w:w="2376"/>
            <w:vAlign w:val="center"/>
          </w:tcPr>
          <w:p>
            <w:pPr>
              <w:spacing w:after="0"/>
            </w:pPr>
            <w:r>
              <w:rPr>
                <w:sz w:val="17"/>
              </w:rPr>
              <w:t>In use</w:t>
            </w:r>
          </w:p>
        </w:tc>
      </w:tr>
      <w:tr>
        <w:tc>
          <w:tcPr>
            <w:tcW w:type="dxa" w:w="605"/>
            <w:vAlign w:val="center"/>
          </w:tcPr>
          <w:p>
            <w:pPr>
              <w:spacing w:after="0"/>
            </w:pPr>
            <w:r>
              <w:rPr>
                <w:sz w:val="17"/>
              </w:rPr>
              <w:t>33</w:t>
            </w:r>
          </w:p>
        </w:tc>
        <w:tc>
          <w:tcPr>
            <w:tcW w:type="dxa" w:w="1944"/>
            <w:vAlign w:val="center"/>
          </w:tcPr>
          <w:p>
            <w:pPr>
              <w:spacing w:after="0"/>
            </w:pPr>
            <w:r>
              <w:rPr>
                <w:b/>
                <w:sz w:val="17"/>
              </w:rPr>
              <w:t>private</w:t>
            </w:r>
          </w:p>
        </w:tc>
        <w:tc>
          <w:tcPr>
            <w:tcW w:type="dxa" w:w="6840"/>
            <w:vAlign w:val="center"/>
          </w:tcPr>
          <w:p>
            <w:pPr>
              <w:spacing w:after="0"/>
            </w:pPr>
            <w:r>
              <w:rPr>
                <w:sz w:val="17"/>
              </w:rPr>
              <w:t>Allows access only within the declaring class or interface.</w:t>
            </w:r>
          </w:p>
        </w:tc>
        <w:tc>
          <w:tcPr>
            <w:tcW w:type="dxa" w:w="2376"/>
            <w:vAlign w:val="center"/>
          </w:tcPr>
          <w:p>
            <w:pPr>
              <w:spacing w:after="0"/>
            </w:pPr>
            <w:r>
              <w:rPr>
                <w:sz w:val="17"/>
              </w:rPr>
              <w:t>In use</w:t>
            </w:r>
          </w:p>
        </w:tc>
      </w:tr>
      <w:tr>
        <w:tc>
          <w:tcPr>
            <w:tcW w:type="dxa" w:w="605"/>
            <w:vAlign w:val="center"/>
          </w:tcPr>
          <w:p>
            <w:pPr>
              <w:spacing w:after="0"/>
            </w:pPr>
            <w:r>
              <w:rPr>
                <w:sz w:val="17"/>
              </w:rPr>
              <w:t>34</w:t>
            </w:r>
          </w:p>
        </w:tc>
        <w:tc>
          <w:tcPr>
            <w:tcW w:type="dxa" w:w="1944"/>
            <w:vAlign w:val="center"/>
          </w:tcPr>
          <w:p>
            <w:pPr>
              <w:spacing w:after="0"/>
            </w:pPr>
            <w:r>
              <w:rPr>
                <w:b/>
                <w:sz w:val="17"/>
              </w:rPr>
              <w:t>protected</w:t>
            </w:r>
          </w:p>
        </w:tc>
        <w:tc>
          <w:tcPr>
            <w:tcW w:type="dxa" w:w="6840"/>
            <w:vAlign w:val="center"/>
          </w:tcPr>
          <w:p>
            <w:pPr>
              <w:spacing w:after="0"/>
            </w:pPr>
            <w:r>
              <w:rPr>
                <w:sz w:val="17"/>
              </w:rPr>
              <w:t>Allows access within the same package and, with inheritance rules, from subclasses.</w:t>
            </w:r>
          </w:p>
        </w:tc>
        <w:tc>
          <w:tcPr>
            <w:tcW w:type="dxa" w:w="2376"/>
            <w:vAlign w:val="center"/>
          </w:tcPr>
          <w:p>
            <w:pPr>
              <w:spacing w:after="0"/>
            </w:pPr>
            <w:r>
              <w:rPr>
                <w:sz w:val="17"/>
              </w:rPr>
              <w:t>In use</w:t>
            </w:r>
          </w:p>
        </w:tc>
      </w:tr>
      <w:tr>
        <w:tc>
          <w:tcPr>
            <w:tcW w:type="dxa" w:w="605"/>
            <w:vAlign w:val="center"/>
          </w:tcPr>
          <w:p>
            <w:pPr>
              <w:spacing w:after="0"/>
            </w:pPr>
            <w:r>
              <w:rPr>
                <w:sz w:val="17"/>
              </w:rPr>
              <w:t>35</w:t>
            </w:r>
          </w:p>
        </w:tc>
        <w:tc>
          <w:tcPr>
            <w:tcW w:type="dxa" w:w="1944"/>
            <w:vAlign w:val="center"/>
          </w:tcPr>
          <w:p>
            <w:pPr>
              <w:spacing w:after="0"/>
            </w:pPr>
            <w:r>
              <w:rPr>
                <w:b/>
                <w:sz w:val="17"/>
              </w:rPr>
              <w:t>public</w:t>
            </w:r>
          </w:p>
        </w:tc>
        <w:tc>
          <w:tcPr>
            <w:tcW w:type="dxa" w:w="6840"/>
            <w:vAlign w:val="center"/>
          </w:tcPr>
          <w:p>
            <w:pPr>
              <w:spacing w:after="0"/>
            </w:pPr>
            <w:r>
              <w:rPr>
                <w:sz w:val="17"/>
              </w:rPr>
              <w:t>Makes a class or member accessible according to Java's public-access rules.</w:t>
            </w:r>
          </w:p>
        </w:tc>
        <w:tc>
          <w:tcPr>
            <w:tcW w:type="dxa" w:w="2376"/>
            <w:vAlign w:val="center"/>
          </w:tcPr>
          <w:p>
            <w:pPr>
              <w:spacing w:after="0"/>
            </w:pPr>
            <w:r>
              <w:rPr>
                <w:sz w:val="17"/>
              </w:rPr>
              <w:t>In use</w:t>
            </w:r>
          </w:p>
        </w:tc>
      </w:tr>
      <w:tr>
        <w:tc>
          <w:tcPr>
            <w:tcW w:type="dxa" w:w="605"/>
            <w:vAlign w:val="center"/>
          </w:tcPr>
          <w:p>
            <w:pPr>
              <w:spacing w:after="0"/>
            </w:pPr>
            <w:r>
              <w:rPr>
                <w:sz w:val="17"/>
              </w:rPr>
              <w:t>36</w:t>
            </w:r>
          </w:p>
        </w:tc>
        <w:tc>
          <w:tcPr>
            <w:tcW w:type="dxa" w:w="1944"/>
            <w:vAlign w:val="center"/>
          </w:tcPr>
          <w:p>
            <w:pPr>
              <w:spacing w:after="0"/>
            </w:pPr>
            <w:r>
              <w:rPr>
                <w:b/>
                <w:sz w:val="17"/>
              </w:rPr>
              <w:t>return</w:t>
            </w:r>
          </w:p>
        </w:tc>
        <w:tc>
          <w:tcPr>
            <w:tcW w:type="dxa" w:w="6840"/>
            <w:vAlign w:val="center"/>
          </w:tcPr>
          <w:p>
            <w:pPr>
              <w:spacing w:after="0"/>
            </w:pPr>
            <w:r>
              <w:rPr>
                <w:sz w:val="17"/>
              </w:rPr>
              <w:t>Ends a method and optionally returns a value.</w:t>
            </w:r>
          </w:p>
        </w:tc>
        <w:tc>
          <w:tcPr>
            <w:tcW w:type="dxa" w:w="2376"/>
            <w:vAlign w:val="center"/>
          </w:tcPr>
          <w:p>
            <w:pPr>
              <w:spacing w:after="0"/>
            </w:pPr>
            <w:r>
              <w:rPr>
                <w:sz w:val="17"/>
              </w:rPr>
              <w:t>In use</w:t>
            </w:r>
          </w:p>
        </w:tc>
      </w:tr>
      <w:tr>
        <w:tc>
          <w:tcPr>
            <w:tcW w:type="dxa" w:w="605"/>
            <w:vAlign w:val="center"/>
          </w:tcPr>
          <w:p>
            <w:pPr>
              <w:spacing w:after="0"/>
            </w:pPr>
            <w:r>
              <w:rPr>
                <w:sz w:val="17"/>
              </w:rPr>
              <w:t>37</w:t>
            </w:r>
          </w:p>
        </w:tc>
        <w:tc>
          <w:tcPr>
            <w:tcW w:type="dxa" w:w="1944"/>
            <w:vAlign w:val="center"/>
          </w:tcPr>
          <w:p>
            <w:pPr>
              <w:spacing w:after="0"/>
            </w:pPr>
            <w:r>
              <w:rPr>
                <w:b/>
                <w:sz w:val="17"/>
              </w:rPr>
              <w:t>short</w:t>
            </w:r>
          </w:p>
        </w:tc>
        <w:tc>
          <w:tcPr>
            <w:tcW w:type="dxa" w:w="6840"/>
            <w:vAlign w:val="center"/>
          </w:tcPr>
          <w:p>
            <w:pPr>
              <w:spacing w:after="0"/>
            </w:pPr>
            <w:r>
              <w:rPr>
                <w:sz w:val="17"/>
              </w:rPr>
              <w:t>Declares a 16-bit signed integer primitive type.</w:t>
            </w:r>
          </w:p>
        </w:tc>
        <w:tc>
          <w:tcPr>
            <w:tcW w:type="dxa" w:w="2376"/>
            <w:vAlign w:val="center"/>
          </w:tcPr>
          <w:p>
            <w:pPr>
              <w:spacing w:after="0"/>
            </w:pPr>
            <w:r>
              <w:rPr>
                <w:sz w:val="17"/>
              </w:rPr>
              <w:t>In use</w:t>
            </w:r>
          </w:p>
        </w:tc>
      </w:tr>
      <w:tr>
        <w:tc>
          <w:tcPr>
            <w:tcW w:type="dxa" w:w="605"/>
            <w:vAlign w:val="center"/>
          </w:tcPr>
          <w:p>
            <w:pPr>
              <w:spacing w:after="0"/>
            </w:pPr>
            <w:r>
              <w:rPr>
                <w:sz w:val="17"/>
              </w:rPr>
              <w:t>38</w:t>
            </w:r>
          </w:p>
        </w:tc>
        <w:tc>
          <w:tcPr>
            <w:tcW w:type="dxa" w:w="1944"/>
            <w:vAlign w:val="center"/>
          </w:tcPr>
          <w:p>
            <w:pPr>
              <w:spacing w:after="0"/>
            </w:pPr>
            <w:r>
              <w:rPr>
                <w:b/>
                <w:sz w:val="17"/>
              </w:rPr>
              <w:t>static</w:t>
            </w:r>
          </w:p>
        </w:tc>
        <w:tc>
          <w:tcPr>
            <w:tcW w:type="dxa" w:w="6840"/>
            <w:vAlign w:val="center"/>
          </w:tcPr>
          <w:p>
            <w:pPr>
              <w:spacing w:after="0"/>
            </w:pPr>
            <w:r>
              <w:rPr>
                <w:sz w:val="17"/>
              </w:rPr>
              <w:t>Declares a member that belongs to the class rather than to individual objects.</w:t>
            </w:r>
          </w:p>
        </w:tc>
        <w:tc>
          <w:tcPr>
            <w:tcW w:type="dxa" w:w="2376"/>
            <w:vAlign w:val="center"/>
          </w:tcPr>
          <w:p>
            <w:pPr>
              <w:spacing w:after="0"/>
            </w:pPr>
            <w:r>
              <w:rPr>
                <w:sz w:val="17"/>
              </w:rPr>
              <w:t>In use</w:t>
            </w:r>
          </w:p>
        </w:tc>
      </w:tr>
      <w:tr>
        <w:tc>
          <w:tcPr>
            <w:tcW w:type="dxa" w:w="605"/>
            <w:vAlign w:val="center"/>
          </w:tcPr>
          <w:p>
            <w:pPr>
              <w:spacing w:after="0"/>
            </w:pPr>
            <w:r>
              <w:rPr>
                <w:sz w:val="17"/>
              </w:rPr>
              <w:t>39</w:t>
            </w:r>
          </w:p>
        </w:tc>
        <w:tc>
          <w:tcPr>
            <w:tcW w:type="dxa" w:w="1944"/>
            <w:vAlign w:val="center"/>
          </w:tcPr>
          <w:p>
            <w:pPr>
              <w:spacing w:after="0"/>
            </w:pPr>
            <w:r>
              <w:rPr>
                <w:b/>
                <w:sz w:val="17"/>
              </w:rPr>
              <w:t>strictfp</w:t>
            </w:r>
          </w:p>
        </w:tc>
        <w:tc>
          <w:tcPr>
            <w:tcW w:type="dxa" w:w="6840"/>
            <w:vAlign w:val="center"/>
          </w:tcPr>
          <w:p>
            <w:pPr>
              <w:spacing w:after="0"/>
            </w:pPr>
            <w:r>
              <w:rPr>
                <w:sz w:val="17"/>
              </w:rPr>
              <w:t>Historically enforced strict floating-point evaluation; since Java 17 strict evaluation is the default, so this keyword is obsolete.</w:t>
            </w:r>
          </w:p>
        </w:tc>
        <w:tc>
          <w:tcPr>
            <w:tcW w:type="dxa" w:w="2376"/>
            <w:vAlign w:val="center"/>
          </w:tcPr>
          <w:p>
            <w:pPr>
              <w:spacing w:after="0"/>
            </w:pPr>
            <w:r>
              <w:rPr>
                <w:sz w:val="17"/>
              </w:rPr>
              <w:t>Obsolete / avoid in new code</w:t>
            </w:r>
          </w:p>
        </w:tc>
      </w:tr>
      <w:tr>
        <w:tc>
          <w:tcPr>
            <w:tcW w:type="dxa" w:w="605"/>
            <w:vAlign w:val="center"/>
          </w:tcPr>
          <w:p>
            <w:pPr>
              <w:spacing w:after="0"/>
            </w:pPr>
            <w:r>
              <w:rPr>
                <w:sz w:val="17"/>
              </w:rPr>
              <w:t>40</w:t>
            </w:r>
          </w:p>
        </w:tc>
        <w:tc>
          <w:tcPr>
            <w:tcW w:type="dxa" w:w="1944"/>
            <w:vAlign w:val="center"/>
          </w:tcPr>
          <w:p>
            <w:pPr>
              <w:spacing w:after="0"/>
            </w:pPr>
            <w:r>
              <w:rPr>
                <w:b/>
                <w:sz w:val="17"/>
              </w:rPr>
              <w:t>super</w:t>
            </w:r>
          </w:p>
        </w:tc>
        <w:tc>
          <w:tcPr>
            <w:tcW w:type="dxa" w:w="6840"/>
            <w:vAlign w:val="center"/>
          </w:tcPr>
          <w:p>
            <w:pPr>
              <w:spacing w:after="0"/>
            </w:pPr>
            <w:r>
              <w:rPr>
                <w:sz w:val="17"/>
              </w:rPr>
              <w:t>Refers to the immediate superclass, commonly used to access its members or constructor.</w:t>
            </w:r>
          </w:p>
        </w:tc>
        <w:tc>
          <w:tcPr>
            <w:tcW w:type="dxa" w:w="2376"/>
            <w:vAlign w:val="center"/>
          </w:tcPr>
          <w:p>
            <w:pPr>
              <w:spacing w:after="0"/>
            </w:pPr>
            <w:r>
              <w:rPr>
                <w:sz w:val="17"/>
              </w:rPr>
              <w:t>In use</w:t>
            </w:r>
          </w:p>
        </w:tc>
      </w:tr>
      <w:tr>
        <w:tc>
          <w:tcPr>
            <w:tcW w:type="dxa" w:w="605"/>
            <w:vAlign w:val="center"/>
          </w:tcPr>
          <w:p>
            <w:pPr>
              <w:spacing w:after="0"/>
            </w:pPr>
            <w:r>
              <w:rPr>
                <w:sz w:val="17"/>
              </w:rPr>
              <w:t>41</w:t>
            </w:r>
          </w:p>
        </w:tc>
        <w:tc>
          <w:tcPr>
            <w:tcW w:type="dxa" w:w="1944"/>
            <w:vAlign w:val="center"/>
          </w:tcPr>
          <w:p>
            <w:pPr>
              <w:spacing w:after="0"/>
            </w:pPr>
            <w:r>
              <w:rPr>
                <w:b/>
                <w:sz w:val="17"/>
              </w:rPr>
              <w:t>switch</w:t>
            </w:r>
          </w:p>
        </w:tc>
        <w:tc>
          <w:tcPr>
            <w:tcW w:type="dxa" w:w="6840"/>
            <w:vAlign w:val="center"/>
          </w:tcPr>
          <w:p>
            <w:pPr>
              <w:spacing w:after="0"/>
            </w:pPr>
            <w:r>
              <w:rPr>
                <w:sz w:val="17"/>
              </w:rPr>
              <w:t>Begins a multi-branch selection statement or expression.</w:t>
            </w:r>
          </w:p>
        </w:tc>
        <w:tc>
          <w:tcPr>
            <w:tcW w:type="dxa" w:w="2376"/>
            <w:vAlign w:val="center"/>
          </w:tcPr>
          <w:p>
            <w:pPr>
              <w:spacing w:after="0"/>
            </w:pPr>
            <w:r>
              <w:rPr>
                <w:sz w:val="17"/>
              </w:rPr>
              <w:t>In use</w:t>
            </w:r>
          </w:p>
        </w:tc>
      </w:tr>
      <w:tr>
        <w:tc>
          <w:tcPr>
            <w:tcW w:type="dxa" w:w="605"/>
            <w:vAlign w:val="center"/>
          </w:tcPr>
          <w:p>
            <w:pPr>
              <w:spacing w:after="0"/>
            </w:pPr>
            <w:r>
              <w:rPr>
                <w:sz w:val="17"/>
              </w:rPr>
              <w:t>42</w:t>
            </w:r>
          </w:p>
        </w:tc>
        <w:tc>
          <w:tcPr>
            <w:tcW w:type="dxa" w:w="1944"/>
            <w:vAlign w:val="center"/>
          </w:tcPr>
          <w:p>
            <w:pPr>
              <w:spacing w:after="0"/>
            </w:pPr>
            <w:r>
              <w:rPr>
                <w:b/>
                <w:sz w:val="17"/>
              </w:rPr>
              <w:t>synchronized</w:t>
            </w:r>
          </w:p>
        </w:tc>
        <w:tc>
          <w:tcPr>
            <w:tcW w:type="dxa" w:w="6840"/>
            <w:vAlign w:val="center"/>
          </w:tcPr>
          <w:p>
            <w:pPr>
              <w:spacing w:after="0"/>
            </w:pPr>
            <w:r>
              <w:rPr>
                <w:sz w:val="17"/>
              </w:rPr>
              <w:t>Controls access so that a block or method is executed with a monitor lock for thread safety.</w:t>
            </w:r>
          </w:p>
        </w:tc>
        <w:tc>
          <w:tcPr>
            <w:tcW w:type="dxa" w:w="2376"/>
            <w:vAlign w:val="center"/>
          </w:tcPr>
          <w:p>
            <w:pPr>
              <w:spacing w:after="0"/>
            </w:pPr>
            <w:r>
              <w:rPr>
                <w:sz w:val="17"/>
              </w:rPr>
              <w:t>In use</w:t>
            </w:r>
          </w:p>
        </w:tc>
      </w:tr>
      <w:tr>
        <w:tc>
          <w:tcPr>
            <w:tcW w:type="dxa" w:w="605"/>
            <w:vAlign w:val="center"/>
          </w:tcPr>
          <w:p>
            <w:pPr>
              <w:spacing w:after="0"/>
            </w:pPr>
            <w:r>
              <w:rPr>
                <w:sz w:val="17"/>
              </w:rPr>
              <w:t>43</w:t>
            </w:r>
          </w:p>
        </w:tc>
        <w:tc>
          <w:tcPr>
            <w:tcW w:type="dxa" w:w="1944"/>
            <w:vAlign w:val="center"/>
          </w:tcPr>
          <w:p>
            <w:pPr>
              <w:spacing w:after="0"/>
            </w:pPr>
            <w:r>
              <w:rPr>
                <w:b/>
                <w:sz w:val="17"/>
              </w:rPr>
              <w:t>this</w:t>
            </w:r>
          </w:p>
        </w:tc>
        <w:tc>
          <w:tcPr>
            <w:tcW w:type="dxa" w:w="6840"/>
            <w:vAlign w:val="center"/>
          </w:tcPr>
          <w:p>
            <w:pPr>
              <w:spacing w:after="0"/>
            </w:pPr>
            <w:r>
              <w:rPr>
                <w:sz w:val="17"/>
              </w:rPr>
              <w:t>Refers to the current object instance.</w:t>
            </w:r>
          </w:p>
        </w:tc>
        <w:tc>
          <w:tcPr>
            <w:tcW w:type="dxa" w:w="2376"/>
            <w:vAlign w:val="center"/>
          </w:tcPr>
          <w:p>
            <w:pPr>
              <w:spacing w:after="0"/>
            </w:pPr>
            <w:r>
              <w:rPr>
                <w:sz w:val="17"/>
              </w:rPr>
              <w:t>In use</w:t>
            </w:r>
          </w:p>
        </w:tc>
      </w:tr>
      <w:tr>
        <w:tc>
          <w:tcPr>
            <w:tcW w:type="dxa" w:w="605"/>
            <w:vAlign w:val="center"/>
          </w:tcPr>
          <w:p>
            <w:pPr>
              <w:spacing w:after="0"/>
            </w:pPr>
            <w:r>
              <w:rPr>
                <w:sz w:val="17"/>
              </w:rPr>
              <w:t>44</w:t>
            </w:r>
          </w:p>
        </w:tc>
        <w:tc>
          <w:tcPr>
            <w:tcW w:type="dxa" w:w="1944"/>
            <w:vAlign w:val="center"/>
          </w:tcPr>
          <w:p>
            <w:pPr>
              <w:spacing w:after="0"/>
            </w:pPr>
            <w:r>
              <w:rPr>
                <w:b/>
                <w:sz w:val="17"/>
              </w:rPr>
              <w:t>throw</w:t>
            </w:r>
          </w:p>
        </w:tc>
        <w:tc>
          <w:tcPr>
            <w:tcW w:type="dxa" w:w="6840"/>
            <w:vAlign w:val="center"/>
          </w:tcPr>
          <w:p>
            <w:pPr>
              <w:spacing w:after="0"/>
            </w:pPr>
            <w:r>
              <w:rPr>
                <w:sz w:val="17"/>
              </w:rPr>
              <w:t>Explicitly throws an exception.</w:t>
            </w:r>
          </w:p>
        </w:tc>
        <w:tc>
          <w:tcPr>
            <w:tcW w:type="dxa" w:w="2376"/>
            <w:vAlign w:val="center"/>
          </w:tcPr>
          <w:p>
            <w:pPr>
              <w:spacing w:after="0"/>
            </w:pPr>
            <w:r>
              <w:rPr>
                <w:sz w:val="17"/>
              </w:rPr>
              <w:t>In use</w:t>
            </w:r>
          </w:p>
        </w:tc>
      </w:tr>
      <w:tr>
        <w:tc>
          <w:tcPr>
            <w:tcW w:type="dxa" w:w="605"/>
            <w:vAlign w:val="center"/>
          </w:tcPr>
          <w:p>
            <w:pPr>
              <w:spacing w:after="0"/>
            </w:pPr>
            <w:r>
              <w:rPr>
                <w:sz w:val="17"/>
              </w:rPr>
              <w:t>45</w:t>
            </w:r>
          </w:p>
        </w:tc>
        <w:tc>
          <w:tcPr>
            <w:tcW w:type="dxa" w:w="1944"/>
            <w:vAlign w:val="center"/>
          </w:tcPr>
          <w:p>
            <w:pPr>
              <w:spacing w:after="0"/>
            </w:pPr>
            <w:r>
              <w:rPr>
                <w:b/>
                <w:sz w:val="17"/>
              </w:rPr>
              <w:t>throws</w:t>
            </w:r>
          </w:p>
        </w:tc>
        <w:tc>
          <w:tcPr>
            <w:tcW w:type="dxa" w:w="6840"/>
            <w:vAlign w:val="center"/>
          </w:tcPr>
          <w:p>
            <w:pPr>
              <w:spacing w:after="0"/>
            </w:pPr>
            <w:r>
              <w:rPr>
                <w:sz w:val="17"/>
              </w:rPr>
              <w:t>Declares exceptions that a method or constructor may throw.</w:t>
            </w:r>
          </w:p>
        </w:tc>
        <w:tc>
          <w:tcPr>
            <w:tcW w:type="dxa" w:w="2376"/>
            <w:vAlign w:val="center"/>
          </w:tcPr>
          <w:p>
            <w:pPr>
              <w:spacing w:after="0"/>
            </w:pPr>
            <w:r>
              <w:rPr>
                <w:sz w:val="17"/>
              </w:rPr>
              <w:t>In use</w:t>
            </w:r>
          </w:p>
        </w:tc>
      </w:tr>
      <w:tr>
        <w:tc>
          <w:tcPr>
            <w:tcW w:type="dxa" w:w="605"/>
            <w:vAlign w:val="center"/>
          </w:tcPr>
          <w:p>
            <w:pPr>
              <w:spacing w:after="0"/>
            </w:pPr>
            <w:r>
              <w:rPr>
                <w:sz w:val="17"/>
              </w:rPr>
              <w:t>46</w:t>
            </w:r>
          </w:p>
        </w:tc>
        <w:tc>
          <w:tcPr>
            <w:tcW w:type="dxa" w:w="1944"/>
            <w:vAlign w:val="center"/>
          </w:tcPr>
          <w:p>
            <w:pPr>
              <w:spacing w:after="0"/>
            </w:pPr>
            <w:r>
              <w:rPr>
                <w:b/>
                <w:sz w:val="17"/>
              </w:rPr>
              <w:t>transient</w:t>
            </w:r>
          </w:p>
        </w:tc>
        <w:tc>
          <w:tcPr>
            <w:tcW w:type="dxa" w:w="6840"/>
            <w:vAlign w:val="center"/>
          </w:tcPr>
          <w:p>
            <w:pPr>
              <w:spacing w:after="0"/>
            </w:pPr>
            <w:r>
              <w:rPr>
                <w:sz w:val="17"/>
              </w:rPr>
              <w:t>Marks a field so it is excluded from default Java serialization.</w:t>
            </w:r>
          </w:p>
        </w:tc>
        <w:tc>
          <w:tcPr>
            <w:tcW w:type="dxa" w:w="2376"/>
            <w:vAlign w:val="center"/>
          </w:tcPr>
          <w:p>
            <w:pPr>
              <w:spacing w:after="0"/>
            </w:pPr>
            <w:r>
              <w:rPr>
                <w:sz w:val="17"/>
              </w:rPr>
              <w:t>In use</w:t>
            </w:r>
          </w:p>
        </w:tc>
      </w:tr>
      <w:tr>
        <w:tc>
          <w:tcPr>
            <w:tcW w:type="dxa" w:w="605"/>
            <w:vAlign w:val="center"/>
          </w:tcPr>
          <w:p>
            <w:pPr>
              <w:spacing w:after="0"/>
            </w:pPr>
            <w:r>
              <w:rPr>
                <w:sz w:val="17"/>
              </w:rPr>
              <w:t>47</w:t>
            </w:r>
          </w:p>
        </w:tc>
        <w:tc>
          <w:tcPr>
            <w:tcW w:type="dxa" w:w="1944"/>
            <w:vAlign w:val="center"/>
          </w:tcPr>
          <w:p>
            <w:pPr>
              <w:spacing w:after="0"/>
            </w:pPr>
            <w:r>
              <w:rPr>
                <w:b/>
                <w:sz w:val="17"/>
              </w:rPr>
              <w:t>try</w:t>
            </w:r>
          </w:p>
        </w:tc>
        <w:tc>
          <w:tcPr>
            <w:tcW w:type="dxa" w:w="6840"/>
            <w:vAlign w:val="center"/>
          </w:tcPr>
          <w:p>
            <w:pPr>
              <w:spacing w:after="0"/>
            </w:pPr>
            <w:r>
              <w:rPr>
                <w:sz w:val="17"/>
              </w:rPr>
              <w:t>Begins a block whose code is monitored for exceptions.</w:t>
            </w:r>
          </w:p>
        </w:tc>
        <w:tc>
          <w:tcPr>
            <w:tcW w:type="dxa" w:w="2376"/>
            <w:vAlign w:val="center"/>
          </w:tcPr>
          <w:p>
            <w:pPr>
              <w:spacing w:after="0"/>
            </w:pPr>
            <w:r>
              <w:rPr>
                <w:sz w:val="17"/>
              </w:rPr>
              <w:t>In use</w:t>
            </w:r>
          </w:p>
        </w:tc>
      </w:tr>
      <w:tr>
        <w:tc>
          <w:tcPr>
            <w:tcW w:type="dxa" w:w="605"/>
            <w:vAlign w:val="center"/>
          </w:tcPr>
          <w:p>
            <w:pPr>
              <w:spacing w:after="0"/>
            </w:pPr>
            <w:r>
              <w:rPr>
                <w:sz w:val="17"/>
              </w:rPr>
              <w:t>48</w:t>
            </w:r>
          </w:p>
        </w:tc>
        <w:tc>
          <w:tcPr>
            <w:tcW w:type="dxa" w:w="1944"/>
            <w:vAlign w:val="center"/>
          </w:tcPr>
          <w:p>
            <w:pPr>
              <w:spacing w:after="0"/>
            </w:pPr>
            <w:r>
              <w:rPr>
                <w:b/>
                <w:sz w:val="17"/>
              </w:rPr>
              <w:t>void</w:t>
            </w:r>
          </w:p>
        </w:tc>
        <w:tc>
          <w:tcPr>
            <w:tcW w:type="dxa" w:w="6840"/>
            <w:vAlign w:val="center"/>
          </w:tcPr>
          <w:p>
            <w:pPr>
              <w:spacing w:after="0"/>
            </w:pPr>
            <w:r>
              <w:rPr>
                <w:sz w:val="17"/>
              </w:rPr>
              <w:t>Indicates that a method does not return a value.</w:t>
            </w:r>
          </w:p>
        </w:tc>
        <w:tc>
          <w:tcPr>
            <w:tcW w:type="dxa" w:w="2376"/>
            <w:vAlign w:val="center"/>
          </w:tcPr>
          <w:p>
            <w:pPr>
              <w:spacing w:after="0"/>
            </w:pPr>
            <w:r>
              <w:rPr>
                <w:sz w:val="17"/>
              </w:rPr>
              <w:t>In use</w:t>
            </w:r>
          </w:p>
        </w:tc>
      </w:tr>
      <w:tr>
        <w:tc>
          <w:tcPr>
            <w:tcW w:type="dxa" w:w="605"/>
            <w:vAlign w:val="center"/>
          </w:tcPr>
          <w:p>
            <w:pPr>
              <w:spacing w:after="0"/>
            </w:pPr>
            <w:r>
              <w:rPr>
                <w:sz w:val="17"/>
              </w:rPr>
              <w:t>49</w:t>
            </w:r>
          </w:p>
        </w:tc>
        <w:tc>
          <w:tcPr>
            <w:tcW w:type="dxa" w:w="1944"/>
            <w:vAlign w:val="center"/>
          </w:tcPr>
          <w:p>
            <w:pPr>
              <w:spacing w:after="0"/>
            </w:pPr>
            <w:r>
              <w:rPr>
                <w:b/>
                <w:sz w:val="17"/>
              </w:rPr>
              <w:t>volatile</w:t>
            </w:r>
          </w:p>
        </w:tc>
        <w:tc>
          <w:tcPr>
            <w:tcW w:type="dxa" w:w="6840"/>
            <w:vAlign w:val="center"/>
          </w:tcPr>
          <w:p>
            <w:pPr>
              <w:spacing w:after="0"/>
            </w:pPr>
            <w:r>
              <w:rPr>
                <w:sz w:val="17"/>
              </w:rPr>
              <w:t>Indicates that a field may be accessed by multiple threads and requires special memory-visibility semantics.</w:t>
            </w:r>
          </w:p>
        </w:tc>
        <w:tc>
          <w:tcPr>
            <w:tcW w:type="dxa" w:w="2376"/>
            <w:vAlign w:val="center"/>
          </w:tcPr>
          <w:p>
            <w:pPr>
              <w:spacing w:after="0"/>
            </w:pPr>
            <w:r>
              <w:rPr>
                <w:sz w:val="17"/>
              </w:rPr>
              <w:t>In use</w:t>
            </w:r>
          </w:p>
        </w:tc>
      </w:tr>
      <w:tr>
        <w:tc>
          <w:tcPr>
            <w:tcW w:type="dxa" w:w="605"/>
            <w:vAlign w:val="center"/>
          </w:tcPr>
          <w:p>
            <w:pPr>
              <w:spacing w:after="0"/>
            </w:pPr>
            <w:r>
              <w:rPr>
                <w:sz w:val="17"/>
              </w:rPr>
              <w:t>50</w:t>
            </w:r>
          </w:p>
        </w:tc>
        <w:tc>
          <w:tcPr>
            <w:tcW w:type="dxa" w:w="1944"/>
            <w:vAlign w:val="center"/>
          </w:tcPr>
          <w:p>
            <w:pPr>
              <w:spacing w:after="0"/>
            </w:pPr>
            <w:r>
              <w:rPr>
                <w:b/>
                <w:sz w:val="17"/>
              </w:rPr>
              <w:t>while</w:t>
            </w:r>
          </w:p>
        </w:tc>
        <w:tc>
          <w:tcPr>
            <w:tcW w:type="dxa" w:w="6840"/>
            <w:vAlign w:val="center"/>
          </w:tcPr>
          <w:p>
            <w:pPr>
              <w:spacing w:after="0"/>
            </w:pPr>
            <w:r>
              <w:rPr>
                <w:sz w:val="17"/>
              </w:rPr>
              <w:t>Begins a while loop.</w:t>
            </w:r>
          </w:p>
        </w:tc>
        <w:tc>
          <w:tcPr>
            <w:tcW w:type="dxa" w:w="2376"/>
            <w:vAlign w:val="center"/>
          </w:tcPr>
          <w:p>
            <w:pPr>
              <w:spacing w:after="0"/>
            </w:pPr>
            <w:r>
              <w:rPr>
                <w:sz w:val="17"/>
              </w:rPr>
              <w:t>In use</w:t>
            </w:r>
          </w:p>
        </w:tc>
      </w:tr>
      <w:tr>
        <w:tc>
          <w:tcPr>
            <w:tcW w:type="dxa" w:w="605"/>
            <w:vAlign w:val="center"/>
          </w:tcPr>
          <w:p>
            <w:pPr>
              <w:spacing w:after="0"/>
            </w:pPr>
            <w:r>
              <w:rPr>
                <w:sz w:val="17"/>
              </w:rPr>
              <w:t>51</w:t>
            </w:r>
          </w:p>
        </w:tc>
        <w:tc>
          <w:tcPr>
            <w:tcW w:type="dxa" w:w="1944"/>
            <w:vAlign w:val="center"/>
          </w:tcPr>
          <w:p>
            <w:pPr>
              <w:spacing w:after="0"/>
            </w:pPr>
            <w:r>
              <w:rPr>
                <w:b/>
                <w:sz w:val="17"/>
              </w:rPr>
              <w:t>_ (underscore)</w:t>
            </w:r>
          </w:p>
        </w:tc>
        <w:tc>
          <w:tcPr>
            <w:tcW w:type="dxa" w:w="6840"/>
            <w:vAlign w:val="center"/>
          </w:tcPr>
          <w:p>
            <w:pPr>
              <w:spacing w:after="0"/>
            </w:pPr>
            <w:r>
              <w:rPr>
                <w:sz w:val="17"/>
              </w:rPr>
              <w:t>A reserved keyword in modern Java; it cannot be used as an identifier.</w:t>
            </w:r>
          </w:p>
        </w:tc>
        <w:tc>
          <w:tcPr>
            <w:tcW w:type="dxa" w:w="2376"/>
            <w:vAlign w:val="center"/>
          </w:tcPr>
          <w:p>
            <w:pPr>
              <w:spacing w:after="0"/>
            </w:pPr>
            <w:r>
              <w:rPr>
                <w:sz w:val="17"/>
              </w:rPr>
              <w:t>In use</w:t>
            </w:r>
          </w:p>
        </w:tc>
      </w:tr>
      <w:tr>
        <w:tc>
          <w:tcPr>
            <w:tcW w:type="dxa" w:w="605"/>
            <w:vAlign w:val="center"/>
          </w:tcPr>
          <w:p>
            <w:pPr>
              <w:spacing w:after="0"/>
            </w:pPr>
            <w:r>
              <w:rPr>
                <w:sz w:val="17"/>
              </w:rPr>
              <w:t>52</w:t>
            </w:r>
          </w:p>
        </w:tc>
        <w:tc>
          <w:tcPr>
            <w:tcW w:type="dxa" w:w="1944"/>
            <w:vAlign w:val="center"/>
          </w:tcPr>
          <w:p>
            <w:pPr>
              <w:spacing w:after="0"/>
            </w:pPr>
            <w:r>
              <w:rPr>
                <w:b/>
                <w:sz w:val="17"/>
              </w:rPr>
              <w:t>var</w:t>
            </w:r>
          </w:p>
        </w:tc>
        <w:tc>
          <w:tcPr>
            <w:tcW w:type="dxa" w:w="6840"/>
            <w:vAlign w:val="center"/>
          </w:tcPr>
          <w:p>
            <w:pPr>
              <w:spacing w:after="0"/>
            </w:pPr>
            <w:r>
              <w:rPr>
                <w:sz w:val="17"/>
              </w:rPr>
              <w:t>A contextual keyword used for local variable type inference.</w:t>
            </w:r>
          </w:p>
        </w:tc>
        <w:tc>
          <w:tcPr>
            <w:tcW w:type="dxa" w:w="2376"/>
            <w:vAlign w:val="center"/>
          </w:tcPr>
          <w:p>
            <w:pPr>
              <w:spacing w:after="0"/>
            </w:pPr>
            <w:r>
              <w:rPr>
                <w:sz w:val="17"/>
              </w:rPr>
              <w:t>In use / contextual</w:t>
            </w:r>
          </w:p>
        </w:tc>
      </w:tr>
      <w:tr>
        <w:tc>
          <w:tcPr>
            <w:tcW w:type="dxa" w:w="605"/>
            <w:vAlign w:val="center"/>
          </w:tcPr>
          <w:p>
            <w:pPr>
              <w:spacing w:after="0"/>
            </w:pPr>
            <w:r>
              <w:rPr>
                <w:sz w:val="17"/>
              </w:rPr>
              <w:t>53</w:t>
            </w:r>
          </w:p>
        </w:tc>
        <w:tc>
          <w:tcPr>
            <w:tcW w:type="dxa" w:w="1944"/>
            <w:vAlign w:val="center"/>
          </w:tcPr>
          <w:p>
            <w:pPr>
              <w:spacing w:after="0"/>
            </w:pPr>
            <w:r>
              <w:rPr>
                <w:b/>
                <w:sz w:val="17"/>
              </w:rPr>
              <w:t>record</w:t>
            </w:r>
          </w:p>
        </w:tc>
        <w:tc>
          <w:tcPr>
            <w:tcW w:type="dxa" w:w="6840"/>
            <w:vAlign w:val="center"/>
          </w:tcPr>
          <w:p>
            <w:pPr>
              <w:spacing w:after="0"/>
            </w:pPr>
            <w:r>
              <w:rPr>
                <w:sz w:val="17"/>
              </w:rPr>
              <w:t>A contextual keyword used to declare a record, a compact data-carrier class.</w:t>
            </w:r>
          </w:p>
        </w:tc>
        <w:tc>
          <w:tcPr>
            <w:tcW w:type="dxa" w:w="2376"/>
            <w:vAlign w:val="center"/>
          </w:tcPr>
          <w:p>
            <w:pPr>
              <w:spacing w:after="0"/>
            </w:pPr>
            <w:r>
              <w:rPr>
                <w:sz w:val="17"/>
              </w:rPr>
              <w:t>In use / contextual</w:t>
            </w:r>
          </w:p>
        </w:tc>
      </w:tr>
      <w:tr>
        <w:tc>
          <w:tcPr>
            <w:tcW w:type="dxa" w:w="605"/>
            <w:vAlign w:val="center"/>
          </w:tcPr>
          <w:p>
            <w:pPr>
              <w:spacing w:after="0"/>
            </w:pPr>
            <w:r>
              <w:rPr>
                <w:sz w:val="17"/>
              </w:rPr>
              <w:t>54</w:t>
            </w:r>
          </w:p>
        </w:tc>
        <w:tc>
          <w:tcPr>
            <w:tcW w:type="dxa" w:w="1944"/>
            <w:vAlign w:val="center"/>
          </w:tcPr>
          <w:p>
            <w:pPr>
              <w:spacing w:after="0"/>
            </w:pPr>
            <w:r>
              <w:rPr>
                <w:b/>
                <w:sz w:val="17"/>
              </w:rPr>
              <w:t>yield</w:t>
            </w:r>
          </w:p>
        </w:tc>
        <w:tc>
          <w:tcPr>
            <w:tcW w:type="dxa" w:w="6840"/>
            <w:vAlign w:val="center"/>
          </w:tcPr>
          <w:p>
            <w:pPr>
              <w:spacing w:after="0"/>
            </w:pPr>
            <w:r>
              <w:rPr>
                <w:sz w:val="17"/>
              </w:rPr>
              <w:t>A contextual keyword used to return a value from a switch expression branch.</w:t>
            </w:r>
          </w:p>
        </w:tc>
        <w:tc>
          <w:tcPr>
            <w:tcW w:type="dxa" w:w="2376"/>
            <w:vAlign w:val="center"/>
          </w:tcPr>
          <w:p>
            <w:pPr>
              <w:spacing w:after="0"/>
            </w:pPr>
            <w:r>
              <w:rPr>
                <w:sz w:val="17"/>
              </w:rPr>
              <w:t>In use / contextual</w:t>
            </w:r>
          </w:p>
        </w:tc>
      </w:tr>
      <w:tr>
        <w:tc>
          <w:tcPr>
            <w:tcW w:type="dxa" w:w="605"/>
            <w:vAlign w:val="center"/>
          </w:tcPr>
          <w:p>
            <w:pPr>
              <w:spacing w:after="0"/>
            </w:pPr>
            <w:r>
              <w:rPr>
                <w:sz w:val="17"/>
              </w:rPr>
              <w:t>55</w:t>
            </w:r>
          </w:p>
        </w:tc>
        <w:tc>
          <w:tcPr>
            <w:tcW w:type="dxa" w:w="1944"/>
            <w:vAlign w:val="center"/>
          </w:tcPr>
          <w:p>
            <w:pPr>
              <w:spacing w:after="0"/>
            </w:pPr>
            <w:r>
              <w:rPr>
                <w:b/>
                <w:sz w:val="17"/>
              </w:rPr>
              <w:t>sealed</w:t>
            </w:r>
          </w:p>
        </w:tc>
        <w:tc>
          <w:tcPr>
            <w:tcW w:type="dxa" w:w="6840"/>
            <w:vAlign w:val="center"/>
          </w:tcPr>
          <w:p>
            <w:pPr>
              <w:spacing w:after="0"/>
            </w:pPr>
            <w:r>
              <w:rPr>
                <w:sz w:val="17"/>
              </w:rPr>
              <w:t>A contextual keyword used to restrict which classes or interfaces may extend or implement a type.</w:t>
            </w:r>
          </w:p>
        </w:tc>
        <w:tc>
          <w:tcPr>
            <w:tcW w:type="dxa" w:w="2376"/>
            <w:vAlign w:val="center"/>
          </w:tcPr>
          <w:p>
            <w:pPr>
              <w:spacing w:after="0"/>
            </w:pPr>
            <w:r>
              <w:rPr>
                <w:sz w:val="17"/>
              </w:rPr>
              <w:t>In use / contextual</w:t>
            </w:r>
          </w:p>
        </w:tc>
      </w:tr>
      <w:tr>
        <w:tc>
          <w:tcPr>
            <w:tcW w:type="dxa" w:w="605"/>
            <w:vAlign w:val="center"/>
          </w:tcPr>
          <w:p>
            <w:pPr>
              <w:spacing w:after="0"/>
            </w:pPr>
            <w:r>
              <w:rPr>
                <w:sz w:val="17"/>
              </w:rPr>
              <w:t>56</w:t>
            </w:r>
          </w:p>
        </w:tc>
        <w:tc>
          <w:tcPr>
            <w:tcW w:type="dxa" w:w="1944"/>
            <w:vAlign w:val="center"/>
          </w:tcPr>
          <w:p>
            <w:pPr>
              <w:spacing w:after="0"/>
            </w:pPr>
            <w:r>
              <w:rPr>
                <w:b/>
                <w:sz w:val="17"/>
              </w:rPr>
              <w:t>permits</w:t>
            </w:r>
          </w:p>
        </w:tc>
        <w:tc>
          <w:tcPr>
            <w:tcW w:type="dxa" w:w="6840"/>
            <w:vAlign w:val="center"/>
          </w:tcPr>
          <w:p>
            <w:pPr>
              <w:spacing w:after="0"/>
            </w:pPr>
            <w:r>
              <w:rPr>
                <w:sz w:val="17"/>
              </w:rPr>
              <w:t>A contextual keyword used to specify which classes are permitted to extend or implement a sealed type.</w:t>
            </w:r>
          </w:p>
        </w:tc>
        <w:tc>
          <w:tcPr>
            <w:tcW w:type="dxa" w:w="2376"/>
            <w:vAlign w:val="center"/>
          </w:tcPr>
          <w:p>
            <w:pPr>
              <w:spacing w:after="0"/>
            </w:pPr>
            <w:r>
              <w:rPr>
                <w:sz w:val="17"/>
              </w:rPr>
              <w:t>In use / contextual</w:t>
            </w:r>
          </w:p>
        </w:tc>
      </w:tr>
      <w:tr>
        <w:tc>
          <w:tcPr>
            <w:tcW w:type="dxa" w:w="605"/>
            <w:vAlign w:val="center"/>
          </w:tcPr>
          <w:p>
            <w:pPr>
              <w:spacing w:after="0"/>
            </w:pPr>
            <w:r>
              <w:rPr>
                <w:sz w:val="17"/>
              </w:rPr>
              <w:t>57</w:t>
            </w:r>
          </w:p>
        </w:tc>
        <w:tc>
          <w:tcPr>
            <w:tcW w:type="dxa" w:w="1944"/>
            <w:vAlign w:val="center"/>
          </w:tcPr>
          <w:p>
            <w:pPr>
              <w:spacing w:after="0"/>
            </w:pPr>
            <w:r>
              <w:rPr>
                <w:b/>
                <w:sz w:val="17"/>
              </w:rPr>
              <w:t>non-sealed</w:t>
            </w:r>
          </w:p>
        </w:tc>
        <w:tc>
          <w:tcPr>
            <w:tcW w:type="dxa" w:w="6840"/>
            <w:vAlign w:val="center"/>
          </w:tcPr>
          <w:p>
            <w:pPr>
              <w:spacing w:after="0"/>
            </w:pPr>
            <w:r>
              <w:rPr>
                <w:sz w:val="17"/>
              </w:rPr>
              <w:t>A contextual keyword used to allow a subclass of a sealed type to remove the sealing restriction.</w:t>
            </w:r>
          </w:p>
        </w:tc>
        <w:tc>
          <w:tcPr>
            <w:tcW w:type="dxa" w:w="2376"/>
            <w:vAlign w:val="center"/>
          </w:tcPr>
          <w:p>
            <w:pPr>
              <w:spacing w:after="0"/>
            </w:pPr>
            <w:r>
              <w:rPr>
                <w:sz w:val="17"/>
              </w:rPr>
              <w:t>In use / contextual</w:t>
            </w:r>
          </w:p>
        </w:tc>
      </w:tr>
    </w:tbl>
    <w:p/>
    <w:p>
      <w:r>
        <w:rPr>
          <w:b/>
          <w:sz w:val="24"/>
        </w:rPr>
        <w:t>Important classification notes</w:t>
      </w:r>
    </w:p>
    <w:p>
      <w:pPr>
        <w:spacing w:after="40"/>
        <w:ind w:left="288"/>
      </w:pPr>
      <w:r>
        <w:rPr>
          <w:b/>
        </w:rPr>
        <w:t xml:space="preserve">• </w:t>
      </w:r>
      <w:r>
        <w:t>true and false are boolean literals, not Java keywords.</w:t>
      </w:r>
    </w:p>
    <w:p>
      <w:pPr>
        <w:spacing w:after="40"/>
        <w:ind w:left="288"/>
      </w:pPr>
      <w:r>
        <w:rPr>
          <w:b/>
        </w:rPr>
        <w:t xml:space="preserve">• </w:t>
      </w:r>
      <w:r>
        <w:t>null is the null literal, not a Java keyword.</w:t>
      </w:r>
    </w:p>
    <w:p>
      <w:pPr>
        <w:spacing w:after="40"/>
        <w:ind w:left="288"/>
      </w:pPr>
      <w:r>
        <w:rPr>
          <w:b/>
        </w:rPr>
        <w:t xml:space="preserve">• </w:t>
      </w:r>
      <w:r>
        <w:t>const and goto are reserved words but are not implemented as Java statements/features.</w:t>
      </w:r>
    </w:p>
    <w:p>
      <w:pPr>
        <w:spacing w:after="40"/>
        <w:ind w:left="288"/>
      </w:pPr>
      <w:r>
        <w:rPr>
          <w:b/>
        </w:rPr>
        <w:t xml:space="preserve">• </w:t>
      </w:r>
      <w:r>
        <w:t>strictfp is still a Java keyword for compatibility, but it is obsolete because Java 17 and later always use strict floating-point evaluation.</w:t>
      </w:r>
    </w:p>
    <w:p>
      <w:pPr>
        <w:spacing w:after="40"/>
        <w:ind w:left="288"/>
      </w:pPr>
      <w:r>
        <w:rPr>
          <w:b/>
        </w:rPr>
        <w:t xml:space="preserve">• </w:t>
      </w:r>
      <w:r>
        <w:t>var, record, yield, sealed, permits, and non-sealed are contextual keywords: their special keyword meaning depends on where they appear.</w:t>
      </w:r>
    </w:p>
    <w:p>
      <w:pPr>
        <w:spacing w:before="160"/>
      </w:pPr>
      <w:r>
        <w:rPr>
          <w:b/>
        </w:rPr>
        <w:t xml:space="preserve">Reference: </w:t>
      </w:r>
      <w:r>
        <w:t>Oracle Java Language Specification (JLS), Java SE 25/26, §3.9 Keywords and §3.10 Literals.</w:t>
      </w:r>
    </w:p>
    <w:sectPr w:rsidR="00FC693F" w:rsidRPr="0006063C"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