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60" w:before="120" w:line="275.9999942779541" w:lineRule="auto"/>
        <w:ind w:left="360" w:firstLine="0"/>
        <w:jc w:val="center"/>
        <w:rPr>
          <w:rFonts w:ascii="Google Sans" w:cs="Google Sans" w:eastAsia="Google Sans" w:hAnsi="Google Sans"/>
          <w:b w:val="1"/>
          <w:bCs w:val="1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  <w:drawing>
          <wp:inline distB="114300" distT="114300" distL="114300" distR="114300">
            <wp:extent cx="5731200" cy="1714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17544" l="0" r="0" t="17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6"/>
          <w:szCs w:val="36"/>
          <w:rtl w:val="0"/>
        </w:rPr>
        <w:t xml:space="preserve">Facultad de Ingeniería - Escuela de Ciencias de la Computación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jc w:val="center"/>
        <w:rPr>
          <w:rFonts w:ascii="Google Sans" w:cs="Google Sans" w:eastAsia="Google Sans" w:hAnsi="Google Sans"/>
          <w:color w:val="1f1f1f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  <w:rtl w:val="0"/>
        </w:rPr>
        <w:t xml:space="preserve">Asignatura: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2"/>
          <w:szCs w:val="32"/>
          <w:rtl w:val="0"/>
        </w:rPr>
        <w:t xml:space="preserve">Programación Orientada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240" w:line="240" w:lineRule="auto"/>
              <w:jc w:val="center"/>
              <w:rPr>
                <w:rFonts w:ascii="Google Sans" w:cs="Google Sans" w:eastAsia="Google Sans" w:hAnsi="Google Sans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Tema: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32"/>
                <w:szCs w:val="32"/>
                <w:rtl w:val="0"/>
              </w:rPr>
              <w:t xml:space="preserve">Guia de Ejercicios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Fecha de Entrega: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Docente: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 Ing. Kevin Jiménez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Grupo Teórico: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Carnet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Michael Caleb Ortiz Meléndez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OM260275</w:t>
            </w:r>
          </w:p>
        </w:tc>
      </w:tr>
      <w:tr>
        <w:trPr>
          <w:cantSplit w:val="0"/>
          <w:trHeight w:val="545.56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Nathaly Ivania Martinez Guerrero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MG260121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Diego Alexander Balcáceres Hernández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BH241800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Brandon Stanley Cerros Dominguez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8"/>
                <w:szCs w:val="28"/>
                <w:rtl w:val="0"/>
              </w:rPr>
              <w:t xml:space="preserve">CD260546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0"/>
        <w:keepLines w:val="0"/>
        <w:rPr>
          <w:b w:val="0"/>
          <w:bCs w:val="0"/>
        </w:rPr>
      </w:pPr>
      <w:bookmarkStart w:colFirst="0" w:colLast="0" w:name="_lq2bhi1nkxav" w:id="0"/>
      <w:bookmarkEnd w:id="0"/>
      <w:r w:rsidDel="00000000" w:rsidR="00000000" w:rsidRPr="00000000">
        <w:rPr>
          <w:rtl w:val="0"/>
        </w:rPr>
        <w:t xml:space="preserve">Repositorio: </w:t>
      </w:r>
      <w:r w:rsidDel="00000000" w:rsidR="00000000" w:rsidRPr="00000000">
        <w:rPr>
          <w:b w:val="0"/>
          <w:bCs w:val="0"/>
          <w:rtl w:val="0"/>
        </w:rPr>
        <w:t xml:space="preserve">https://github.com/caleb-bvm/POO-JSP-Biblioteca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rPr/>
      </w:pPr>
      <w:bookmarkStart w:colFirst="0" w:colLast="0" w:name="_exjxcptgska8" w:id="1"/>
      <w:bookmarkEnd w:id="1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pom.xml empaqueta el proyecto como WAR, compila para Java 17 y declara la dependencia de MySQL Connector/J. El script bibliotecaudb.sql crea las tablas categorias, libros, estudiantes y prestamos con sus claves y relaciones, y carga al menos tres registros de prueba en cada una.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cuatro JavaBeans están en src/main/java/udb/biblioteca, junto con la clase utilitaria Conexion, que centraliza la conexión JDBC. En src/main/webapp están los formularios, controladores y vistas JSP, y WEB-INF/web.xml fija index.jsp como página de inicio. El proyecto no usa frameworks adicionales.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xjvi2zeuu641" w:id="2"/>
      <w:bookmarkEnd w:id="2"/>
      <w:r w:rsidDel="00000000" w:rsidR="00000000" w:rsidRPr="00000000">
        <w:rPr>
          <w:rtl w:val="0"/>
        </w:rPr>
        <w:t xml:space="preserve">Función de cada JavaBean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CategoriaBean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guarda el identificador y el nombre de una categoría. Su método getListaCategorias() consulta las categorías y alimenta el selector dinámico del formulario de libros.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LibroBean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guarda los datos bibliográficos y la cantidad disponible, y contiene un CategoriaBean que modela la relación entre ambas tablas. getListaLibros() consulta los libros con su categoría, getNombreCategoria() devuelve el nombre asociado y registrar() valida e inserta los datos.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EstudianteBean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guarda el identificador, carné, nombre, carrera y teléfono. registrar() valida los campos obligatorios, sus longitudes y el teléfono antes de ejecutar la inserción parametrizada.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PrestamoBean 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epresenta el préstamo y contiene objetos LibroBean y EstudianteBean. getEstadoPrestamo() devuelve Vigente, Vencido o Devuelto, y getListaPrestamos() consulta las relaciones. registrar() verifica fechas y disponibilidad. devolver() marca el préstamo como Devuelto y repone una unidad.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Todos los Beans tienen constructor sin argumentos, atributos privados y métodos públicos get y set. Los identificadores del libro y del estudiante se delegan en los objetos relacionados, lo que facilita asignarlos desde los formularios.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cnxlc1v7j05g" w:id="3"/>
      <w:bookmarkEnd w:id="3"/>
      <w:r w:rsidDel="00000000" w:rsidR="00000000" w:rsidRPr="00000000">
        <w:rPr>
          <w:rtl w:val="0"/>
        </w:rPr>
        <w:t xml:space="preserve">Comunicación entre los JavaBeans y las páginas JSP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index.jsp da acceso a Libros, Estudiantes, Registro de préstamo y Listado y devoluciones. registroLibro.jsp carga las categorías desde CategoriaBean. registroPrestamo.jsp consulta por JDBC los estudiantes y los libros disponibles para llenar sus listas. Los formularios envían los datos por POST al controlador correspondiente.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atributos name de los formularios coinciden con las propiedades del Bean, por ejemplo titulo, autor, idCategoria y cantidadDisponible. Cada controlador incluye conexion.jsp con la directiva include, crea el Bean con jsp:useBean y asigna los parámetros con jsp:setProperty y property="*". Después invoca registrar() y confirma el resultado con jsp:getProperty.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listaPrestamos.jsp obtiene la colección de PrestamoBean y muestra carné, estudiante, libro, fechas y estado. Cada préstamo activo tiene un formulario POST para devolverlo; devolverPrestamo.jsp recibe el identificador y ejecuta devolver() en el Bean.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u7v9ajvpvoq5" w:id="4"/>
      <w:bookmarkEnd w:id="4"/>
      <w:r w:rsidDel="00000000" w:rsidR="00000000" w:rsidRPr="00000000">
        <w:rPr>
          <w:rtl w:val="0"/>
        </w:rPr>
        <w:t xml:space="preserve">Reglas de negocio y acceso a datos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Todas las consultas usan PreparedStatement con parámetros JDBC, y los recursos se cierran con try con recursos. Registrar un préstamo descuenta un ejemplar solo si la cantidad disponible es mayor que cero, y el descuento y la inserción se confirman en una sola transacción. Si ocurre un error, se revierte el cambio y el inventario queda intacto.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devolución bloquea la fila del préstamo durante la transacción. Solo un préstamo que no ha sido devuelto puede cambiar de estado y reponer un ejemplar, así que enviar la misma devolución dos veces no aumenta otra vez las existencias. Se rechaza una fecha de devolución anterior a la de préstamo.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mu0hsd2hpnth" w:id="5"/>
      <w:bookmarkEnd w:id="5"/>
      <w:r w:rsidDel="00000000" w:rsidR="00000000" w:rsidRPr="00000000">
        <w:rPr>
          <w:rtl w:val="0"/>
        </w:rPr>
        <w:t xml:space="preserve">Anexos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351246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Index.jsp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419100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Registro de Estudiante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Registro de Libro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441913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Registro de Prestamo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142875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Estudiante Registrado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446560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Libro registrado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372590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Préstamos registrados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438150</wp:posOffset>
            </wp:positionV>
            <wp:extent cx="5731200" cy="31115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Registro de Préstamos</w:t>
      </w:r>
    </w:p>
    <w:sectPr>
      <w:headerReference r:id="rId14" w:type="default"/>
      <w:footerReference r:id="rId15" w:type="default"/>
      <w:footerReference r:id="rId16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2171700</wp:posOffset>
          </wp:positionV>
          <wp:extent cx="5731200" cy="3111500"/>
          <wp:effectExtent b="0" l="0" r="0" t="0"/>
          <wp:wrapSquare wrapText="bothSides" distB="114300" distT="114300" distL="114300" distR="11430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3111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Google Sans" w:cs="Google Sans" w:eastAsia="Google Sans" w:hAnsi="Google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