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9" w:lineRule="auto"/>
        <w:jc w:val="center"/>
      </w:pPr>
      <w:r>
        <w:t>Registro de Alterações do PetLify</w:t>
      </w:r>
    </w:p>
    <w:p>
      <w:pPr>
        <w:spacing w:after="120" w:line="259" w:lineRule="auto"/>
        <w:jc w:val="center"/>
      </w:pPr>
      <w:r>
        <w:t>Documento de acompanhamento técnico do MVP acadêmico</w:t>
      </w:r>
    </w:p>
    <w:p>
      <w:pPr>
        <w:spacing w:after="120" w:line="259" w:lineRule="auto"/>
      </w:pPr>
      <w:r>
        <w:t>Data do registro: 17 de setembro de 2026</w:t>
      </w:r>
    </w:p>
    <w:p>
      <w:pPr>
        <w:spacing w:after="120" w:line="259" w:lineRule="auto"/>
      </w:pPr>
      <w:r>
        <w:t>Responsável: integrante do grupo e estudante de Engenharia de Software</w:t>
      </w:r>
    </w:p>
    <w:p>
      <w:pPr>
        <w:spacing w:after="120" w:line="259" w:lineRule="auto"/>
      </w:pPr>
      <w:r>
        <w:t>Objetivo: registrar para os colegas e para uma ata o que foi analisado e implementado no backend e no banco de dados, por que as decisões foram tomadas, como a solução foi verificada e quais pontos ainda dependem de decisão coletiva.</w:t>
      </w:r>
    </w:p>
    <w:p>
      <w:pPr>
        <w:pStyle w:val="Heading1"/>
        <w:spacing w:after="120" w:line="259" w:lineRule="auto"/>
      </w:pPr>
      <w:r>
        <w:t>Resumo para a equipe</w:t>
      </w:r>
    </w:p>
    <w:p>
      <w:pPr>
        <w:spacing w:after="120" w:line="259" w:lineRule="auto"/>
      </w:pPr>
      <w:r>
        <w:t>Revisei o projeto PetLify-MVP a partir do arquivo compactado e preparei a evolução do banco. O sistema já possuía lojas, usuários, pets, vacinas, agendamentos, pagamentos e auditoria. A principal mudança foi substituir a ideia de que o plano é apenas um texto por um modelo que registra catálogo, serviços incluídos e cada contratação com período de validade. Também adicionei migrações versionadas e testes automatizados. As alterações estão em uma cópia local e ainda não foram enviadas ao GitHub.</w:t>
      </w:r>
    </w:p>
    <w:p>
      <w:pPr>
        <w:pStyle w:val="Heading1"/>
        <w:spacing w:after="120" w:line="259" w:lineRule="auto"/>
      </w:pPr>
      <w:r>
        <w:t>Situação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Encontrado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312"/>
          </w:tcPr>
          <w:p>
            <w:r>
              <w:t>Banco</w:t>
            </w:r>
          </w:p>
        </w:tc>
        <w:tc>
          <w:tcPr>
            <w:tcW w:type="dxa" w:w="3312"/>
          </w:tcPr>
          <w:p>
            <w:r>
              <w:t>SQLite e SQLAlchemy; create_all</w:t>
            </w:r>
          </w:p>
        </w:tc>
        <w:tc>
          <w:tcPr>
            <w:tcW w:type="dxa" w:w="3312"/>
          </w:tcPr>
          <w:p>
            <w:r>
              <w:t>Sem histórico de mudanças</w:t>
            </w:r>
          </w:p>
        </w:tc>
      </w:tr>
      <w:tr>
        <w:tc>
          <w:tcPr>
            <w:tcW w:type="dxa" w:w="3312"/>
            <w:shd w:fill="EAF2F8"/>
          </w:tcPr>
          <w:p>
            <w:r>
              <w:t>Planos</w:t>
            </w:r>
          </w:p>
        </w:tc>
        <w:tc>
          <w:tcPr>
            <w:tcW w:type="dxa" w:w="3312"/>
            <w:shd w:fill="EAF2F8"/>
          </w:tcPr>
          <w:p>
            <w:r>
              <w:t>Catálogo fixo; Pet.plan como texto</w:t>
            </w:r>
          </w:p>
        </w:tc>
        <w:tc>
          <w:tcPr>
            <w:tcW w:type="dxa" w:w="3312"/>
            <w:shd w:fill="EAF2F8"/>
          </w:tcPr>
          <w:p>
            <w:r>
              <w:t>Sem validade ou histórico</w:t>
            </w:r>
          </w:p>
        </w:tc>
      </w:tr>
      <w:tr>
        <w:tc>
          <w:tcPr>
            <w:tcW w:type="dxa" w:w="3312"/>
          </w:tcPr>
          <w:p>
            <w:r>
              <w:t>Pagamento</w:t>
            </w:r>
          </w:p>
        </w:tc>
        <w:tc>
          <w:tcPr>
            <w:tcW w:type="dxa" w:w="3312"/>
          </w:tcPr>
          <w:p>
            <w:r>
              <w:t>Item e valor registrados</w:t>
            </w:r>
          </w:p>
        </w:tc>
        <w:tc>
          <w:tcPr>
            <w:tcW w:type="dxa" w:w="3312"/>
          </w:tcPr>
          <w:p>
            <w:r>
              <w:t>Sem vínculo com assinatura</w:t>
            </w:r>
          </w:p>
        </w:tc>
      </w:tr>
      <w:tr>
        <w:tc>
          <w:tcPr>
            <w:tcW w:type="dxa" w:w="3312"/>
            <w:shd w:fill="EAF2F8"/>
          </w:tcPr>
          <w:p>
            <w:r>
              <w:t>Agendamento</w:t>
            </w:r>
          </w:p>
        </w:tc>
        <w:tc>
          <w:tcPr>
            <w:tcW w:type="dxa" w:w="3312"/>
            <w:shd w:fill="EAF2F8"/>
          </w:tcPr>
          <w:p>
            <w:r>
              <w:t>Confiava na existência do texto</w:t>
            </w:r>
          </w:p>
        </w:tc>
        <w:tc>
          <w:tcPr>
            <w:tcW w:type="dxa" w:w="3312"/>
            <w:shd w:fill="EAF2F8"/>
          </w:tcPr>
          <w:p>
            <w:r>
              <w:t>Serviço poderia parecer coberto</w:t>
            </w:r>
          </w:p>
        </w:tc>
      </w:tr>
      <w:tr>
        <w:tc>
          <w:tcPr>
            <w:tcW w:type="dxa" w:w="3312"/>
          </w:tcPr>
          <w:p>
            <w:r>
              <w:t>Render</w:t>
            </w:r>
          </w:p>
        </w:tc>
        <w:tc>
          <w:tcPr>
            <w:tcW w:type="dxa" w:w="3312"/>
          </w:tcPr>
          <w:p>
            <w:r>
              <w:t>SQLite em /tmp e seed no início</w:t>
            </w:r>
          </w:p>
        </w:tc>
        <w:tc>
          <w:tcPr>
            <w:tcW w:type="dxa" w:w="3312"/>
          </w:tcPr>
          <w:p>
            <w:r>
              <w:t>Perda de dados e alteração de contas</w:t>
            </w:r>
          </w:p>
        </w:tc>
      </w:tr>
    </w:tbl>
    <w:p/>
    <w:p>
      <w:r>
        <w:br w:type="page"/>
      </w:r>
    </w:p>
    <w:p>
      <w:pPr>
        <w:pStyle w:val="Heading1"/>
        <w:spacing w:after="120" w:line="259" w:lineRule="auto"/>
      </w:pPr>
      <w:r>
        <w:t>Etapa 1 Migrações e preparação</w:t>
      </w:r>
    </w:p>
    <w:p>
      <w:pPr>
        <w:spacing w:after="120" w:line="259" w:lineRule="auto"/>
      </w:pPr>
      <w:r>
        <w:t>Criei Flask-Migrate/Alembic e a migração 9184049026b0_initial_petlify_schema.py. Ela representa as sete tabelas já existentes. Uma migração é uma versão do esquema: upgrade aplica a versão e registra o resultado em alembic_version. Assim, os ambientes podem chegar ao mesmo formato sem apagar tabelas manualmente.</w:t>
      </w:r>
    </w:p>
    <w:p>
      <w:pPr>
        <w:pStyle w:val="ListBullet"/>
        <w:spacing w:after="120" w:line="259" w:lineRule="auto"/>
      </w:pPr>
      <w:r>
        <w:t>O SQLite local passou a usar sqlite:///petlify.db, resolvido em backend/instance/petlify.db.</w:t>
      </w:r>
    </w:p>
    <w:p>
      <w:pPr>
        <w:pStyle w:val="ListBullet"/>
        <w:spacing w:after="120" w:line="259" w:lineRule="auto"/>
      </w:pPr>
      <w:r>
        <w:t>O README orienta executar flask db upgrade antes do seed.</w:t>
      </w:r>
    </w:p>
    <w:p>
      <w:pPr>
        <w:pStyle w:val="ListBullet"/>
        <w:spacing w:after="120" w:line="259" w:lineRule="auto"/>
      </w:pPr>
      <w:r>
        <w:t>O Render executa flask db upgrade no início.</w:t>
      </w:r>
    </w:p>
    <w:p>
      <w:pPr>
        <w:pStyle w:val="ListBullet"/>
        <w:spacing w:after="120" w:line="259" w:lineRule="auto"/>
      </w:pPr>
      <w:r>
        <w:t>O seed só roda quando SEED_DEMO=true.</w:t>
      </w:r>
    </w:p>
    <w:p>
      <w:pPr>
        <w:pStyle w:val="ListBullet"/>
        <w:spacing w:after="120" w:line="259" w:lineRule="auto"/>
      </w:pPr>
      <w:r>
        <w:t>.venv, caches Python e bancos SQLite entram no .gitignore.</w:t>
      </w:r>
    </w:p>
    <w:p>
      <w:pPr>
        <w:pStyle w:val="Heading2"/>
        <w:spacing w:after="120" w:line="259" w:lineRule="auto"/>
      </w:pPr>
      <w:r>
        <w:t>Verificação</w:t>
      </w:r>
    </w:p>
    <w:p>
      <w:pPr>
        <w:spacing w:after="120" w:line="259" w:lineRule="auto"/>
      </w:pPr>
      <w:r>
        <w:t>A migração foi aplicada em banco vazio. O seed criou 2 lojas, 6 usuários, 5 pets, 6 agendamentos e 5 pagamentos. A comparação Alembic não encontrou diferença entre banco e modelos; repetir upgrade não recriou tabelas.</w:t>
      </w:r>
    </w:p>
    <w:p>
      <w:pPr>
        <w:pStyle w:val="Heading1"/>
        <w:spacing w:after="120" w:line="259" w:lineRule="auto"/>
      </w:pPr>
      <w:r>
        <w:t>Etapa 2 Novo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4968"/>
          </w:tcPr>
          <w:p>
            <w:r>
              <w:t>plans</w:t>
            </w:r>
          </w:p>
        </w:tc>
        <w:tc>
          <w:tcPr>
            <w:tcW w:type="dxa" w:w="4968"/>
          </w:tcPr>
          <w:p>
            <w:r>
              <w:t>Nome, preço e duração</w:t>
            </w:r>
          </w:p>
        </w:tc>
      </w:tr>
      <w:tr>
        <w:tc>
          <w:tcPr>
            <w:tcW w:type="dxa" w:w="4968"/>
            <w:shd w:fill="EAF2F8"/>
          </w:tcPr>
          <w:p>
            <w:r>
              <w:t>services</w:t>
            </w:r>
          </w:p>
        </w:tc>
        <w:tc>
          <w:tcPr>
            <w:tcW w:type="dxa" w:w="4968"/>
            <w:shd w:fill="EAF2F8"/>
          </w:tcPr>
          <w:p>
            <w:r>
              <w:t>Catálogo e preço de serviços</w:t>
            </w:r>
          </w:p>
        </w:tc>
      </w:tr>
      <w:tr>
        <w:tc>
          <w:tcPr>
            <w:tcW w:type="dxa" w:w="4968"/>
          </w:tcPr>
          <w:p>
            <w:r>
              <w:t>plan_benefits</w:t>
            </w:r>
          </w:p>
        </w:tc>
        <w:tc>
          <w:tcPr>
            <w:tcW w:type="dxa" w:w="4968"/>
          </w:tcPr>
          <w:p>
            <w:r>
              <w:t>Relação plano-serviço</w:t>
            </w:r>
          </w:p>
        </w:tc>
      </w:tr>
      <w:tr>
        <w:tc>
          <w:tcPr>
            <w:tcW w:type="dxa" w:w="4968"/>
            <w:shd w:fill="EAF2F8"/>
          </w:tcPr>
          <w:p>
            <w:r>
              <w:t>subscriptions</w:t>
            </w:r>
          </w:p>
        </w:tc>
        <w:tc>
          <w:tcPr>
            <w:tcW w:type="dxa" w:w="4968"/>
            <w:shd w:fill="EAF2F8"/>
          </w:tcPr>
          <w:p>
            <w:r>
              <w:t>Contratação por pet, loja, período e status</w:t>
            </w:r>
          </w:p>
        </w:tc>
      </w:tr>
      <w:tr>
        <w:tc>
          <w:tcPr>
            <w:tcW w:type="dxa" w:w="4968"/>
          </w:tcPr>
          <w:p>
            <w:r>
              <w:t>appointments.subscription_id</w:t>
            </w:r>
          </w:p>
        </w:tc>
        <w:tc>
          <w:tcPr>
            <w:tcW w:type="dxa" w:w="4968"/>
          </w:tcPr>
          <w:p>
            <w:r>
              <w:t>Assinatura que cobriu atendimento</w:t>
            </w:r>
          </w:p>
        </w:tc>
      </w:tr>
      <w:tr>
        <w:tc>
          <w:tcPr>
            <w:tcW w:type="dxa" w:w="4968"/>
            <w:shd w:fill="EAF2F8"/>
          </w:tcPr>
          <w:p>
            <w:r>
              <w:t>payments.subscription_id</w:t>
            </w:r>
          </w:p>
        </w:tc>
        <w:tc>
          <w:tcPr>
            <w:tcW w:type="dxa" w:w="4968"/>
            <w:shd w:fill="EAF2F8"/>
          </w:tcPr>
          <w:p>
            <w:r>
              <w:t>Assinatura associada ao pagamento</w:t>
            </w:r>
          </w:p>
        </w:tc>
      </w:tr>
    </w:tbl>
    <w:p/>
    <w:p>
      <w:pPr>
        <w:spacing w:after="120" w:line="259" w:lineRule="auto"/>
      </w:pPr>
      <w:r>
        <w:t>Planos e serviços são globais porque os valores são fixos na plataforma. Assinaturas pertencem a uma loja e a um pet. As chaves estrangeiras relacionam registros; store_id continua sendo usado para isolar cada pet shop.</w:t>
      </w:r>
    </w:p>
    <w:p>
      <w:r>
        <w:br w:type="page"/>
      </w:r>
    </w:p>
    <w:p>
      <w:pPr>
        <w:pStyle w:val="Heading1"/>
        <w:spacing w:after="120" w:line="259" w:lineRule="auto"/>
      </w:pPr>
      <w:r>
        <w:t>Regras implementadas para assinaturas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312"/>
          </w:tcPr>
          <w:p>
            <w:r>
              <w:t>Validade</w:t>
            </w:r>
          </w:p>
        </w:tc>
        <w:tc>
          <w:tcPr>
            <w:tcW w:type="dxa" w:w="3312"/>
          </w:tcPr>
          <w:p>
            <w:r>
              <w:t>30 dias após confirmação</w:t>
            </w:r>
          </w:p>
        </w:tc>
        <w:tc>
          <w:tcPr>
            <w:tcW w:type="dxa" w:w="3312"/>
          </w:tcPr>
          <w:p>
            <w:r>
              <w:t>Regra simples para o MVP</w:t>
            </w:r>
          </w:p>
        </w:tc>
      </w:tr>
      <w:tr>
        <w:tc>
          <w:tcPr>
            <w:tcW w:type="dxa" w:w="3312"/>
            <w:shd w:fill="EAF2F8"/>
          </w:tcPr>
          <w:p>
            <w:r>
              <w:t>Renovação</w:t>
            </w:r>
          </w:p>
        </w:tc>
        <w:tc>
          <w:tcPr>
            <w:tcW w:type="dxa" w:w="3312"/>
            <w:shd w:fill="EAF2F8"/>
          </w:tcPr>
          <w:p>
            <w:r>
              <w:t>Sem renovação automática</w:t>
            </w:r>
          </w:p>
        </w:tc>
        <w:tc>
          <w:tcPr>
            <w:tcW w:type="dxa" w:w="3312"/>
            <w:shd w:fill="EAF2F8"/>
          </w:tcPr>
          <w:p>
            <w:r>
              <w:t>Não há provedor financeiro</w:t>
            </w:r>
          </w:p>
        </w:tc>
      </w:tr>
      <w:tr>
        <w:tc>
          <w:tcPr>
            <w:tcW w:type="dxa" w:w="3312"/>
          </w:tcPr>
          <w:p>
            <w:r>
              <w:t>Troca</w:t>
            </w:r>
          </w:p>
        </w:tc>
        <w:tc>
          <w:tcPr>
            <w:tcW w:type="dxa" w:w="3312"/>
          </w:tcPr>
          <w:p>
            <w:r>
              <w:t>Anterior vira replaced</w:t>
            </w:r>
          </w:p>
        </w:tc>
        <w:tc>
          <w:tcPr>
            <w:tcW w:type="dxa" w:w="3312"/>
          </w:tcPr>
          <w:p>
            <w:r>
              <w:t>Preserva histórico</w:t>
            </w:r>
          </w:p>
        </w:tc>
      </w:tr>
      <w:tr>
        <w:tc>
          <w:tcPr>
            <w:tcW w:type="dxa" w:w="3312"/>
            <w:shd w:fill="EAF2F8"/>
          </w:tcPr>
          <w:p>
            <w:r>
              <w:t>Vencimento</w:t>
            </w:r>
          </w:p>
        </w:tc>
        <w:tc>
          <w:tcPr>
            <w:tcW w:type="dxa" w:w="3312"/>
            <w:shd w:fill="EAF2F8"/>
          </w:tcPr>
          <w:p>
            <w:r>
              <w:t>ends_at é exclusivo</w:t>
            </w:r>
          </w:p>
        </w:tc>
        <w:tc>
          <w:tcPr>
            <w:tcW w:type="dxa" w:w="3312"/>
            <w:shd w:fill="EAF2F8"/>
          </w:tcPr>
          <w:p>
            <w:r>
              <w:t>Evita cobertura indefinida</w:t>
            </w:r>
          </w:p>
        </w:tc>
      </w:tr>
      <w:tr>
        <w:tc>
          <w:tcPr>
            <w:tcW w:type="dxa" w:w="3312"/>
          </w:tcPr>
          <w:p>
            <w:r>
              <w:t>Cobertura</w:t>
            </w:r>
          </w:p>
        </w:tc>
        <w:tc>
          <w:tcPr>
            <w:tcW w:type="dxa" w:w="3312"/>
          </w:tcPr>
          <w:p>
            <w:r>
              <w:t>Backend consulta plan_benefits</w:t>
            </w:r>
          </w:p>
        </w:tc>
        <w:tc>
          <w:tcPr>
            <w:tcW w:type="dxa" w:w="3312"/>
          </w:tcPr>
          <w:p>
            <w:r>
              <w:t>Frontend não autoriza</w:t>
            </w:r>
          </w:p>
        </w:tc>
      </w:tr>
      <w:tr>
        <w:tc>
          <w:tcPr>
            <w:tcW w:type="dxa" w:w="3312"/>
            <w:shd w:fill="EAF2F8"/>
          </w:tcPr>
          <w:p>
            <w:r>
              <w:t>Avulso</w:t>
            </w:r>
          </w:p>
        </w:tc>
        <w:tc>
          <w:tcPr>
            <w:tcW w:type="dxa" w:w="3312"/>
            <w:shd w:fill="EAF2F8"/>
          </w:tcPr>
          <w:p>
            <w:r>
              <w:t>Sempre exige pagamento</w:t>
            </w:r>
          </w:p>
        </w:tc>
        <w:tc>
          <w:tcPr>
            <w:tcW w:type="dxa" w:w="3312"/>
            <w:shd w:fill="EAF2F8"/>
          </w:tcPr>
          <w:p>
            <w:r>
              <w:t>Plano cobre apenas benefícios</w:t>
            </w:r>
          </w:p>
        </w:tc>
      </w:tr>
      <w:tr>
        <w:tc>
          <w:tcPr>
            <w:tcW w:type="dxa" w:w="3312"/>
          </w:tcPr>
          <w:p>
            <w:r>
              <w:t>Preço</w:t>
            </w:r>
          </w:p>
        </w:tc>
        <w:tc>
          <w:tcPr>
            <w:tcW w:type="dxa" w:w="3312"/>
          </w:tcPr>
          <w:p>
            <w:r>
              <w:t>Lido do banco</w:t>
            </w:r>
          </w:p>
        </w:tc>
        <w:tc>
          <w:tcPr>
            <w:tcW w:type="dxa" w:w="3312"/>
          </w:tcPr>
          <w:p>
            <w:r>
              <w:t>Cliente não altera valor</w:t>
            </w:r>
          </w:p>
        </w:tc>
      </w:tr>
    </w:tbl>
    <w:p/>
    <w:p>
      <w:pPr>
        <w:spacing w:after="120" w:line="259" w:lineRule="auto"/>
      </w:pPr>
      <w:r>
        <w:t>Básico e Premium incluem Banho e Tosa. Premium Plus inclui os cinco serviços atuais. Os limites anunciados de uma vez por semana ou a cada quinze dias ainda não são contabilizados. O grupo precisa decidir o tipo de janela, se as cotas são compartilhadas e como cancelamentos devolvem uso.</w:t>
      </w:r>
    </w:p>
    <w:p>
      <w:pPr>
        <w:pStyle w:val="Heading1"/>
        <w:spacing w:after="120" w:line="259" w:lineRule="auto"/>
      </w:pPr>
      <w:r>
        <w:t>Fluxo de compra</w:t>
      </w:r>
    </w:p>
    <w:p>
      <w:pPr>
        <w:pStyle w:val="ListBullet"/>
        <w:spacing w:after="120" w:line="259" w:lineRule="auto"/>
      </w:pPr>
      <w:r>
        <w:t>O backend identifica o item no catálogo e valida pet e loja.</w:t>
      </w:r>
    </w:p>
    <w:p>
      <w:pPr>
        <w:pStyle w:val="ListBullet"/>
        <w:spacing w:after="120" w:line="259" w:lineRule="auto"/>
      </w:pPr>
      <w:r>
        <w:t>Para plano mensal, consulta plans e substitui assinaturas ativas anteriores.</w:t>
      </w:r>
    </w:p>
    <w:p>
      <w:pPr>
        <w:pStyle w:val="ListBullet"/>
        <w:spacing w:after="120" w:line="259" w:lineRule="auto"/>
      </w:pPr>
      <w:r>
        <w:t>Pagamento e assinatura são salvos na mesma transação.</w:t>
      </w:r>
    </w:p>
    <w:p>
      <w:pPr>
        <w:pStyle w:val="ListBullet"/>
        <w:spacing w:after="120" w:line="259" w:lineRule="auto"/>
      </w:pPr>
      <w:r>
        <w:t>Senha inválida para dinheiro desfaz a transação.</w:t>
      </w:r>
    </w:p>
    <w:p>
      <w:pPr>
        <w:pStyle w:val="ListBullet"/>
        <w:spacing w:after="120" w:line="259" w:lineRule="auto"/>
      </w:pPr>
      <w:r>
        <w:t>O pagamento conserva o preço histórico e aponta para subscription_id.</w:t>
      </w:r>
    </w:p>
    <w:p>
      <w:pPr>
        <w:pStyle w:val="Heading1"/>
        <w:spacing w:after="120" w:line="259" w:lineRule="auto"/>
      </w:pPr>
      <w:r>
        <w:t>Fluxo de agendamento</w:t>
      </w:r>
    </w:p>
    <w:p>
      <w:pPr>
        <w:spacing w:after="120" w:line="259" w:lineRule="auto"/>
      </w:pPr>
      <w:r>
        <w:t>Plano mensal só cria agendamento quando existe assinatura ativa na data e o serviço está entre seus benefícios. Serviço avulso cria agendamento sem assinatura e informa que o pagamento é necessário. Alterar status preserva um vínculo histórico; alterar data, serviço ou cobrança exige validação.</w:t>
      </w:r>
    </w:p>
    <w:p>
      <w:pPr>
        <w:pStyle w:val="Heading2"/>
        <w:spacing w:after="120" w:line="259" w:lineRule="auto"/>
      </w:pPr>
      <w:r>
        <w:t>Rota adicionada: GET /api/subscriptions</w:t>
      </w:r>
    </w:p>
    <w:p>
      <w:pPr>
        <w:spacing w:after="120" w:line="259" w:lineRule="auto"/>
      </w:pPr>
      <w:r>
        <w:t>Clientes veem apenas os pets próprios; funcionários e donos veem a loja autorizada. GET /api/pets mantém plan para compatibilidade e inclui subscription.</w:t>
      </w:r>
    </w:p>
    <w:p>
      <w:r>
        <w:br w:type="page"/>
      </w:r>
    </w:p>
    <w:p>
      <w:pPr>
        <w:pStyle w:val="Heading1"/>
        <w:spacing w:after="120" w:line="259" w:lineRule="auto"/>
      </w:pPr>
      <w:r>
        <w:t>Migração e arquivos</w:t>
      </w:r>
    </w:p>
    <w:p>
      <w:pPr>
        <w:spacing w:after="120" w:line="259" w:lineRule="auto"/>
      </w:pPr>
      <w:r>
        <w:t>A migração 1d532c0cfeb8 cria planos, serviços, benefícios e assinaturas, carrega o catálogo fixo e adiciona vínculos a pagamentos e agendamentos. Pets antigos com nomes reconhecidos recebem assinatura de transição legacy por 30 dias; não são inventados pagamentos. O seed usa demo e compras usam purchase.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  <w:sz w:val="18"/>
              </w:rPr>
              <w:t>Alteração</w:t>
            </w:r>
          </w:p>
        </w:tc>
      </w:tr>
      <w:tr>
        <w:tc>
          <w:tcPr>
            <w:tcW w:type="dxa" w:w="4968"/>
          </w:tcPr>
          <w:p>
            <w:r>
              <w:t>backend/models.py</w:t>
            </w:r>
          </w:p>
        </w:tc>
        <w:tc>
          <w:tcPr>
            <w:tcW w:type="dxa" w:w="4968"/>
          </w:tcPr>
          <w:p>
            <w:r>
              <w:t>Novos modelos e relações</w:t>
            </w:r>
          </w:p>
        </w:tc>
      </w:tr>
      <w:tr>
        <w:tc>
          <w:tcPr>
            <w:tcW w:type="dxa" w:w="4968"/>
            <w:shd w:fill="EAF2F8"/>
          </w:tcPr>
          <w:p>
            <w:r>
              <w:t>backend/api.py</w:t>
            </w:r>
          </w:p>
        </w:tc>
        <w:tc>
          <w:tcPr>
            <w:tcW w:type="dxa" w:w="4968"/>
            <w:shd w:fill="EAF2F8"/>
          </w:tcPr>
          <w:p>
            <w:r>
              <w:t>Checkout, cobertura e rota de histórico</w:t>
            </w:r>
          </w:p>
        </w:tc>
      </w:tr>
      <w:tr>
        <w:tc>
          <w:tcPr>
            <w:tcW w:type="dxa" w:w="4968"/>
          </w:tcPr>
          <w:p>
            <w:r>
              <w:t>backend/seed_dev.py</w:t>
            </w:r>
          </w:p>
        </w:tc>
        <w:tc>
          <w:tcPr>
            <w:tcW w:type="dxa" w:w="4968"/>
          </w:tcPr>
          <w:p>
            <w:r>
              <w:t>Assinaturas demo; sem create_all</w:t>
            </w:r>
          </w:p>
        </w:tc>
      </w:tr>
      <w:tr>
        <w:tc>
          <w:tcPr>
            <w:tcW w:type="dxa" w:w="4968"/>
            <w:shd w:fill="EAF2F8"/>
          </w:tcPr>
          <w:p>
            <w:r>
              <w:t>backend/config.py e .env.example</w:t>
            </w:r>
          </w:p>
        </w:tc>
        <w:tc>
          <w:tcPr>
            <w:tcW w:type="dxa" w:w="4968"/>
            <w:shd w:fill="EAF2F8"/>
          </w:tcPr>
          <w:p>
            <w:r>
              <w:t>Caminho SQLite</w:t>
            </w:r>
          </w:p>
        </w:tc>
      </w:tr>
      <w:tr>
        <w:tc>
          <w:tcPr>
            <w:tcW w:type="dxa" w:w="4968"/>
          </w:tcPr>
          <w:p>
            <w:r>
              <w:t>render-start.sh</w:t>
            </w:r>
          </w:p>
        </w:tc>
        <w:tc>
          <w:tcPr>
            <w:tcW w:type="dxa" w:w="4968"/>
          </w:tcPr>
          <w:p>
            <w:r>
              <w:t>Migração e seed condicional</w:t>
            </w:r>
          </w:p>
        </w:tc>
      </w:tr>
      <w:tr>
        <w:tc>
          <w:tcPr>
            <w:tcW w:type="dxa" w:w="4968"/>
            <w:shd w:fill="EAF2F8"/>
          </w:tcPr>
          <w:p>
            <w:r>
              <w:t>.gitignore</w:t>
            </w:r>
          </w:p>
        </w:tc>
        <w:tc>
          <w:tcPr>
            <w:tcW w:type="dxa" w:w="4968"/>
            <w:shd w:fill="EAF2F8"/>
          </w:tcPr>
          <w:p>
            <w:r>
              <w:t>Ambiente, caches e bancos</w:t>
            </w:r>
          </w:p>
        </w:tc>
      </w:tr>
      <w:tr>
        <w:tc>
          <w:tcPr>
            <w:tcW w:type="dxa" w:w="4968"/>
          </w:tcPr>
          <w:p>
            <w:r>
              <w:t>README.md</w:t>
            </w:r>
          </w:p>
        </w:tc>
        <w:tc>
          <w:tcPr>
            <w:tcW w:type="dxa" w:w="4968"/>
          </w:tcPr>
          <w:p>
            <w:r>
              <w:t>Instruções atualizadas</w:t>
            </w:r>
          </w:p>
        </w:tc>
      </w:tr>
      <w:tr>
        <w:tc>
          <w:tcPr>
            <w:tcW w:type="dxa" w:w="4968"/>
            <w:shd w:fill="EAF2F8"/>
          </w:tcPr>
          <w:p>
            <w:r>
              <w:t>backend/migrations/</w:t>
            </w:r>
          </w:p>
        </w:tc>
        <w:tc>
          <w:tcPr>
            <w:tcW w:type="dxa" w:w="4968"/>
            <w:shd w:fill="EAF2F8"/>
          </w:tcPr>
          <w:p>
            <w:r>
              <w:t>Duas migrações versionadas</w:t>
            </w:r>
          </w:p>
        </w:tc>
      </w:tr>
      <w:tr>
        <w:tc>
          <w:tcPr>
            <w:tcW w:type="dxa" w:w="4968"/>
          </w:tcPr>
          <w:p>
            <w:r>
              <w:t>backend/tests/test_subscriptions.py</w:t>
            </w:r>
          </w:p>
        </w:tc>
        <w:tc>
          <w:tcPr>
            <w:tcW w:type="dxa" w:w="4968"/>
          </w:tcPr>
          <w:p>
            <w:r>
              <w:t>Sete testes de fluxo</w:t>
            </w:r>
          </w:p>
        </w:tc>
      </w:tr>
      <w:tr>
        <w:tc>
          <w:tcPr>
            <w:tcW w:type="dxa" w:w="4968"/>
            <w:shd w:fill="EAF2F8"/>
          </w:tcPr>
          <w:p>
            <w:r>
              <w:t>docs/banco-de-dados.md</w:t>
            </w:r>
          </w:p>
        </w:tc>
        <w:tc>
          <w:tcPr>
            <w:tcW w:type="dxa" w:w="4968"/>
            <w:shd w:fill="EAF2F8"/>
          </w:tcPr>
          <w:p>
            <w:r>
              <w:t>Guia da primeira etapa</w:t>
            </w:r>
          </w:p>
        </w:tc>
      </w:tr>
      <w:tr>
        <w:tc>
          <w:tcPr>
            <w:tcW w:type="dxa" w:w="4968"/>
          </w:tcPr>
          <w:p>
            <w:r>
              <w:t>docs/assinaturas.md</w:t>
            </w:r>
          </w:p>
        </w:tc>
        <w:tc>
          <w:tcPr>
            <w:tcW w:type="dxa" w:w="4968"/>
          </w:tcPr>
          <w:p>
            <w:r>
              <w:t>Regras e decisões</w:t>
            </w:r>
          </w:p>
        </w:tc>
      </w:tr>
    </w:tbl>
    <w:p/>
    <w:p>
      <w:pPr>
        <w:pStyle w:val="Heading1"/>
        <w:spacing w:after="120" w:line="259" w:lineRule="auto"/>
      </w:pPr>
      <w:r>
        <w:t>Testes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68"/>
          </w:tcPr>
          <w:p>
            <w:r>
              <w:t>Modelos e migrações</w:t>
            </w:r>
          </w:p>
        </w:tc>
        <w:tc>
          <w:tcPr>
            <w:tcW w:type="dxa" w:w="4968"/>
          </w:tcPr>
          <w:p>
            <w:r>
              <w:t>Passou</w:t>
            </w:r>
          </w:p>
        </w:tc>
      </w:tr>
      <w:tr>
        <w:tc>
          <w:tcPr>
            <w:tcW w:type="dxa" w:w="4968"/>
            <w:shd w:fill="EAF2F8"/>
          </w:tcPr>
          <w:p>
            <w:r>
              <w:t>Migração do legado</w:t>
            </w:r>
          </w:p>
        </w:tc>
        <w:tc>
          <w:tcPr>
            <w:tcW w:type="dxa" w:w="4968"/>
            <w:shd w:fill="EAF2F8"/>
          </w:tcPr>
          <w:p>
            <w:r>
              <w:t>Passou</w:t>
            </w:r>
          </w:p>
        </w:tc>
      </w:tr>
      <w:tr>
        <w:tc>
          <w:tcPr>
            <w:tcW w:type="dxa" w:w="4968"/>
          </w:tcPr>
          <w:p>
            <w:r>
              <w:t>Compra e substituição</w:t>
            </w:r>
          </w:p>
        </w:tc>
        <w:tc>
          <w:tcPr>
            <w:tcW w:type="dxa" w:w="4968"/>
          </w:tcPr>
          <w:p>
            <w:r>
              <w:t>Passou</w:t>
            </w:r>
          </w:p>
        </w:tc>
      </w:tr>
      <w:tr>
        <w:tc>
          <w:tcPr>
            <w:tcW w:type="dxa" w:w="4968"/>
            <w:shd w:fill="EAF2F8"/>
          </w:tcPr>
          <w:p>
            <w:r>
              <w:t>Senha inválida</w:t>
            </w:r>
          </w:p>
        </w:tc>
        <w:tc>
          <w:tcPr>
            <w:tcW w:type="dxa" w:w="4968"/>
            <w:shd w:fill="EAF2F8"/>
          </w:tcPr>
          <w:p>
            <w:r>
              <w:t>Passou</w:t>
            </w:r>
          </w:p>
        </w:tc>
      </w:tr>
      <w:tr>
        <w:tc>
          <w:tcPr>
            <w:tcW w:type="dxa" w:w="4968"/>
          </w:tcPr>
          <w:p>
            <w:r>
              <w:t>Cobertura e avulso</w:t>
            </w:r>
          </w:p>
        </w:tc>
        <w:tc>
          <w:tcPr>
            <w:tcW w:type="dxa" w:w="4968"/>
          </w:tcPr>
          <w:p>
            <w:r>
              <w:t>Passou</w:t>
            </w:r>
          </w:p>
        </w:tc>
      </w:tr>
      <w:tr>
        <w:tc>
          <w:tcPr>
            <w:tcW w:type="dxa" w:w="4968"/>
            <w:shd w:fill="EAF2F8"/>
          </w:tcPr>
          <w:p>
            <w:r>
              <w:t>Expiração</w:t>
            </w:r>
          </w:p>
        </w:tc>
        <w:tc>
          <w:tcPr>
            <w:tcW w:type="dxa" w:w="4968"/>
            <w:shd w:fill="EAF2F8"/>
          </w:tcPr>
          <w:p>
            <w:r>
              <w:t>Passou</w:t>
            </w:r>
          </w:p>
        </w:tc>
      </w:tr>
      <w:tr>
        <w:tc>
          <w:tcPr>
            <w:tcW w:type="dxa" w:w="4968"/>
          </w:tcPr>
          <w:p>
            <w:r>
              <w:t>Isolamento entre lojas</w:t>
            </w:r>
          </w:p>
        </w:tc>
        <w:tc>
          <w:tcPr>
            <w:tcW w:type="dxa" w:w="4968"/>
          </w:tcPr>
          <w:p>
            <w:r>
              <w:t>Passou</w:t>
            </w:r>
          </w:p>
        </w:tc>
      </w:tr>
    </w:tbl>
    <w:p/>
    <w:p>
      <w:pPr>
        <w:spacing w:after="120" w:line="259" w:lineRule="auto"/>
      </w:pPr>
      <w:r>
        <w:t>Comando: ..\.venv\Scripts\python.exe -m unittest discover -s tests -v. Resultado: 7 testes aprovados. Os testes usam bancos temporários e separados do banco de desenvolvimento.</w:t>
      </w:r>
    </w:p>
    <w:p>
      <w:r>
        <w:br w:type="page"/>
      </w:r>
    </w:p>
    <w:p>
      <w:pPr>
        <w:pStyle w:val="Heading1"/>
        <w:spacing w:after="120" w:line="259" w:lineRule="auto"/>
      </w:pPr>
      <w:r>
        <w:t>Pendências para decisão do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Decisão necessária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3312"/>
          </w:tcPr>
          <w:p>
            <w:r>
              <w:t>Limites</w:t>
            </w:r>
          </w:p>
        </w:tc>
        <w:tc>
          <w:tcPr>
            <w:tcW w:type="dxa" w:w="3312"/>
          </w:tcPr>
          <w:p>
            <w:r>
              <w:t>Calendário ou janela móvel?</w:t>
            </w:r>
          </w:p>
        </w:tc>
        <w:tc>
          <w:tcPr>
            <w:tcW w:type="dxa" w:w="3312"/>
          </w:tcPr>
          <w:p>
            <w:r>
              <w:t>Muda contagem de uso</w:t>
            </w:r>
          </w:p>
        </w:tc>
      </w:tr>
      <w:tr>
        <w:tc>
          <w:tcPr>
            <w:tcW w:type="dxa" w:w="3312"/>
            <w:shd w:fill="EAF2F8"/>
          </w:tcPr>
          <w:p>
            <w:r>
              <w:t>Cotas</w:t>
            </w:r>
          </w:p>
        </w:tc>
        <w:tc>
          <w:tcPr>
            <w:tcW w:type="dxa" w:w="3312"/>
            <w:shd w:fill="EAF2F8"/>
          </w:tcPr>
          <w:p>
            <w:r>
              <w:t>Banho e Tosa compartilham limite?</w:t>
            </w:r>
          </w:p>
        </w:tc>
        <w:tc>
          <w:tcPr>
            <w:tcW w:type="dxa" w:w="3312"/>
            <w:shd w:fill="EAF2F8"/>
          </w:tcPr>
          <w:p>
            <w:r>
              <w:t>Define consumo</w:t>
            </w:r>
          </w:p>
        </w:tc>
      </w:tr>
      <w:tr>
        <w:tc>
          <w:tcPr>
            <w:tcW w:type="dxa" w:w="3312"/>
          </w:tcPr>
          <w:p>
            <w:r>
              <w:t>Cancelamento</w:t>
            </w:r>
          </w:p>
        </w:tc>
        <w:tc>
          <w:tcPr>
            <w:tcW w:type="dxa" w:w="3312"/>
          </w:tcPr>
          <w:p>
            <w:r>
              <w:t>Devolve uso?</w:t>
            </w:r>
          </w:p>
        </w:tc>
        <w:tc>
          <w:tcPr>
            <w:tcW w:type="dxa" w:w="3312"/>
          </w:tcPr>
          <w:p>
            <w:r>
              <w:t>Afeta histórico</w:t>
            </w:r>
          </w:p>
        </w:tc>
      </w:tr>
      <w:tr>
        <w:tc>
          <w:tcPr>
            <w:tcW w:type="dxa" w:w="3312"/>
            <w:shd w:fill="EAF2F8"/>
          </w:tcPr>
          <w:p>
            <w:r>
              <w:t>Renovação</w:t>
            </w:r>
          </w:p>
        </w:tc>
        <w:tc>
          <w:tcPr>
            <w:tcW w:type="dxa" w:w="3312"/>
            <w:shd w:fill="EAF2F8"/>
          </w:tcPr>
          <w:p>
            <w:r>
              <w:t>Automática, manual ou nenhuma?</w:t>
            </w:r>
          </w:p>
        </w:tc>
        <w:tc>
          <w:tcPr>
            <w:tcW w:type="dxa" w:w="3312"/>
            <w:shd w:fill="EAF2F8"/>
          </w:tcPr>
          <w:p>
            <w:r>
              <w:t>Exige novos fluxos</w:t>
            </w:r>
          </w:p>
        </w:tc>
      </w:tr>
      <w:tr>
        <w:tc>
          <w:tcPr>
            <w:tcW w:type="dxa" w:w="3312"/>
          </w:tcPr>
          <w:p>
            <w:r>
              <w:t>Histórico</w:t>
            </w:r>
          </w:p>
        </w:tc>
        <w:tc>
          <w:tcPr>
            <w:tcW w:type="dxa" w:w="3312"/>
          </w:tcPr>
          <w:p>
            <w:r>
              <w:t>Excluir ou anonimizar?</w:t>
            </w:r>
          </w:p>
        </w:tc>
        <w:tc>
          <w:tcPr>
            <w:tcW w:type="dxa" w:w="3312"/>
          </w:tcPr>
          <w:p>
            <w:r>
              <w:t>Define retenção</w:t>
            </w:r>
          </w:p>
        </w:tc>
      </w:tr>
      <w:tr>
        <w:tc>
          <w:tcPr>
            <w:tcW w:type="dxa" w:w="3312"/>
            <w:shd w:fill="EAF2F8"/>
          </w:tcPr>
          <w:p>
            <w:r>
              <w:t>Banco online</w:t>
            </w:r>
          </w:p>
        </w:tc>
        <w:tc>
          <w:tcPr>
            <w:tcW w:type="dxa" w:w="3312"/>
            <w:shd w:fill="EAF2F8"/>
          </w:tcPr>
          <w:p>
            <w:r>
              <w:t>PostgreSQL ou MySQL persistente?</w:t>
            </w:r>
          </w:p>
        </w:tc>
        <w:tc>
          <w:tcPr>
            <w:tcW w:type="dxa" w:w="3312"/>
            <w:shd w:fill="EAF2F8"/>
          </w:tcPr>
          <w:p>
            <w:r>
              <w:t>Evita perda no Render</w:t>
            </w:r>
          </w:p>
        </w:tc>
      </w:tr>
      <w:tr>
        <w:tc>
          <w:tcPr>
            <w:tcW w:type="dxa" w:w="3312"/>
          </w:tcPr>
          <w:p>
            <w:r>
              <w:t>Integridade</w:t>
            </w:r>
          </w:p>
        </w:tc>
        <w:tc>
          <w:tcPr>
            <w:tcW w:type="dxa" w:w="3312"/>
          </w:tcPr>
          <w:p>
            <w:r>
              <w:t>Restringir mesma loja no banco?</w:t>
            </w:r>
          </w:p>
        </w:tc>
        <w:tc>
          <w:tcPr>
            <w:tcW w:type="dxa" w:w="3312"/>
          </w:tcPr>
          <w:p>
            <w:r>
              <w:t>Protege além da API</w:t>
            </w:r>
          </w:p>
        </w:tc>
      </w:tr>
      <w:tr>
        <w:tc>
          <w:tcPr>
            <w:tcW w:type="dxa" w:w="3312"/>
            <w:shd w:fill="EAF2F8"/>
          </w:tcPr>
          <w:p>
            <w:r>
              <w:t>Tempo</w:t>
            </w:r>
          </w:p>
        </w:tc>
        <w:tc>
          <w:tcPr>
            <w:tcW w:type="dxa" w:w="3312"/>
            <w:shd w:fill="EAF2F8"/>
          </w:tcPr>
          <w:p>
            <w:r>
              <w:t>Qual fuso dos horários?</w:t>
            </w:r>
          </w:p>
        </w:tc>
        <w:tc>
          <w:tcPr>
            <w:tcW w:type="dxa" w:w="3312"/>
            <w:shd w:fill="EAF2F8"/>
          </w:tcPr>
          <w:p>
            <w:r>
              <w:t>Evita deslocamentos</w:t>
            </w:r>
          </w:p>
        </w:tc>
      </w:tr>
    </w:tbl>
    <w:p/>
    <w:p>
      <w:pPr>
        <w:pStyle w:val="Heading1"/>
        <w:spacing w:after="120" w:line="259" w:lineRule="auto"/>
      </w:pPr>
      <w:r>
        <w:t>Texto sugerido para ata</w:t>
      </w:r>
    </w:p>
    <w:p>
      <w:pPr>
        <w:spacing w:after="120" w:line="259" w:lineRule="auto"/>
      </w:pPr>
      <w:r>
        <w:t>Foi realizada a revisão técnica do MVP PetLify e iniciada a evolução do banco de dados. O trabalho adicionou migrações versionadas, documentou o esquema e criou entidades de planos, serviços, benefícios e assinaturas. O checkout passou a relacionar pagamento e assinatura, e os agendamentos validam serviço e validade no backend. Sete testes foram aprovados para migração, vencimento, cobertura, pagamento, troca de plano e isolamento entre lojas. A implementação usa ciclos de 30 dias sem renovação automática, decisão provisória do MVP. Permanecem para discussão os limites de uso, a política de histórico, o fuso horário, pagamentos reais e banco persistente no deploy.</w:t>
      </w:r>
    </w:p>
    <w:p>
      <w:pPr>
        <w:pStyle w:val="Heading1"/>
        <w:spacing w:after="120" w:line="259" w:lineRule="auto"/>
      </w:pPr>
      <w:r>
        <w:t>Próximos passos</w:t>
      </w:r>
    </w:p>
    <w:p>
      <w:pPr>
        <w:pStyle w:val="ListBullet"/>
        <w:spacing w:after="120" w:line="259" w:lineRule="auto"/>
      </w:pPr>
      <w:r>
        <w:t>Revisar este registro com o grupo e confirmar as regras.</w:t>
      </w:r>
    </w:p>
    <w:p>
      <w:pPr>
        <w:pStyle w:val="ListBullet"/>
        <w:spacing w:after="120" w:line="259" w:lineRule="auto"/>
      </w:pPr>
      <w:r>
        <w:t>Definir e implementar limites semanais e quinzenais.</w:t>
      </w:r>
    </w:p>
    <w:p>
      <w:pPr>
        <w:pStyle w:val="ListBullet"/>
        <w:spacing w:after="120" w:line="259" w:lineRule="auto"/>
      </w:pPr>
      <w:r>
        <w:t>Adicionar tela de histórico ao frontend.</w:t>
      </w:r>
    </w:p>
    <w:p>
      <w:pPr>
        <w:pStyle w:val="ListBullet"/>
        <w:spacing w:after="120" w:line="259" w:lineRule="auto"/>
      </w:pPr>
      <w:r>
        <w:t>Configurar banco persistente antes de uso real.</w:t>
      </w:r>
    </w:p>
    <w:p>
      <w:pPr>
        <w:pStyle w:val="ListBullet"/>
        <w:spacing w:after="120" w:line="259" w:lineRule="auto"/>
      </w:pPr>
      <w:r>
        <w:t>Enviar alterações para uma branch do GitHub após revisão.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