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Article V Section 1 The officer meeting area is an area dedicated exclusively for officers, , and only officers can be in that area, lest the non-officer be subject to penalization</w:t>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Section 2 tIn the beginning of each TODA meeting, an officer shall ensure that all attendees have signed in, and then an officer shall introduce the activities for the day, make announcements, and ask attendees to add feedback and suggestions to the suggestion box.</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V Section 1.5</w:t>
      </w:r>
    </w:p>
    <w:p w:rsidR="00000000" w:rsidDel="00000000" w:rsidP="00000000" w:rsidRDefault="00000000" w:rsidRPr="00000000" w14:paraId="00000005">
      <w:pPr>
        <w:ind w:left="0" w:firstLine="0"/>
        <w:rPr>
          <w:rFonts w:ascii="Times New Roman" w:cs="Times New Roman" w:eastAsia="Times New Roman" w:hAnsi="Times New Roman"/>
          <w:color w:val="cc4125"/>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Discuss this in bylaws</w:t>
      </w:r>
    </w:p>
    <w:p w:rsidR="00000000" w:rsidDel="00000000" w:rsidP="00000000" w:rsidRDefault="00000000" w:rsidRPr="00000000" w14:paraId="00000007">
      <w:pPr>
        <w:ind w:left="720" w:firstLine="0"/>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color w:val="cc4125"/>
          <w:sz w:val="24"/>
          <w:szCs w:val="24"/>
          <w:rtl w:val="0"/>
        </w:rPr>
        <w:t xml:space="preserve">Active and Inactive Members</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4125"/>
          <w:sz w:val="24"/>
          <w:szCs w:val="24"/>
          <w:rtl w:val="0"/>
        </w:rPr>
        <w:t xml:space="preserve">An active member is any member who has paid all TODA membership dues and who does not have a delinquent status in TODA.  Otherwise, that member is an inactive Members.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