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w:t>
      </w:r>
    </w:p>
    <w:p>
      <w:pPr>
        <w:jc w:val="center"/>
      </w:pPr>
      <w:r>
        <w:t>In the field of computer science, artificial intelligence (AI), sometimes called machine intelligence, is intelligence demonstrated by machines, in contrast to the natural intelligence displayed by humans and other animals. Computer science defines AI research as the study of "intelligent agents": any device that perceives its environment and takes actions that maximize its chance of successfully achieving its goals. More specifically, Kaplan and Haenlein define AI as “a system’s ability to correctly interpret external data, to learn from such data, and to use those learnings to achieve specific goals and tasks through flexible adaptation”.</w:t>
      </w:r>
    </w:p>
    <w:p>
      <w:pPr>
        <w:pStyle w:val="Heading1"/>
      </w:pPr>
      <w:r>
        <w:t>Emma watson</w:t>
      </w:r>
    </w:p>
    <w:p>
      <w:r>
        <w:t>Emma Charlotte Duerre Watson (born 15 April 1990) is an English actress, model, and activist. Born in Paris and brought up in Oxfordshire, Watson attended the Dragon School and trained as an actress at the Oxford branch of Stagecoach Theatre Arts. As a child artist, she rose to prominence after landing her first professional acting role as Hermione Granger in the Harry Potter film series, having acted only in school plays previously. Watson appeared in all eight Harry Potter films from 2001 to 2011, earning worldwide fame, critical accolades, and around $60 million.Watson continued to work outside of the Harry Potter films, appearing in the 2007 television adaptation of the novel Ballet Shoes and lending her voice to The Tale of Despereaux (2008). Following the last Harry Potter film, she took on starring and supporting roles in My Week with Marilyn (2011), The Perks of Being a Wallflower (2012) and The Bling Ring (2013), made an appearance as an exaggerated version of herself in This Is the End (2013), and portrayed the title character's adopted daughter in Noah (2014). In 2017, she starred as Belle in a live-action adaptation of the musical romantic fantasy film Beauty and the Beast. Her other roles include Regression (2015), Colonia (2015) and The Circle (2017).</w:t>
        <w:br/>
        <w:t>From 2011 to 2014, Watson split her time between working on film projects and continuing her education, studying at Brown University and Worcester College, Oxford and graduating from Brown with a bachelor's degree in English literature in May 2014. Her modelling work has included campaigns for Burberry and Lancôme. As a fashion consultant, she helped create a line of clothing for People Tree. She was honoured by the British Academy of Film and Television Arts in 2014, winning for British Artist of the Year. That same year, she was appointed as a UN Women Goodwill ambassador and helped launch the UN Women campaign HeForShe, which calls for men to advocate gender equality.</w:t>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1" name="Picture 1"/>
            <wp:cNvGraphicFramePr>
              <a:graphicFrameLocks noChangeAspect="1"/>
            </wp:cNvGraphicFramePr>
            <a:graphic>
              <a:graphicData uri="http://schemas.openxmlformats.org/drawingml/2006/picture">
                <pic:pic>
                  <pic:nvPicPr>
                    <pic:cNvPr id="0" name="Voltage0.jpg"/>
                    <pic:cNvPicPr/>
                  </pic:nvPicPr>
                  <pic:blipFill>
                    <a:blip r:embed="rId9"/>
                    <a:stretch>
                      <a:fillRect/>
                    </a:stretch>
                  </pic:blipFill>
                  <pic:spPr>
                    <a:xfrm>
                      <a:off x="0" y="0"/>
                      <a:ext cx="2743200" cy="2277461"/>
                    </a:xfrm>
                    <a:prstGeom prst="rect"/>
                  </pic:spPr>
                </pic:pic>
              </a:graphicData>
            </a:graphic>
          </wp:inline>
        </w:drawing>
      </w:r>
    </w:p>
    <w:p>
      <w:pPr>
        <w:jc w:val="center"/>
      </w:pPr>
      <w:r>
        <w:drawing>
          <wp:inline xmlns:a="http://schemas.openxmlformats.org/drawingml/2006/main" xmlns:pic="http://schemas.openxmlformats.org/drawingml/2006/picture">
            <wp:extent cx="2743200" cy="2463501"/>
            <wp:docPr id="2" name="Picture 2"/>
            <wp:cNvGraphicFramePr>
              <a:graphicFrameLocks noChangeAspect="1"/>
            </wp:cNvGraphicFramePr>
            <a:graphic>
              <a:graphicData uri="http://schemas.openxmlformats.org/drawingml/2006/picture">
                <pic:pic>
                  <pic:nvPicPr>
                    <pic:cNvPr id="0" name="Voltage1.jpg"/>
                    <pic:cNvPicPr/>
                  </pic:nvPicPr>
                  <pic:blipFill>
                    <a:blip r:embed="rId10"/>
                    <a:stretch>
                      <a:fillRect/>
                    </a:stretch>
                  </pic:blipFill>
                  <pic:spPr>
                    <a:xfrm>
                      <a:off x="0" y="0"/>
                      <a:ext cx="2743200" cy="246350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