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 UMCP / RCFT / ULRC — CONSISTENT PAPER TEMPLATE (REVTeX)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 Version: 2025-08-31 (America/Chicago)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 Notes: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  • Idempotent macros: safe to reuse; avoids double-script collisions.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  • Covers all core equations, closures, welds, regimes, typed outcomes.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  • Replace TODO: blocks with your content.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\documentclass[reprint,onecolumn,amsmath,amssymb,11pt,aps,prx]{revtex4-2}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 Niceties + Math Foundations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\usepackage{microtype}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\usepackage{mathtools} % extends amsmath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\usepackage{bm}        % bold math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\usepackage{siunitx}   % units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% 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% Paired delimiters (safe, consistent)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% 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\DeclarePairedDelimiter\abs{\lvert}{\rvert}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\DeclarePairedDelimiter\floor{\lfloor}{\rfloor}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\DeclarePairedDelimiter\ceil{\lceil}{\rceil}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\DeclarePairedDelimiter\paren{\lparen}{\rparen}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\DeclarePairedDelimiter\brak{\lbrack}{\rbrack}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\DeclarePairedDelimiter\set{\lbrace}{\rbrace}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 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 Core sets, operators, indicators (idempotent)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 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\providecommand{\R}{\mathbb{R}}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\providecommand{\E}{\mathbb{E}}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\providecommand{\Var}{\operatorname{Var}}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\providecommand{\sgn}{\operatorname{sgn}}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\providecommand{\diag}{\operatorname{diag}}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\providecommand{\1}{\mathbf{1}}                 % vector of ones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\newcommand{\Ind}[1]{\mathbf{1}\!\set*{#1}}     % indicator {…}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\newcommand{\norm}[1]{\left\lVert #1 \right\rVert}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\newcommand{\hash}{\texttt{sha256}}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 ------------------------------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 Small helpers (operators)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 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\providecommand{\clip}{\operatorname{clip}}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\providecommand{\EMA}{\operatorname{EMA}}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% UMCP / RCFT / ULRC Canon Macros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 ---- Constants and switches (symbols; values set in text/tables)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\newcommand{\eps}{\varepsilon}               % numerical floor in S(ω)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\newcommand{\alphaIC}{\alpha}                % IC curvature weight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\newcommand{\Kcurv}{K}                       % curvature window size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\newcommand{\lambdaEMA}{\lambda}             % EMA memory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\newcommand{\kret}{k}                        % return tolerance multiplier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\newcommand{\epsmin}{\varepsilon_{\min}}     % ε_min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\newcommand{\epsmax}{\varepsilon_{\max}}     % ε_max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\newcommand{\lambdaWall}{\lambda_{\text{wall}}}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% ---- Reentry delay (collision-free)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\newcommand{\taur}{\tau_{\!R}}               % τ_R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\newcommand{\taurt}{\tau_{\!R,t}}            % τ_{R,t}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\newcommand{\tauri}[1]{\tau_{\!R,#1}}        % τ_{R,&lt;arg&gt;}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\newcommand{\epsret}{\varepsilon_{\mathrm{ret}}} % ε_ret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\newcommand{\sigman}{\sigma_{\!n}}           % EMA noise for ε_ret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 ---- Normalization &amp; clipping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\newcommand{\affmap}[1]{\frac{#1 - a}{b}}    % y = (x-a)/b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\newcommand{\xhat}{\hat{x}}                  % \hat{x}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\newcommand{\xhatT}[1]{\hat{x}_{#1}}         % \hat{x}_t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% ---- Invariants (variables)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\newcommand{\w}{\omega}                      % drift ω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\newcommand{\Fid}{F}                         % fidelity F = 1 - ω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\newcommand{\Ent}{S}                         % entropy S = -ln(1-ω+ε)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\newcommand{\Curv}{C}                        % curvature 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\providecommand{\IC}{\mathrm{IC}}            % integrity IC (upright)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\newcommand{\kap}{\kappa}                    % κ = ln(IC)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% ---- Faces for drift (policies)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\newcommand{\omegapre}[2]{\abs*{#1 - #2}}    % pre-clip face: |y_t - y_{t-1}|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\newcommand{\omegapost}[2]{\abs*{#1 - #2}}   % post-clip face: |\hat x_t - \hat x_{t-1}|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 ---- Canonical formulas (boxed as macros to prevent script errors)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% Entropy: S(ω) = -ln(1 - ω + ε)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\newcommand{\Sof}[1]{-\ln\!\paren*{1 - #1 + \eps}}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 Fidelity: F(ω) = 1 - ω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\newcommand{\Fof}[1]{1 - #1}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% Curvature payload U := C/(1 + τ_R)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\newcommand{\Upayload}{U}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\newcommand{\Uof}[2]{\frac{#1}{1 + #2}}      % U(C, τ_R)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% K-factor for IC: K = exp( -α C/(1 + τ_R) 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\newcommand{\Kfac}[2]{\exp\!\paren*{-\alphaIC\,\frac{#1}{1 + #2}}}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% Integrity: IC(ω,C,τ_R) = (1-ω)^2 * e^{-S(ω)} * exp(-α C/(1+τ_R))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\newcommand{\ICof}[3]{\paren*{1-#1}^2 \exp\!\paren*{-\Sof{#1}} \Kfac{#2}{#3}}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 Log-integrity: κ = ln IC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\newcommand{\kapof}[3]{\ln\!\paren*{\ICof{#1}{#2}{#3}}}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% Return tolerance: ε_ret = clip(k·σ_n, ε_min, ε_max)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\newcommand{\epsretOf}[1]{\clip\!\paren*{\kret #1,\, \epsmin,\, \epsmax}}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 Curvature (K-window): C_t = (1/K) Σ_{k=1..K} (x̂_t − x̂_{t−k})²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 Usage at time t: \Curvof{\Kcurv}{\xhatT{t}}{\xhatT{t-k}} (with "use available terms" understood).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\newcommand{\Curvof}[3]{\frac{1}{#1} \sum_{k=1}^{#1} \paren*{#2 - #3}^2}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% ---- Aggregators and regime gates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\newcommand{\ICagg}{\IC_{\mathrm{agg}}}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\newcommand{\GeoMean}[2]{\prod_{i=1}^{#1} \IC_i^{\,w_i}}  % geometric mean with weights w_i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\newcommand{\Stable}{\textsc{Stable}}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\newcommand{\Watch}{\textsc{Watch}}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\newcommand{\Collapse}{\textsc{Collapse}}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\newcommand{\Critical}{\textsc{Critical}}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\newcommand{\thw}{\theta_{\omega}}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\newcommand{\thF}{\theta_{F}}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\newcommand{\thS}{\theta_{S}}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\newcommand{\thC}{\theta_{C}}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% ---- Regime ODE / CTMC generator (column convention)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\newcommand{\Q}{\mathbf{Q}}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\newcommand{\ones}{\mathbf{1}}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\newcommand{\ctmcCons}{\ones^{\!\top}\!\Q = \mathbf{0},\ \ Q_{ij}\!\ge 0\ (i\neq j)}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% ---- Secant face + transport identities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\newcommand{\facepot}{\Phi}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\newcommand{\gammasec}[1]{\Gamma^{\mathrm{sec}}_{#1}}   % Γ^{sec}_t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\newcommand{\Ut}{\Upayload_t}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% ---- Typed outcomes (fail-closed)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\newcommand{\oor}{\perp_{\!\mathrm{oor}}}    % out-of-range typed value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\newcommand{\inftyrec}{\infty_{\mathrm{rec}}} % division-by-zero typed value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\newcommand{\roor}{r_{\mathrm{oor}}}         % OOR rate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% ---- Weld headers and continuity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\newcommand{\WeldID}[1]{\texttt{W-#1}}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\newcommand{\kapCont}{\abs*{\kap_{t^+}-\kap_{t^-}}\le \text{tol}_W}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\newcommand{\UCont}{\abs*{\Upayload_{t^+}-\Upayload_{t^-}}\le \text{tol}_T}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% Color + Branding (optional)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\usepackage{xcolor}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\definecolor{UMCPAccent}{HTML}{337799}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\colorlet{UMCPAccentDark}{UMCPAccent!80!black}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\colorlet{UMCPAccentLight}{UMCPAccent!30!white}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\colorlet{UMCPAccentFaint}{UMCPAccent!12!white}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\newcommand{\umcp}[1]{\textcolor{UMCPAccent}{#1}}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\newcommand{\divider}{\par\medskip\noindent\textcolor{UMCPAccent}{\rule{\linewidth}{0.4pt}}\medskip\par}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% ORCID (package if present; otherwise fallback)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\IfFileExists{orcidlink.sty}{\usepackage{orcidlink}}{%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\newcommand{\orcidlink}[1]{\href{https://orcid.org/#1}{ORCID}}%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\newcommand{\AuthorORCID}{0009-0000-6069-8234}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% Hyperref — LOAD LAST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\usepackage[colorlinks=true]{hyperref}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\hypersetup{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linkcolor=UMCPAccent,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urlcolor=UMCPAccent,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citecolor=UMCPAccent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% Theorem-like environments (optional)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\newtheorem{identity}{Identity}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\newtheorem{theorem}{Theorem}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\newtheorem{lemma}{Lemma}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\newtheorem{proposition}{Proposition}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\newtheorem{definition}{Definition}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% Meta footer line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% ==============================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\newcommand{\Metaline}[1]{\textit{Meta}—#1.}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% DOCUMENT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\begin{document}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\title{TITLE GOES HERE: Concise, Specific, and UMCP/RCFT/ULRC Aligned}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\author{Clement Paulus\,\orcidlink{\AuthorORCID}}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\affiliation{Universal Mathematics \&amp; Collapse Platform (UMCP), Austin, TX}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\email{clementpaulus9@gmail.com}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\date{August 31, 2025 (America/Chicago)} % Use explicit absolute date in America/Chicago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\begin{abstract}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% TODO: 4–6 sentences. Contract-first statement, core result, what is invariant,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% what is closure, what changed (data/evidence), and what the audit exports.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This work formalizes a contract-first, weld-continuous calculus for collapse invariants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$(\w,\Fid,\Ent,\Curv,\taur,\IC)$ and their regime map. Identities are separated from closures,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and all outputs are audit-ready.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\end{abstract}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\maketitle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\divider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\section{Governance Contract (Freeze-First)}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% TODO: Fill with actual (a,b), face policy, epsilon, K, α, λ, k, ε_min, ε_max, tol_W, tol_T.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We freeze the affine map $y=\affmap{x}$ with $b&gt;0$ and clip $\xhat=\clip(y,0,1)$.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Active face policy: pre-clip, pivot to post-clip+guard near walls (log $\lambdaWall$).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Typed outcomes: domain $\Rightarrow \oor$, division-by-zero $\Rightarrow \inftyrec$.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Published tolerances: $\text{tol}_W, \text{tol}_T$.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Time zone: America/Chicago (absolute dates).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\begin{table}[h]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\caption{Frozen closures and defaults (edit as needed).}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\begin{ruledtabular}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\begin{tabular}{l l}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Numerical floor &amp; $\eps = 10^{-8}$ \\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Curvature window &amp; $\Kcurv = 3$ \\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IC curvature weight &amp; $\alphaIC = 1$ \\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EMA memory &amp; $\lambdaEMA = 0.2$ \\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Return tolerance &amp; $\epsret = \clip(\kret \sigman,\epsmin,\epsmax)$;\; $\kret=2.5$, $\epsmin=5\cdot10^{-4}$, $\epsmax=0.07$ \\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OOR policy &amp; clip\_and\_flag;\; OOR rate $\roor$ reported \\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Regime gates &amp; $\Stable:\w&lt;0.038,\ \Fid&gt;0.90,\ \Ent&lt;0.15,\ \Curv&lt;0.14$;\; $\Watch:0.038\text{–}0.30$;\; $\Collapse:\ge 0.30$ \\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CTMC generator &amp; column convention; \ $\ctmcCons$ \\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\end{ruledtabular}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\section{Invariants (Identities)}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Given $\xhat_t\in[0,1]$ and frozen $(a,b)$: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\begin{align}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\w_t &amp;= \omegapre{y_t}{y_{t-1}} \quad \text{(pre-clip; else post-clip: }\omegapost{\xhat_t}{\xhat_{t-1}}\text{)} \\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\Fid_t &amp;= \Fof{\w_t} \\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\Ent_t &amp;= \Sof{\w_t} \\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\Curv_t &amp;= \frac{1}{\Kcurv}\sum_{k=1}^{\Kcurv}\left(\xhat_t-\xhat_{t-k}\right)^2 \\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\epsret_t &amp;= \epsretOf{\sigman(t)},\qquad \taurt = \min\{\Delta t&gt;0:\abs{\xhat_t-\xhat_{t-\Delta t}}&lt;\epsret_t\} \\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\IC_t &amp;= \ICof{\w_t}{\Curv_t}{\taurt},\qquad \kap_t=\ln \IC_t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\end{align}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\begin{identity}[Geometric Mean Aggregator]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Let $\{\IC_i\}_{i=1}^m\subset(0,1]$ with weights $w_i\ge0$, $\sum_i w_i=1$. Then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$\ICagg=\prod_{i=1}^m \IC_i^{\,w_i}\in(0,1]$ is non-decreasing in each $\IC_i$ and log-concave.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\end{identity}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\begin{identity}[Weld Continuity]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At declared anchor $t=\hat t$, enforce $\kapCont$ and $\UCont$ with $\Upayload:=\Uof{\Curv}{\taur}$.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\end{identity}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\section{Closures (Policies) and Sensitivities}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Closures are published knobs; identities do not depend on them.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We track sensitivities $\partial \kap/\partial \w,\ \partial \kap/\partial \Curv,\ \partial \kap/\partial \taur$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to surface operator effects.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\section{Data and Runbook}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% TODO: Brief datasets, provenance, and run steps.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\textbf{/ingest} → \textbf{/freeze} → \textbf{/compute} → \textbf{/regime} → \textbf{/render} → \textbf{/export}.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\section{Results and Regime Map}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% TODO: Summaries, figures, and tables.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Label per-timestep regimes by worst-of gates (ties broken by larger $\IC$). Multi-channel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integrity via $\ICagg$.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\begin{table}[h]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\caption{Sample audit row (schema).}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\begin{ruledtabular}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\begin{tabular}{l}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$[t,\ \text{channel},\ x_{\text{raw}},\ a,\ b,\ y,\ \xhat,\ \w,\ \Fid,\ \Ent,\ \Curv,\ \taur,\ \IC,\ \text{regime},\ \text{weld\_id?},\ \text{policy\_id},\ \text{manifest\_id},\ \text{run\_id},\ \hash]$ \\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\end{tabular}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\end{ruledtabular}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\end{table}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\section{Welds, Typed Outcomes, and Near-Wall Policy}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Weld headers report $\WeldID{...}$, anchor time, manifest IDs, and measured $\Delta \kap$.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Typed outcomes $\oor$ and $\inftyrec$ are first-class and retained in the audit.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Pivot to post-clip+guard near walls; log $\lambdaWall$ and OOR rate $\roor$.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\section{Meta Line (Example)}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\Metaline{Tags:\,UMCP; Slice:[$t_0,t_1$]; Contract:\,$(a,b,\eps)=(\cdot,\cdot,10^{-8})$;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Bands:\,Defaults; Ops:\,$\w$=pre-clip, IC=normal($p{=}3$), $\Kcurv{=}3$, $\alphaIC{=}1$, $\lambdaEMA{=}0.2$, $k{=}2.5$;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$Q$:\,column, $\ones^\top Q {=} 0$; Norm:\,global\_fixed; OOR:\,clip\_and\_flag; TZ:\,America/Chicago;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Manifest:\,\texttt{&lt;id&gt;}; Weld:\,\texttt{&lt;id?&gt;}; Hash:\,\hash}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\section*{Acknowledgments}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% TODO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% ==========================================================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\bibliographystyle{apsrev4-2}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\bibliography{refs} % Create refs.bib in the project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\end{document}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