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8"/>
          <w:szCs w:val="48"/>
        </w:rPr>
        <w:t xml:space="preserve"/>
      </w:r>
    </w:p>
    <w:p>
      <w:pPr>
        <w:spacing w:after="40" w:before="0"/>
      </w:pPr>
      <w:r>
        <w:rPr>
          <w:rFonts w:ascii="Arial" w:cs="Arial" w:eastAsia="Arial" w:hAnsi="Arial"/>
          <w:b/>
          <w:bCs/>
          <w:caps/>
          <w:color w:val="1B3A6B"/>
          <w:sz w:val="64"/>
          <w:szCs w:val="64"/>
        </w:rPr>
        <w:t xml:space="preserve">SAFEAI.SG</w:t>
      </w:r>
    </w:p>
    <w:p>
      <w:pPr>
        <w:spacing w:after="40" w:before="0"/>
      </w:pPr>
      <w:r>
        <w:rPr>
          <w:rFonts w:ascii="Arial" w:cs="Arial" w:eastAsia="Arial" w:hAnsi="Arial"/>
          <w:color w:val="1A1A1A"/>
          <w:sz w:val="28"/>
          <w:szCs w:val="28"/>
        </w:rPr>
        <w:t xml:space="preserve">Centre of Excellence for AI Technical Safety &amp; Governance</w:t>
      </w:r>
    </w:p>
    <w:p>
      <w:pPr>
        <w:pBdr>
          <w:bottom w:val="single" w:color="1B3A6B" w:sz="8" w:space="1"/>
        </w:pBdr>
        <w:spacing w:after="0" w:before="0"/>
      </w:pPr>
    </w:p>
    <w:p>
      <w:pPr>
        <w:spacing w:after="0" w:before="0"/>
      </w:pPr>
      <w:r>
        <w:rPr>
          <w:sz w:val="16"/>
          <w:szCs w:val="16"/>
        </w:rPr>
        <w:t xml:space="preserve"/>
      </w:r>
    </w:p>
    <w:p>
      <w:pPr>
        <w:spacing w:after="40" w:before="0"/>
      </w:pPr>
      <w:r>
        <w:rPr>
          <w:rFonts w:ascii="Arial" w:cs="Arial" w:eastAsia="Arial" w:hAnsi="Arial"/>
          <w:b/>
          <w:bCs/>
          <w:caps/>
          <w:color w:val="1A1A1A"/>
          <w:sz w:val="36"/>
          <w:szCs w:val="36"/>
        </w:rPr>
        <w:t xml:space="preserve">ADVISORY COUNCIL CHARTER</w:t>
      </w:r>
    </w:p>
    <w:p>
      <w:pPr>
        <w:spacing w:after="60" w:before="0"/>
      </w:pPr>
      <w:r>
        <w:rPr>
          <w:rFonts w:ascii="Arial" w:cs="Arial" w:eastAsia="Arial" w:hAnsi="Arial"/>
          <w:i/>
          <w:iCs/>
          <w:color w:val="777777"/>
          <w:sz w:val="22"/>
          <w:szCs w:val="22"/>
        </w:rPr>
        <w:t xml:space="preserve">Founding Document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none"/>
              <w:bottom w:val="single" w:color="1B3A6B" w:sz="6"/>
              <w:right w:val="none"/>
            </w:tcBorders>
            <w:shd w:fill="EEF3FC" w:val="clear"/>
            <w:tcMar>
              <w:top w:type="dxa" w:w="160"/>
              <w:left w:type="dxa" w:w="200"/>
              <w:bottom w:type="dxa" w:w="160"/>
              <w:right w:type="dxa" w:w="200"/>
            </w:tcMar>
          </w:tcPr>
          <w:p>
            <w:r>
              <w:rPr>
                <w:rFonts w:ascii="Arial" w:cs="Arial" w:eastAsia="Arial" w:hAnsi="Arial"/>
                <w:i/>
                <w:iCs/>
                <w:color w:val="1A1A1A"/>
                <w:sz w:val="22"/>
                <w:szCs w:val="22"/>
              </w:rPr>
              <w:t xml:space="preserve">Established by SPARK by CIO Academy Asia in partnership with the SafeAI.sg ecosystem of government, enterprise, and academic partners. Operationally hosted at the Punggol Digital District, Singapore.</w:t>
            </w:r>
          </w:p>
        </w:tc>
      </w:tr>
    </w:tbl>
    <w:p>
      <w:pPr>
        <w:spacing w:after="0" w:before="0"/>
      </w:pPr>
      <w:r>
        <w:rPr>
          <w:sz w:val="48"/>
          <w:szCs w:val="48"/>
        </w:rPr>
        <w:t xml:space="preserve"/>
      </w:r>
    </w:p>
    <w:p>
      <w:pPr>
        <w:spacing w:after="0" w:before="0"/>
      </w:pPr>
      <w:r>
        <w:rPr>
          <w:rFonts w:ascii="Arial" w:cs="Arial" w:eastAsia="Arial" w:hAnsi="Arial"/>
          <w:color w:val="777777"/>
          <w:sz w:val="22"/>
          <w:szCs w:val="22"/>
        </w:rPr>
        <w:t xml:space="preserve">Singapore  ·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6800" w:sz="8"/>
              <w:left w:val="none"/>
              <w:bottom w:val="single" w:color="B86800" w:sz="8"/>
              <w:right w:val="none"/>
            </w:tcBorders>
            <w:shd w:fill="FFF4DC" w:val="clear"/>
            <w:tcMar>
              <w:top w:type="dxa" w:w="160"/>
              <w:left w:type="dxa" w:w="200"/>
              <w:bottom w:type="dxa" w:w="160"/>
              <w:right w:type="dxa" w:w="200"/>
            </w:tcMar>
          </w:tcPr>
          <w:p>
            <w:pPr>
              <w:spacing w:after="80" w:before="0"/>
            </w:pPr>
            <w:r>
              <w:rPr>
                <w:rFonts w:ascii="Arial" w:cs="Arial" w:eastAsia="Arial" w:hAnsi="Arial"/>
                <w:b/>
                <w:bCs/>
                <w:caps/>
                <w:color w:val="B86800"/>
                <w:sz w:val="22"/>
                <w:szCs w:val="22"/>
              </w:rPr>
              <w:t xml:space="preserve">IMPORTANT NOTICE</w:t>
            </w:r>
          </w:p>
          <w:p>
            <w:pPr>
              <w:spacing w:after="80" w:before="0"/>
            </w:pPr>
            <w:r>
              <w:rPr>
                <w:rFonts w:ascii="Arial" w:cs="Arial" w:eastAsia="Arial" w:hAnsi="Arial"/>
                <w:color w:val="1A1A1A"/>
                <w:sz w:val="22"/>
                <w:szCs w:val="22"/>
              </w:rPr>
              <w:t xml:space="preserve">SafeAI.sg is a practitioner community and knowledge centre. It does not exercise any regulatory or supervisory function, does not grant compliance approvals or certifications of any kind, and does not endorse any commercial AI tool, product, platform, or model as compliant with any applicable law or regulation.</w:t>
            </w:r>
          </w:p>
          <w:p>
            <w:pPr>
              <w:spacing w:after="80" w:before="0"/>
            </w:pPr>
            <w:r>
              <w:rPr>
                <w:rFonts w:ascii="Arial" w:cs="Arial" w:eastAsia="Arial" w:hAnsi="Arial"/>
                <w:color w:val="1A1A1A"/>
                <w:sz w:val="22"/>
                <w:szCs w:val="22"/>
              </w:rPr>
              <w:t xml:space="preserve">The frameworks, guidance materials, reference architectures, and risk metrics published by SafeAI.sg represent practitioner-developed best practices and educational resources only. Organisations remain solely responsible for their own compliance with applicable laws, regulations, and regulatory guidelines, including but not limited to those issued by IMDA, CSA, MAS, MOH, and other relevant authorities.</w:t>
            </w:r>
          </w:p>
          <w:p>
            <w:pPr>
              <w:spacing w:after="0" w:before="0"/>
            </w:pPr>
            <w:r>
              <w:rPr>
                <w:rFonts w:ascii="Arial" w:cs="Arial" w:eastAsia="Arial" w:hAnsi="Arial"/>
                <w:color w:val="1A1A1A"/>
                <w:sz w:val="22"/>
                <w:szCs w:val="22"/>
              </w:rPr>
              <w:t xml:space="preserve">Participation by government agencies or regulatory bodies in the SafeAI.sg Advisory Council is in an advisory and knowledge-sharing capacity only, and does not constitute regulatory endorsement of SafeAI.sg, its members, or any AI system deployed by organisations that reference SafeAI.sg materials.</w:t>
            </w:r>
          </w:p>
        </w:tc>
      </w:tr>
    </w:tbl>
    <w:p>
      <w:pPr>
        <w:spacing w:after="0" w:before="0"/>
      </w:pPr>
      <w:r>
        <w:rPr>
          <w:sz w:val="48"/>
          <w:szCs w:val="48"/>
        </w:rPr>
        <w:t xml:space="preserve"/>
      </w:r>
    </w:p>
    <w:p>
      <w:pPr>
        <w:pStyle w:val="Heading1"/>
        <w:spacing w:after="80" w:before="240"/>
      </w:pPr>
      <w:r>
        <w:rPr>
          <w:rFonts w:ascii="Arial" w:cs="Arial" w:eastAsia="Arial" w:hAnsi="Arial"/>
          <w:b/>
          <w:bCs/>
          <w:color w:val="1B3A6B"/>
          <w:sz w:val="28"/>
          <w:szCs w:val="28"/>
        </w:rPr>
        <w:t xml:space="preserve">Preamble</w:t>
      </w:r>
    </w:p>
    <w:p>
      <w:pPr>
        <w:pBdr>
          <w:bottom w:val="single" w:color="1B3A6B" w:sz="8" w:space="1"/>
        </w:pBdr>
        <w:spacing w:after="0" w:before="0"/>
      </w:pPr>
    </w:p>
    <w:p>
      <w:pPr>
        <w:spacing w:after="0" w:before="0"/>
      </w:pPr>
      <w:r>
        <w:rPr>
          <w:sz w:val="16"/>
          <w:szCs w:val="16"/>
        </w:rPr>
        <w:t xml:space="preserve"/>
      </w:r>
    </w:p>
    <w:p>
      <w:pPr>
        <w:spacing w:after="120" w:before="0"/>
      </w:pPr>
      <w:r>
        <w:rPr>
          <w:rFonts w:ascii="Arial" w:cs="Arial" w:eastAsia="Arial" w:hAnsi="Arial"/>
          <w:color w:val="1A1A1A"/>
          <w:sz w:val="22"/>
          <w:szCs w:val="22"/>
        </w:rPr>
        <w:t xml:space="preserve">Singapore's digital economy is entering a decisive phase. Artificial intelligence is no longer a horizon technology — it is active infrastructure. AI agents are being woven into enterprise workflows, public sector operations, financial services, healthcare delivery, and critical national systems. The pace of deployment is outrunning the organisational capacity to govern it well.</w:t>
      </w:r>
    </w:p>
    <w:p>
      <w:pPr>
        <w:spacing w:after="120" w:before="0"/>
      </w:pPr>
      <w:r>
        <w:rPr>
          <w:rFonts w:ascii="Arial" w:cs="Arial" w:eastAsia="Arial" w:hAnsi="Arial"/>
          <w:color w:val="1A1A1A"/>
          <w:sz w:val="22"/>
          <w:szCs w:val="22"/>
        </w:rPr>
        <w:t xml:space="preserve">The risk is not that organisations will fail to adopt AI. The risk is that they will adopt it in ways that are either under-governed — exposing enterprises, customers, and society to avoidable harm — or over-governed — applying compliance processes designed for high-stakes scenarios as blanket policy across low-risk applications, creating friction that stalls innovation and drives AI initiatives underground.</w:t>
      </w:r>
    </w:p>
    <w:p>
      <w:pPr>
        <w:spacing w:after="120" w:before="0"/>
      </w:pPr>
      <w:r>
        <w:rPr>
          <w:rFonts w:ascii="Arial" w:cs="Arial" w:eastAsia="Arial" w:hAnsi="Arial"/>
          <w:color w:val="1A1A1A"/>
          <w:sz w:val="22"/>
          <w:szCs w:val="22"/>
        </w:rPr>
        <w:t xml:space="preserve">SafeAI.sg is established to close this gap. It is Singapore's industry-led Centre of Excellence for AI technical safety and practical governance — a platform where CIOs, CISOs, CTOs, and their teams can access calibrated, use-case-specific guidance that allows them to deploy AI with confidence, at the appropriate level of rigour, across the full spectrum of risk.</w:t>
      </w:r>
    </w:p>
    <w:p>
      <w:pPr>
        <w:spacing w:after="0" w:before="0"/>
      </w:pPr>
      <w:r>
        <w:rPr>
          <w:sz w:val="32"/>
          <w:szCs w:val="32"/>
        </w:rPr>
        <w:t xml:space="preserve"/>
      </w:r>
    </w:p>
    <w:p>
      <w:pPr>
        <w:pStyle w:val="Heading1"/>
        <w:spacing w:after="80" w:before="240"/>
      </w:pPr>
      <w:r>
        <w:rPr>
          <w:rFonts w:ascii="Arial" w:cs="Arial" w:eastAsia="Arial" w:hAnsi="Arial"/>
          <w:b/>
          <w:bCs/>
          <w:color w:val="1B3A6B"/>
          <w:sz w:val="28"/>
          <w:szCs w:val="28"/>
        </w:rPr>
        <w:t xml:space="preserve">Part I — Mission and Purpose</w:t>
      </w:r>
    </w:p>
    <w:p>
      <w:pPr>
        <w:pBdr>
          <w:bottom w:val="single" w:color="1B3A6B" w:sz="8" w:space="1"/>
        </w:pBdr>
        <w:spacing w:after="0" w:before="0"/>
      </w:pPr>
    </w:p>
    <w:p>
      <w:pPr>
        <w:spacing w:after="0" w:before="0"/>
      </w:pPr>
      <w:r>
        <w:rPr>
          <w:sz w:val="16"/>
          <w:szCs w:val="16"/>
        </w:rPr>
        <w:t xml:space="preserve"/>
      </w:r>
    </w:p>
    <w:p>
      <w:pPr>
        <w:pStyle w:val="Heading2"/>
        <w:spacing w:after="60" w:before="200"/>
      </w:pPr>
      <w:r>
        <w:rPr>
          <w:rFonts w:ascii="Arial" w:cs="Arial" w:eastAsia="Arial" w:hAnsi="Arial"/>
          <w:b/>
          <w:bCs/>
          <w:color w:val="1A1A1A"/>
          <w:sz w:val="24"/>
          <w:szCs w:val="24"/>
        </w:rPr>
        <w:t xml:space="preserve">1.1  Mission Statement</w:t>
      </w:r>
    </w:p>
    <w:p>
      <w:pPr>
        <w:spacing w:after="120" w:before="0"/>
      </w:pPr>
      <w:r>
        <w:rPr>
          <w:rFonts w:ascii="Arial" w:cs="Arial" w:eastAsia="Arial" w:hAnsi="Arial"/>
          <w:color w:val="1A1A1A"/>
          <w:sz w:val="22"/>
          <w:szCs w:val="22"/>
        </w:rPr>
        <w:t xml:space="preserve">SafeAI.sg exists to make AI deployment safer, more confident, and more economically rational for Singapore-based enterprises, public agencies, and technology teams — by providing a risk-weighted, use-case-calibrated governance framework, a curated library of technical controls, and a trusted peer community of senior AI practitioners.</w:t>
      </w:r>
    </w:p>
    <w:p>
      <w:pPr>
        <w:spacing w:after="120" w:before="0"/>
      </w:pPr>
      <w:r>
        <w:rPr>
          <w:rFonts w:ascii="Arial" w:cs="Arial" w:eastAsia="Arial" w:hAnsi="Arial"/>
          <w:color w:val="1A1A1A"/>
          <w:sz w:val="22"/>
          <w:szCs w:val="22"/>
        </w:rPr>
        <w:t xml:space="preserve">We build the practical infrastructure of AI governance: the scorecards, the control playbooks, the observability references, and the community of practice that enable organisations to answer two questions for every AI initiative they undertake:</w:t>
      </w:r>
    </w:p>
    <w:p>
      <w:pPr>
        <w:pStyle w:val="ListParagraph"/>
        <w:numPr>
          <w:ilvl w:val="0"/>
          <w:numId w:val="2"/>
        </w:numPr>
        <w:spacing w:after="80" w:before="0"/>
      </w:pPr>
      <w:r>
        <w:rPr>
          <w:rFonts w:ascii="Arial" w:cs="Arial" w:eastAsia="Arial" w:hAnsi="Arial"/>
          <w:color w:val="1A1A1A"/>
          <w:sz w:val="22"/>
          <w:szCs w:val="22"/>
        </w:rPr>
        <w:t xml:space="preserve">What is the right level of governance for this specific use case?</w:t>
      </w:r>
    </w:p>
    <w:p>
      <w:pPr>
        <w:pStyle w:val="ListParagraph"/>
        <w:numPr>
          <w:ilvl w:val="0"/>
          <w:numId w:val="2"/>
        </w:numPr>
        <w:spacing w:after="80" w:before="0"/>
      </w:pPr>
      <w:r>
        <w:rPr>
          <w:rFonts w:ascii="Arial" w:cs="Arial" w:eastAsia="Arial" w:hAnsi="Arial"/>
          <w:color w:val="1A1A1A"/>
          <w:sz w:val="22"/>
          <w:szCs w:val="22"/>
        </w:rPr>
        <w:t xml:space="preserve">What are the specific controls, processes, and tools that implement that level of governance across every system this AI touches?</w:t>
      </w:r>
    </w:p>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1.2  The Three Pillars of SafeAI.sg</w:t>
      </w:r>
    </w:p>
    <w:p>
      <w:pPr>
        <w:spacing w:after="120" w:before="0"/>
      </w:pPr>
      <w:r>
        <w:rPr>
          <w:rFonts w:ascii="Arial" w:cs="Arial" w:eastAsia="Arial" w:hAnsi="Arial"/>
          <w:color w:val="1A1A1A"/>
          <w:sz w:val="22"/>
          <w:szCs w:val="22"/>
        </w:rPr>
        <w:t xml:space="preserve">SafeAI.sg delivers its mission through three distinct but mutually reinforcing pillars. Together, these pillars address the full lifecycle of AI governance readiness — from the moment a team asks whether their use case needs governance, through to the production deployment of governed AI systems, and the development of the skilled workforce required to sustain responsible AI practices at scale.</w:t>
      </w:r>
    </w:p>
    <w:p>
      <w:pPr>
        <w:spacing w:after="0" w:before="0"/>
      </w:pPr>
      <w:r>
        <w:rPr>
          <w:sz w:val="16"/>
          <w:szCs w:val="16"/>
        </w:rPr>
        <w:t xml:space="preserve"/>
      </w:r>
    </w:p>
    <w:p>
      <w:pPr>
        <w:spacing w:after="40" w:before="160"/>
      </w:pPr>
      <w:r>
        <w:rPr>
          <w:rFonts w:ascii="Arial" w:cs="Arial" w:eastAsia="Arial" w:hAnsi="Arial"/>
          <w:b/>
          <w:bCs/>
          <w:color w:val="444444"/>
          <w:sz w:val="22"/>
          <w:szCs w:val="22"/>
        </w:rPr>
        <w:t xml:space="preserve">Pillar 1  —  Open Risk Assessment Toolkit and Governance Controls Standard</w:t>
      </w:r>
    </w:p>
    <w:p>
      <w:pPr>
        <w:spacing w:after="120" w:before="0"/>
      </w:pPr>
      <w:r>
        <w:rPr>
          <w:rFonts w:ascii="Arial" w:cs="Arial" w:eastAsia="Arial" w:hAnsi="Arial"/>
          <w:color w:val="1A1A1A"/>
          <w:sz w:val="22"/>
          <w:szCs w:val="22"/>
        </w:rPr>
        <w:t xml:space="preserve">SafeAI.sg will develop, maintain, and freely publish a practitioner-validated, self-service risk assessment and governance controls toolkit as an open online resource, accessible at no cost to any Singapore organisation. The centrepiece of this toolkit is the Universal AI Use-Case Risk Score (UARS) — a structured, five-dimension scoring instrument that any technology team can apply to any AI use case to determine the appropriate level of governance required, without needing external consultants or specialist resources.</w:t>
      </w:r>
    </w:p>
    <w:p>
      <w:pPr>
        <w:spacing w:after="120" w:before="0"/>
      </w:pPr>
      <w:r>
        <w:rPr>
          <w:rFonts w:ascii="Arial" w:cs="Arial" w:eastAsia="Arial" w:hAnsi="Arial"/>
          <w:color w:val="1A1A1A"/>
          <w:sz w:val="22"/>
          <w:szCs w:val="22"/>
        </w:rPr>
        <w:t xml:space="preserve">The toolkit provides more than a score. Against each UARS risk band, it specifies the commensurate governance controls, the implementation processes required to deploy those controls, and the extensibility mechanism that ensures those policies propagate consistently across every system the AI use case touches. The aim is to give Singapore companies an immediate, actionable answer to the question that currently has no clear answer: for this specific AI use case, with this specific risk profile, what exactly should we do?</w:t>
      </w:r>
    </w:p>
    <w:p>
      <w:pPr>
        <w:spacing w:after="120" w:before="0"/>
      </w:pPr>
      <w:r>
        <w:rPr>
          <w:rFonts w:ascii="Arial" w:cs="Arial" w:eastAsia="Arial" w:hAnsi="Arial"/>
          <w:color w:val="1A1A1A"/>
          <w:sz w:val="22"/>
          <w:szCs w:val="22"/>
        </w:rPr>
        <w:t xml:space="preserve">The toolkit is practitioner-validated — developed in consultation with the SafeAI.sg community of enterprise technology leaders, reviewed by the Advisory Council, and updated continuously as the technology and regulatory landscape evolves. It is published as an open standard, not as proprietary intellectual property, so that it can be adopted, referenced, and built upon freely across Singapore's enterprise and public sector ecosystem.</w:t>
      </w:r>
    </w:p>
    <w:p>
      <w:pPr>
        <w:spacing w:after="0" w:before="0"/>
      </w:pPr>
      <w:r>
        <w:rPr>
          <w:sz w:val="16"/>
          <w:szCs w:val="16"/>
        </w:rPr>
        <w:t xml:space="preserve"/>
      </w:r>
    </w:p>
    <w:p>
      <w:pPr>
        <w:spacing w:after="40" w:before="160"/>
      </w:pPr>
      <w:r>
        <w:rPr>
          <w:rFonts w:ascii="Arial" w:cs="Arial" w:eastAsia="Arial" w:hAnsi="Arial"/>
          <w:b/>
          <w:bCs/>
          <w:color w:val="444444"/>
          <w:sz w:val="22"/>
          <w:szCs w:val="22"/>
        </w:rPr>
        <w:t xml:space="preserve">Pillar 2  —  Technology Showcase and Associate Programme</w:t>
      </w:r>
    </w:p>
    <w:p>
      <w:pPr>
        <w:spacing w:after="120" w:before="0"/>
      </w:pPr>
      <w:r>
        <w:rPr>
          <w:rFonts w:ascii="Arial" w:cs="Arial" w:eastAsia="Arial" w:hAnsi="Arial"/>
          <w:color w:val="1A1A1A"/>
          <w:sz w:val="22"/>
          <w:szCs w:val="22"/>
        </w:rPr>
        <w:t xml:space="preserve">SafeAI.sg will operate an Associate Programme for technology companies — including AI platform providers, cybersecurity vendors, observability tooling companies, and governance technology firms — that wish to demonstrate how strong AI governance controls can be embedded into real-world enterprise AI deployments.</w:t>
      </w:r>
    </w:p>
    <w:p>
      <w:pPr>
        <w:spacing w:after="120" w:before="0"/>
      </w:pPr>
      <w:r>
        <w:rPr>
          <w:rFonts w:ascii="Arial" w:cs="Arial" w:eastAsia="Arial" w:hAnsi="Arial"/>
          <w:color w:val="1A1A1A"/>
          <w:sz w:val="22"/>
          <w:szCs w:val="22"/>
        </w:rPr>
        <w:t xml:space="preserve">Associates may showcase their technologies within the SafeAI.sg ecosystem — through community events, reference architecture demonstrations, and case study publications — illustrating how their products address specific governance requirements at defined UARS tiers. This programme provides a credible, practitioner-facing channel through which governance technology companies can reach the CIOs, CISOs, and AI engineering teams who are actively seeking solutions.</w:t>
      </w:r>
    </w:p>
    <w:p>
      <w:pPr>
        <w:spacing w:after="120" w:before="0"/>
      </w:pPr>
      <w:r>
        <w:rPr>
          <w:rFonts w:ascii="Arial" w:cs="Arial" w:eastAsia="Arial" w:hAnsi="Arial"/>
          <w:color w:val="1A1A1A"/>
          <w:sz w:val="22"/>
          <w:szCs w:val="22"/>
        </w:rPr>
        <w:t xml:space="preserve">It is essential to state clearly: SafeAI.sg does not test, validate, certify, or endorse any technology provided by Associate companies as compliant with any regulatory requirement or as meeting any defined governance standard. Associates are showcased for their relevance to AI governance challenges, not certified for regulatory compliance. Organisations evaluating Associate technologies remain solely responsible for their own due diligence, procurement decisions, and compliance assessments.</w:t>
      </w:r>
    </w:p>
    <w:p>
      <w:pPr>
        <w:spacing w:after="0" w:before="0"/>
      </w:pPr>
      <w:r>
        <w:rPr>
          <w:sz w:val="16"/>
          <w:szCs w:val="16"/>
        </w:rPr>
        <w:t xml:space="preserve"/>
      </w:r>
    </w:p>
    <w:p>
      <w:pPr>
        <w:spacing w:after="40" w:before="160"/>
      </w:pPr>
      <w:r>
        <w:rPr>
          <w:rFonts w:ascii="Arial" w:cs="Arial" w:eastAsia="Arial" w:hAnsi="Arial"/>
          <w:b/>
          <w:bCs/>
          <w:color w:val="444444"/>
          <w:sz w:val="22"/>
          <w:szCs w:val="22"/>
        </w:rPr>
        <w:t xml:space="preserve">Pillar 3  —  Professional Certification and Skills Development</w:t>
      </w:r>
    </w:p>
    <w:p>
      <w:pPr>
        <w:spacing w:after="120" w:before="0"/>
      </w:pPr>
      <w:r>
        <w:rPr>
          <w:rFonts w:ascii="Arial" w:cs="Arial" w:eastAsia="Arial" w:hAnsi="Arial"/>
          <w:color w:val="1A1A1A"/>
          <w:sz w:val="22"/>
          <w:szCs w:val="22"/>
        </w:rPr>
        <w:t xml:space="preserve">SafeAI.sg will co-develop a structured professional certification programme in partnership with Singapore's institutes of higher learning, spanning four levels from career conversion for non-technical professionals through to senior certification for enterprise architects and governance leaders. These programmes address a critical gap: governance frameworks are only sustainable when the people responsible for implementing them possess the knowledge to do so. The certification programme is described in full in Part VIII of this Charter.</w:t>
      </w:r>
    </w:p>
    <w:p>
      <w:pPr>
        <w:spacing w:after="0" w:before="0"/>
      </w:pPr>
      <w:r>
        <w:rPr>
          <w:sz w:val="32"/>
          <w:szCs w:val="32"/>
        </w:rPr>
        <w:t xml:space="preserve"/>
      </w:r>
    </w:p>
    <w:p>
      <w:pPr>
        <w:pStyle w:val="Heading1"/>
        <w:spacing w:after="80" w:before="240"/>
      </w:pPr>
      <w:r>
        <w:rPr>
          <w:rFonts w:ascii="Arial" w:cs="Arial" w:eastAsia="Arial" w:hAnsi="Arial"/>
          <w:b/>
          <w:bCs/>
          <w:color w:val="1B3A6B"/>
          <w:sz w:val="28"/>
          <w:szCs w:val="28"/>
        </w:rPr>
        <w:t xml:space="preserve">Part II — Target Community and Stakeholders</w:t>
      </w:r>
    </w:p>
    <w:p>
      <w:pPr>
        <w:pBdr>
          <w:bottom w:val="single" w:color="1B3A6B" w:sz="8" w:space="1"/>
        </w:pBdr>
        <w:spacing w:after="0" w:before="0"/>
      </w:pPr>
    </w:p>
    <w:p>
      <w:pPr>
        <w:spacing w:after="0" w:before="0"/>
      </w:pPr>
      <w:r>
        <w:rPr>
          <w:sz w:val="16"/>
          <w:szCs w:val="16"/>
        </w:rPr>
        <w:t xml:space="preserve"/>
      </w:r>
    </w:p>
    <w:p>
      <w:pPr>
        <w:pStyle w:val="Heading2"/>
        <w:spacing w:after="60" w:before="200"/>
      </w:pPr>
      <w:r>
        <w:rPr>
          <w:rFonts w:ascii="Arial" w:cs="Arial" w:eastAsia="Arial" w:hAnsi="Arial"/>
          <w:b/>
          <w:bCs/>
          <w:color w:val="1A1A1A"/>
          <w:sz w:val="24"/>
          <w:szCs w:val="24"/>
        </w:rPr>
        <w:t xml:space="preserve">2.1  Primary Audience</w:t>
      </w:r>
    </w:p>
    <w:p>
      <w:pPr>
        <w:spacing w:after="120" w:before="0"/>
      </w:pPr>
      <w:r>
        <w:rPr>
          <w:rFonts w:ascii="Arial" w:cs="Arial" w:eastAsia="Arial" w:hAnsi="Arial"/>
          <w:color w:val="1A1A1A"/>
          <w:sz w:val="22"/>
          <w:szCs w:val="22"/>
        </w:rPr>
        <w:t xml:space="preserve">SafeAI.sg serves enterprise technology leaders, digital transformation teams, and AI practitioners in Singapore and the broader Southeast Asian region who are responsible for the deployment, governance, and accountability of AI systems in production environments. The primary audience comprises:</w:t>
      </w:r>
    </w:p>
    <w:p>
      <w:pPr>
        <w:spacing w:after="40" w:before="160"/>
      </w:pPr>
      <w:r>
        <w:rPr>
          <w:rFonts w:ascii="Arial" w:cs="Arial" w:eastAsia="Arial" w:hAnsi="Arial"/>
          <w:b/>
          <w:bCs/>
          <w:color w:val="444444"/>
          <w:sz w:val="22"/>
          <w:szCs w:val="22"/>
        </w:rPr>
        <w:t xml:space="preserve">Enterprise CIOs and CTOs</w:t>
      </w:r>
    </w:p>
    <w:p>
      <w:pPr>
        <w:spacing w:after="120" w:before="0"/>
      </w:pPr>
      <w:r>
        <w:rPr>
          <w:rFonts w:ascii="Arial" w:cs="Arial" w:eastAsia="Arial" w:hAnsi="Arial"/>
          <w:color w:val="1A1A1A"/>
          <w:sz w:val="22"/>
          <w:szCs w:val="22"/>
        </w:rPr>
        <w:t xml:space="preserve">Senior technology leaders in mid-to-large enterprises across financial services, logistics, healthcare, manufacturing, professional services, and the public sector who must make governance decisions for AI initiatives across multiple business units and risk domains. These leaders require a framework that is credible, proportionate, and practical — one that enables more AI initiatives to reach production rather than stalling in governance committees.</w:t>
      </w:r>
    </w:p>
    <w:p>
      <w:pPr>
        <w:spacing w:after="40" w:before="160"/>
      </w:pPr>
      <w:r>
        <w:rPr>
          <w:rFonts w:ascii="Arial" w:cs="Arial" w:eastAsia="Arial" w:hAnsi="Arial"/>
          <w:b/>
          <w:bCs/>
          <w:color w:val="444444"/>
          <w:sz w:val="22"/>
          <w:szCs w:val="22"/>
        </w:rPr>
        <w:t xml:space="preserve">CISOs and Information Security Leaders</w:t>
      </w:r>
    </w:p>
    <w:p>
      <w:pPr>
        <w:spacing w:after="120" w:before="0"/>
      </w:pPr>
      <w:r>
        <w:rPr>
          <w:rFonts w:ascii="Arial" w:cs="Arial" w:eastAsia="Arial" w:hAnsi="Arial"/>
          <w:color w:val="1A1A1A"/>
          <w:sz w:val="22"/>
          <w:szCs w:val="22"/>
        </w:rPr>
        <w:t xml:space="preserve">Security leaders who must extend their governance models beyond classical cybersecurity to address the new attack surfaces introduced by AI agents, multi-agent systems, generative AI infrastructure, and autonomous workflows. This audience requires specific guidance on agentic threat modelling, AI supply chain security, runtime controls, and incident response patterns that do not yet exist in conventional security frameworks.</w:t>
      </w:r>
    </w:p>
    <w:p>
      <w:pPr>
        <w:spacing w:after="40" w:before="160"/>
      </w:pPr>
      <w:r>
        <w:rPr>
          <w:rFonts w:ascii="Arial" w:cs="Arial" w:eastAsia="Arial" w:hAnsi="Arial"/>
          <w:b/>
          <w:bCs/>
          <w:color w:val="444444"/>
          <w:sz w:val="22"/>
          <w:szCs w:val="22"/>
        </w:rPr>
        <w:t xml:space="preserve">AI Engineering and MLOps Teams</w:t>
      </w:r>
    </w:p>
    <w:p>
      <w:pPr>
        <w:spacing w:after="120" w:before="0"/>
      </w:pPr>
      <w:r>
        <w:rPr>
          <w:rFonts w:ascii="Arial" w:cs="Arial" w:eastAsia="Arial" w:hAnsi="Arial"/>
          <w:color w:val="1A1A1A"/>
          <w:sz w:val="22"/>
          <w:szCs w:val="22"/>
        </w:rPr>
        <w:t xml:space="preserve">Technical practitioners — AI engineers, platform engineers, MLOps specialists, and solution architects — who implement AI systems and require concrete, implementable control specifications, reference architectures, and testing methodologies. This audience is underserved by high-level governance frameworks and needs prescriptive technical guidance.</w:t>
      </w:r>
    </w:p>
    <w:p>
      <w:pPr>
        <w:spacing w:after="40" w:before="160"/>
      </w:pPr>
      <w:r>
        <w:rPr>
          <w:rFonts w:ascii="Arial" w:cs="Arial" w:eastAsia="Arial" w:hAnsi="Arial"/>
          <w:b/>
          <w:bCs/>
          <w:color w:val="444444"/>
          <w:sz w:val="22"/>
          <w:szCs w:val="22"/>
        </w:rPr>
        <w:t xml:space="preserve">Risk, Compliance, and Internal Audit Functions</w:t>
      </w:r>
    </w:p>
    <w:p>
      <w:pPr>
        <w:spacing w:after="120" w:before="0"/>
      </w:pPr>
      <w:r>
        <w:rPr>
          <w:rFonts w:ascii="Arial" w:cs="Arial" w:eastAsia="Arial" w:hAnsi="Arial"/>
          <w:color w:val="1A1A1A"/>
          <w:sz w:val="22"/>
          <w:szCs w:val="22"/>
        </w:rPr>
        <w:t xml:space="preserve">Risk and compliance professionals who must develop AI-specific risk appetite statements, audit frameworks, and board reporting for AI initiatives. This audience requires a structured risk vocabulary and a consistent scoring approach that connects technical AI risk to enterprise risk management frameworks.</w:t>
      </w:r>
    </w:p>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2.2  Institutional Partners and Stakeholders</w:t>
      </w:r>
    </w:p>
    <w:p>
      <w:pPr>
        <w:spacing w:after="120" w:before="0"/>
      </w:pPr>
      <w:r>
        <w:rPr>
          <w:rFonts w:ascii="Arial" w:cs="Arial" w:eastAsia="Arial" w:hAnsi="Arial"/>
          <w:color w:val="1A1A1A"/>
          <w:sz w:val="22"/>
          <w:szCs w:val="22"/>
        </w:rPr>
        <w:t xml:space="preserve">SafeAI.sg operates in partnership with a broad ecosystem of institutional stakeholders whose participation is essential to the credibility, currency, and reach of the Centre. These partners participate in an advisory and knowledge-sharing capacity:</w:t>
      </w:r>
    </w:p>
    <w:p>
      <w:pPr>
        <w:pStyle w:val="ListParagraph"/>
        <w:numPr>
          <w:ilvl w:val="0"/>
          <w:numId w:val="2"/>
        </w:numPr>
        <w:spacing w:after="80" w:before="0"/>
      </w:pPr>
      <w:r>
        <w:rPr>
          <w:rFonts w:ascii="Arial" w:cs="Arial" w:eastAsia="Arial" w:hAnsi="Arial"/>
          <w:color w:val="1A1A1A"/>
          <w:sz w:val="22"/>
          <w:szCs w:val="22"/>
        </w:rPr>
        <w:t xml:space="preserve">Government technology and digital policy agencies, including IMDA and GovTech Singapore, which provide policy context and public sector practitioner perspectives.</w:t>
      </w:r>
    </w:p>
    <w:p>
      <w:pPr>
        <w:pStyle w:val="ListParagraph"/>
        <w:numPr>
          <w:ilvl w:val="0"/>
          <w:numId w:val="2"/>
        </w:numPr>
        <w:spacing w:after="80" w:before="0"/>
      </w:pPr>
      <w:r>
        <w:rPr>
          <w:rFonts w:ascii="Arial" w:cs="Arial" w:eastAsia="Arial" w:hAnsi="Arial"/>
          <w:color w:val="1A1A1A"/>
          <w:sz w:val="22"/>
          <w:szCs w:val="22"/>
        </w:rPr>
        <w:t xml:space="preserve">Cybersecurity authorities, including CSA, which provide security guidance, threat intelligence context, and alignment with national cybersecurity frameworks.</w:t>
      </w:r>
    </w:p>
    <w:p>
      <w:pPr>
        <w:pStyle w:val="ListParagraph"/>
        <w:numPr>
          <w:ilvl w:val="0"/>
          <w:numId w:val="2"/>
        </w:numPr>
        <w:spacing w:after="80" w:before="0"/>
      </w:pPr>
      <w:r>
        <w:rPr>
          <w:rFonts w:ascii="Arial" w:cs="Arial" w:eastAsia="Arial" w:hAnsi="Arial"/>
          <w:color w:val="1A1A1A"/>
          <w:sz w:val="22"/>
          <w:szCs w:val="22"/>
        </w:rPr>
        <w:t xml:space="preserve">Financial and sectoral regulators, including MAS, whose published guidelines (TRM Guidelines, MAS Notice 658, CCoP 2.0) establish the compliance environment within which many member organisations operate.</w:t>
      </w:r>
    </w:p>
    <w:p>
      <w:pPr>
        <w:pStyle w:val="ListParagraph"/>
        <w:numPr>
          <w:ilvl w:val="0"/>
          <w:numId w:val="2"/>
        </w:numPr>
        <w:spacing w:after="80" w:before="0"/>
      </w:pPr>
      <w:r>
        <w:rPr>
          <w:rFonts w:ascii="Arial" w:cs="Arial" w:eastAsia="Arial" w:hAnsi="Arial"/>
          <w:color w:val="1A1A1A"/>
          <w:sz w:val="22"/>
          <w:szCs w:val="22"/>
        </w:rPr>
        <w:t xml:space="preserve">Research and academic institutions including AISG, NUS, NTU, and SMU, which provide research rigour, independent evaluation, and access to emerging scientific findings on AI safety.</w:t>
      </w:r>
    </w:p>
    <w:p>
      <w:pPr>
        <w:pStyle w:val="ListParagraph"/>
        <w:numPr>
          <w:ilvl w:val="0"/>
          <w:numId w:val="2"/>
        </w:numPr>
        <w:spacing w:after="80" w:before="0"/>
      </w:pPr>
      <w:r>
        <w:rPr>
          <w:rFonts w:ascii="Arial" w:cs="Arial" w:eastAsia="Arial" w:hAnsi="Arial"/>
          <w:color w:val="1A1A1A"/>
          <w:sz w:val="22"/>
          <w:szCs w:val="22"/>
        </w:rPr>
        <w:t xml:space="preserve">Technology industry partners who contribute practitioner knowledge, tool capability awareness, and real-world deployment experience.</w:t>
      </w:r>
    </w:p>
    <w:p>
      <w:pPr>
        <w:pStyle w:val="ListParagraph"/>
        <w:numPr>
          <w:ilvl w:val="0"/>
          <w:numId w:val="2"/>
        </w:numPr>
        <w:spacing w:after="80" w:before="0"/>
      </w:pPr>
      <w:r>
        <w:rPr>
          <w:rFonts w:ascii="Arial" w:cs="Arial" w:eastAsia="Arial" w:hAnsi="Arial"/>
          <w:color w:val="1A1A1A"/>
          <w:sz w:val="22"/>
          <w:szCs w:val="22"/>
        </w:rPr>
        <w:t xml:space="preserve">International AI safety bodies and peer centres of excellence, including those in the United Kingdom, United States, and the broader Asia-Pacific region, from whom SafeAI.sg draws on and contributes to the global body of AI safety knowledge.</w:t>
      </w:r>
    </w:p>
    <w:p>
      <w:pPr>
        <w:spacing w:after="0" w:before="0"/>
      </w:pPr>
      <w:r>
        <w:rPr>
          <w:sz w:val="32"/>
          <w:szCs w:val="32"/>
        </w:rPr>
        <w:t xml:space="preserve"/>
      </w:r>
    </w:p>
    <w:p>
      <w:pPr>
        <w:pStyle w:val="Heading1"/>
        <w:spacing w:after="80" w:before="240"/>
      </w:pPr>
      <w:r>
        <w:rPr>
          <w:rFonts w:ascii="Arial" w:cs="Arial" w:eastAsia="Arial" w:hAnsi="Arial"/>
          <w:b/>
          <w:bCs/>
          <w:color w:val="1B3A6B"/>
          <w:sz w:val="28"/>
          <w:szCs w:val="28"/>
        </w:rPr>
        <w:t xml:space="preserve">Part III — Economic Agency Partnership Programme</w:t>
      </w:r>
    </w:p>
    <w:p>
      <w:pPr>
        <w:pBdr>
          <w:bottom w:val="single" w:color="1B3A6B" w:sz="8" w:space="1"/>
        </w:pBdr>
        <w:spacing w:after="0" w:before="0"/>
      </w:pPr>
    </w:p>
    <w:p>
      <w:pPr>
        <w:spacing w:after="0" w:before="0"/>
      </w:pPr>
      <w:r>
        <w:rPr>
          <w:sz w:val="16"/>
          <w:szCs w:val="16"/>
        </w:rPr>
        <w:t xml:space="preserve"/>
      </w:r>
    </w:p>
    <w:p>
      <w:pPr>
        <w:pStyle w:val="Heading2"/>
        <w:spacing w:after="60" w:before="200"/>
      </w:pPr>
      <w:r>
        <w:rPr>
          <w:rFonts w:ascii="Arial" w:cs="Arial" w:eastAsia="Arial" w:hAnsi="Arial"/>
          <w:b/>
          <w:bCs/>
          <w:color w:val="1A1A1A"/>
          <w:sz w:val="24"/>
          <w:szCs w:val="24"/>
        </w:rPr>
        <w:t xml:space="preserve">5.1  Singapore as the Regional Hub for Trusted AI</w:t>
      </w:r>
    </w:p>
    <w:p>
      <w:pPr>
        <w:spacing w:after="120" w:before="0"/>
      </w:pPr>
      <w:r>
        <w:rPr>
          <w:rFonts w:ascii="Arial" w:cs="Arial" w:eastAsia="Arial" w:hAnsi="Arial"/>
          <w:color w:val="1A1A1A"/>
          <w:sz w:val="22"/>
          <w:szCs w:val="22"/>
        </w:rPr>
        <w:t xml:space="preserve">Singapore's standing as a global business hub, combined with its robust regulatory environment, skilled technology workforce, and mature digital infrastructure, positions it uniquely as the natural centre of gravity for companies seeking to establish or expand their AI operations in Southeast Asia. SafeAI.sg is designed to serve as the ecosystem partner through which Singapore's economic agencies can demonstrate to the world that this is not merely an aspiration — it is a demonstrable, operational reality.</w:t>
      </w:r>
    </w:p>
    <w:p>
      <w:pPr>
        <w:spacing w:after="120" w:before="0"/>
      </w:pPr>
      <w:r>
        <w:rPr>
          <w:rFonts w:ascii="Arial" w:cs="Arial" w:eastAsia="Arial" w:hAnsi="Arial"/>
          <w:color w:val="1A1A1A"/>
          <w:sz w:val="22"/>
          <w:szCs w:val="22"/>
        </w:rPr>
        <w:t xml:space="preserve">SafeAI.sg will work in structured partnership with Singapore's economic development and investment agencies — including the Economic Development Board (EDB), JTC Corporation, and IMDA — to position Singapore's AI governance ecosystem as a tangible competitive advantage for companies choosing Singapore as their regional AI hub.</w:t>
      </w:r>
    </w:p>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5.2  Three Roles for Economic Agency Partners</w:t>
      </w:r>
    </w:p>
    <w:p>
      <w:pPr>
        <w:spacing w:after="120" w:before="0"/>
      </w:pPr>
      <w:r>
        <w:rPr>
          <w:rFonts w:ascii="Arial" w:cs="Arial" w:eastAsia="Arial" w:hAnsi="Arial"/>
          <w:color w:val="1A1A1A"/>
          <w:sz w:val="22"/>
          <w:szCs w:val="22"/>
        </w:rPr>
        <w:t xml:space="preserve">SafeAI.sg's partnership with economic agencies is structured around three specific, mutually reinforcing roles:</w:t>
      </w:r>
    </w:p>
    <w:p>
      <w:pPr>
        <w:spacing w:after="40" w:before="160"/>
      </w:pPr>
      <w:r>
        <w:rPr>
          <w:rFonts w:ascii="Arial" w:cs="Arial" w:eastAsia="Arial" w:hAnsi="Arial"/>
          <w:b/>
          <w:bCs/>
          <w:color w:val="444444"/>
          <w:sz w:val="22"/>
          <w:szCs w:val="22"/>
        </w:rPr>
        <w:t xml:space="preserve">Role 1  —  Ecosystem Showcase: Demonstrating Singapore's AI Readiness</w:t>
      </w:r>
    </w:p>
    <w:p>
      <w:pPr>
        <w:spacing w:after="120" w:before="0"/>
      </w:pPr>
      <w:r>
        <w:rPr>
          <w:rFonts w:ascii="Arial" w:cs="Arial" w:eastAsia="Arial" w:hAnsi="Arial"/>
          <w:color w:val="1A1A1A"/>
          <w:sz w:val="22"/>
          <w:szCs w:val="22"/>
        </w:rPr>
        <w:t xml:space="preserve">Singapore's economic agencies require credible evidence that Singapore possesses not only the infrastructure but also the governance knowledge networks, skilled talent, and institutional readiness to support the full lifecycle of enterprise AI deployment — from pilot to production — at scale and in compliance with international best practices.</w:t>
      </w:r>
    </w:p>
    <w:p>
      <w:pPr>
        <w:spacing w:after="120" w:before="0"/>
      </w:pPr>
      <w:r>
        <w:rPr>
          <w:rFonts w:ascii="Arial" w:cs="Arial" w:eastAsia="Arial" w:hAnsi="Arial"/>
          <w:color w:val="1A1A1A"/>
          <w:sz w:val="22"/>
          <w:szCs w:val="22"/>
        </w:rPr>
        <w:t xml:space="preserve">SafeAI.sg provides this evidence through its practitioner community, its governance framework, its certification programme, and its Associate network. Economic agencies can leverage SafeAI.sg as a live demonstration of Singapore's AI ecosystem maturity — showcasing to foreign companies considering Singapore as a regional base that the governance infrastructure, the skilled practitioners, and the knowledge networks needed to deploy AI with confidence are already in place and actively operating.</w:t>
      </w:r>
    </w:p>
    <w:p>
      <w:pPr>
        <w:spacing w:after="120" w:before="0"/>
      </w:pPr>
      <w:r>
        <w:rPr>
          <w:rFonts w:ascii="Arial" w:cs="Arial" w:eastAsia="Arial" w:hAnsi="Arial"/>
          <w:color w:val="1A1A1A"/>
          <w:sz w:val="22"/>
          <w:szCs w:val="22"/>
        </w:rPr>
        <w:t xml:space="preserve">This accelerates the go-to-market journey for foreign companies establishing in Singapore, and provides Singapore-based companies seeking to expand regionally with the governance credibility and framework alignment needed to operate confidently across Southeast Asian markets where regulatory expectations are converging rapidly with Singapore's standards.</w:t>
      </w:r>
    </w:p>
    <w:p>
      <w:pPr>
        <w:spacing w:after="40" w:before="160"/>
      </w:pPr>
      <w:r>
        <w:rPr>
          <w:rFonts w:ascii="Arial" w:cs="Arial" w:eastAsia="Arial" w:hAnsi="Arial"/>
          <w:b/>
          <w:bCs/>
          <w:color w:val="444444"/>
          <w:sz w:val="22"/>
          <w:szCs w:val="22"/>
        </w:rPr>
        <w:t xml:space="preserve">Role 2  —  Regulatory Feedback Loop: Keeping Guidelines Current</w:t>
      </w:r>
    </w:p>
    <w:p>
      <w:pPr>
        <w:spacing w:after="120" w:before="0"/>
      </w:pPr>
      <w:r>
        <w:rPr>
          <w:rFonts w:ascii="Arial" w:cs="Arial" w:eastAsia="Arial" w:hAnsi="Arial"/>
          <w:color w:val="1A1A1A"/>
          <w:sz w:val="22"/>
          <w:szCs w:val="22"/>
        </w:rPr>
        <w:t xml:space="preserve">AI technology evolves at a pace that no regulatory or policy framework can fully anticipate through top-down analysis alone. The most important source of insight into how AI governance guidelines need to evolve is the practitioner community deploying AI in real enterprise environments today — the engineers who encounter the limits of existing guidelines, the CISOs who discover governance gaps that no framework yet addresses, and the business leaders who experience the friction points where governance processes impede rather than enable responsible AI adoption.</w:t>
      </w:r>
    </w:p>
    <w:p>
      <w:pPr>
        <w:spacing w:after="120" w:before="0"/>
      </w:pPr>
      <w:r>
        <w:rPr>
          <w:rFonts w:ascii="Arial" w:cs="Arial" w:eastAsia="Arial" w:hAnsi="Arial"/>
          <w:color w:val="1A1A1A"/>
          <w:sz w:val="22"/>
          <w:szCs w:val="22"/>
        </w:rPr>
        <w:t xml:space="preserve">SafeAI.sg provides a structured channel through which this ground-level practitioner intelligence can flow to the economic agencies and regulatory bodies that develop and update Singapore's AI governance guidelines. Through its Advisory Council, its community forums, and its annual framework review process, SafeAI.sg will systematically gather, synthesise, and communicate industry feedback on where existing AI and data governance guidelines need to modernise, where they are creating unintended friction, and where emerging AI capabilities — particularly in agentic AI, multi-agent systems, and autonomous workflows — are creating governance gaps that current guidelines do not yet address.</w:t>
      </w:r>
    </w:p>
    <w:p>
      <w:pPr>
        <w:spacing w:after="120" w:before="0"/>
      </w:pPr>
      <w:r>
        <w:rPr>
          <w:rFonts w:ascii="Arial" w:cs="Arial" w:eastAsia="Arial" w:hAnsi="Arial"/>
          <w:color w:val="1A1A1A"/>
          <w:sz w:val="22"/>
          <w:szCs w:val="22"/>
        </w:rPr>
        <w:t xml:space="preserve">This is not a lobbying function. It is a knowledge function. SafeAI.sg does not advocate for specific regulatory outcomes. It provides structured, evidence-based feedback from a practitioner community to the institutions responsible for maintaining Singapore's governance frameworks, enabling those frameworks to keep pace with the actual state of AI technology.</w:t>
      </w:r>
    </w:p>
    <w:p>
      <w:pPr>
        <w:spacing w:after="40" w:before="160"/>
      </w:pPr>
      <w:r>
        <w:rPr>
          <w:rFonts w:ascii="Arial" w:cs="Arial" w:eastAsia="Arial" w:hAnsi="Arial"/>
          <w:b/>
          <w:bCs/>
          <w:color w:val="444444"/>
          <w:sz w:val="22"/>
          <w:szCs w:val="22"/>
        </w:rPr>
        <w:t xml:space="preserve">Role 3  —  Pilot Stress-Testing and Deployment Readiness Validation</w:t>
      </w:r>
    </w:p>
    <w:p>
      <w:pPr>
        <w:spacing w:after="120" w:before="0"/>
      </w:pPr>
      <w:r>
        <w:rPr>
          <w:rFonts w:ascii="Arial" w:cs="Arial" w:eastAsia="Arial" w:hAnsi="Arial"/>
          <w:color w:val="1A1A1A"/>
          <w:sz w:val="22"/>
          <w:szCs w:val="22"/>
        </w:rPr>
        <w:t xml:space="preserve">Many companies — both foreign companies establishing AI operations in Singapore and Singapore companies scaling their AI deployments — reach a point in their AI journey where they have a working pilot but lack the independent practitioner perspective needed to assess whether that pilot is genuinely ready for production deployment at scale, and whether its governance architecture is robust enough to extend across the enterprise systems it will ultimately touch.</w:t>
      </w:r>
    </w:p>
    <w:p>
      <w:pPr>
        <w:spacing w:after="120" w:before="0"/>
      </w:pPr>
      <w:r>
        <w:rPr>
          <w:rFonts w:ascii="Arial" w:cs="Arial" w:eastAsia="Arial" w:hAnsi="Arial"/>
          <w:color w:val="1A1A1A"/>
          <w:sz w:val="22"/>
          <w:szCs w:val="22"/>
        </w:rPr>
        <w:t xml:space="preserve">SafeAI.sg will provide a structured programme through which such companies can engage Singapore's senior AI governance practitioners — drawn from the SafeAI.sg community — to stress-test their AI pilots and full-stack deployment environments against the UARS framework and the SafeAI.sg governance controls standard. This is a peer-review function, not a regulatory approval process. Practitioners will assess governance readiness, identify gaps, and provide structured feedback against the SafeAI.sg framework.</w:t>
      </w:r>
    </w:p>
    <w:p>
      <w:pPr>
        <w:spacing w:after="120" w:before="0"/>
      </w:pPr>
      <w:r>
        <w:rPr>
          <w:rFonts w:ascii="Arial" w:cs="Arial" w:eastAsia="Arial" w:hAnsi="Arial"/>
          <w:color w:val="1A1A1A"/>
          <w:sz w:val="22"/>
          <w:szCs w:val="22"/>
        </w:rPr>
        <w:t xml:space="preserve">This programme serves both foreign companies seeking to demonstrate deployment readiness to their Singapore stakeholders and to regional regulators, and Singapore companies seeking to build the governance confidence needed to scale their AI initiatives from pilot to enterprise-wide production deployment. Economic agencies can refer companies to this programme as part of their investment facilitation and enterprise development activities.</w:t>
      </w:r>
    </w:p>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5.3  Programme Governance</w:t>
      </w:r>
    </w:p>
    <w:p>
      <w:pPr>
        <w:spacing w:after="120" w:before="0"/>
      </w:pPr>
      <w:r>
        <w:rPr>
          <w:rFonts w:ascii="Arial" w:cs="Arial" w:eastAsia="Arial" w:hAnsi="Arial"/>
          <w:color w:val="1A1A1A"/>
          <w:sz w:val="22"/>
          <w:szCs w:val="22"/>
        </w:rPr>
        <w:t xml:space="preserve">Engagements under the Economic Agency Partnership Programme will be structured to maintain SafeAI.sg's independence and its non-regulatory, non-endorsement character. Companies that participate in the Pilot Stress-Testing programme receive a structured practitioner feedback report against the SafeAI.sg framework. This report is not a compliance certification, a regulatory approval, or an endorsement of the company's AI system. It is a practitioner assessment that the company may use internally to guide its governance improvement programme.</w:t>
      </w:r>
    </w:p>
    <w:p>
      <w:pPr>
        <w:spacing w:after="120" w:before="0"/>
      </w:pPr>
      <w:r>
        <w:rPr>
          <w:rFonts w:ascii="Arial" w:cs="Arial" w:eastAsia="Arial" w:hAnsi="Arial"/>
          <w:color w:val="1A1A1A"/>
          <w:sz w:val="22"/>
          <w:szCs w:val="22"/>
        </w:rPr>
        <w:t xml:space="preserve">SafeAI.sg will establish a formal liaison arrangement with each economic agency partner, designating a practitioner liaison from the SafeAI.sg Advisory Council to ensure programme alignment, feedback loop integrity, and appropriate separation between SafeAI.sg's practitioner independence and the economic agencies' investment facilitation objectives.</w:t>
      </w:r>
    </w:p>
    <w:p>
      <w:pPr>
        <w:spacing w:after="0" w:before="0"/>
      </w:pPr>
      <w:r>
        <w:rPr>
          <w:sz w:val="32"/>
          <w:szCs w:val="32"/>
        </w:rPr>
        <w:t xml:space="preserve"/>
      </w:r>
    </w:p>
    <w:p>
      <w:pPr>
        <w:pStyle w:val="Heading1"/>
        <w:spacing w:after="80" w:before="240"/>
      </w:pPr>
      <w:r>
        <w:rPr>
          <w:rFonts w:ascii="Arial" w:cs="Arial" w:eastAsia="Arial" w:hAnsi="Arial"/>
          <w:b/>
          <w:bCs/>
          <w:color w:val="1B3A6B"/>
          <w:sz w:val="28"/>
          <w:szCs w:val="28"/>
        </w:rPr>
        <w:t xml:space="preserve">Part IV — The Universal AI Use-Case Risk Score (UARS)</w:t>
      </w:r>
    </w:p>
    <w:p>
      <w:pPr>
        <w:pBdr>
          <w:bottom w:val="single" w:color="1B3A6B" w:sz="8" w:space="1"/>
        </w:pBdr>
        <w:spacing w:after="0" w:before="0"/>
      </w:pPr>
    </w:p>
    <w:p>
      <w:pPr>
        <w:spacing w:after="0" w:before="0"/>
      </w:pPr>
      <w:r>
        <w:rPr>
          <w:sz w:val="16"/>
          <w:szCs w:val="16"/>
        </w:rPr>
        <w:t xml:space="preserve"/>
      </w:r>
    </w:p>
    <w:p>
      <w:pPr>
        <w:pStyle w:val="Heading2"/>
        <w:spacing w:after="60" w:before="200"/>
      </w:pPr>
      <w:r>
        <w:rPr>
          <w:rFonts w:ascii="Arial" w:cs="Arial" w:eastAsia="Arial" w:hAnsi="Arial"/>
          <w:b/>
          <w:bCs/>
          <w:color w:val="1A1A1A"/>
          <w:sz w:val="24"/>
          <w:szCs w:val="24"/>
        </w:rPr>
        <w:t xml:space="preserve">5.1  The Governance Gap UARS Addresses</w:t>
      </w:r>
    </w:p>
    <w:p>
      <w:pPr>
        <w:spacing w:after="120" w:before="0"/>
      </w:pPr>
      <w:r>
        <w:rPr>
          <w:rFonts w:ascii="Arial" w:cs="Arial" w:eastAsia="Arial" w:hAnsi="Arial"/>
          <w:color w:val="1A1A1A"/>
          <w:sz w:val="22"/>
          <w:szCs w:val="22"/>
        </w:rPr>
        <w:t xml:space="preserve">Existing AI governance frameworks — including the IMDA Model AI Governance Framework, the CSA Guidelines on Securing AI Systems, the Singapore Consensus on Global AI Safety Research Priorities, and sector-specific regulatory guidance — provide comprehensive and well-considered principles. However, they leave a critical operational gap: they do not provide a single, use-case-level diagnostic that practitioners can apply quickly to determine which tier of governance is appropriate for a specific AI deployment.</w:t>
      </w:r>
    </w:p>
    <w:p>
      <w:pPr>
        <w:spacing w:after="120" w:before="0"/>
      </w:pPr>
      <w:r>
        <w:rPr>
          <w:rFonts w:ascii="Arial" w:cs="Arial" w:eastAsia="Arial" w:hAnsi="Arial"/>
          <w:color w:val="1A1A1A"/>
          <w:sz w:val="22"/>
          <w:szCs w:val="22"/>
        </w:rPr>
        <w:t xml:space="preserve">The result is that governance decisions are made subjectively, inconsistently, and often at either extreme: organisations either apply enterprise-wide governance policies uniformly (over-governing low-risk tools) or defer governance entirely until an incident forces a response (under-governing high-risk deployments). Both failure modes are costly and avoidable.</w:t>
      </w:r>
    </w:p>
    <w:p>
      <w:pPr>
        <w:spacing w:after="120" w:before="0"/>
      </w:pPr>
      <w:r>
        <w:rPr>
          <w:rFonts w:ascii="Arial" w:cs="Arial" w:eastAsia="Arial" w:hAnsi="Arial"/>
          <w:color w:val="1A1A1A"/>
          <w:sz w:val="22"/>
          <w:szCs w:val="22"/>
        </w:rPr>
        <w:t xml:space="preserve">The UARS is SafeAI.sg's answer to this gap. It is a lightweight, five-dimension scoring instrument that any technology team can apply to any AI use case in under thirty minutes, producing a weighted risk score that maps directly to a governance tier and a specific control set.</w:t>
      </w:r>
    </w:p>
    <w:p>
      <w:pPr>
        <w:spacing w:after="0" w:before="0"/>
      </w:pPr>
      <w:r>
        <w:rPr>
          <w:sz w:val="16"/>
          <w:szCs w:val="16"/>
        </w:rPr>
        <w:t xml:space="preserve"/>
      </w:r>
    </w:p>
    <w:p>
      <w:pPr>
        <w:pStyle w:val="Heading2"/>
        <w:spacing w:after="60" w:before="200"/>
      </w:pPr>
      <w:r>
        <w:rPr>
          <w:rFonts w:ascii="Arial" w:cs="Arial" w:eastAsia="Arial" w:hAnsi="Arial"/>
          <w:b/>
          <w:bCs/>
          <w:color w:val="1A1A1A"/>
          <w:sz w:val="24"/>
          <w:szCs w:val="24"/>
        </w:rPr>
        <w:t xml:space="preserve">5.2  UARS as an Open, Self-Service Online Resource</w:t>
      </w:r>
    </w:p>
    <w:p>
      <w:pPr>
        <w:spacing w:after="120" w:before="0"/>
      </w:pPr>
      <w:r>
        <w:rPr>
          <w:rFonts w:ascii="Arial" w:cs="Arial" w:eastAsia="Arial" w:hAnsi="Arial"/>
          <w:color w:val="1A1A1A"/>
          <w:sz w:val="22"/>
          <w:szCs w:val="22"/>
        </w:rPr>
        <w:t xml:space="preserve">The UARS framework and the full governance controls toolkit will be published as a freely accessible, self-service online resource. Any organisation — regardless of size, sector, or technical sophistication — will be able to access the UARS scoring instrument, the risk band calibration tables, the control specifications, and the implementation process guidance at no cost, without registration, and without the need to engage SafeAI.sg or any third party.</w:t>
      </w:r>
    </w:p>
    <w:p>
      <w:pPr>
        <w:spacing w:after="120" w:before="0"/>
      </w:pPr>
      <w:r>
        <w:rPr>
          <w:rFonts w:ascii="Arial" w:cs="Arial" w:eastAsia="Arial" w:hAnsi="Arial"/>
          <w:color w:val="1A1A1A"/>
          <w:sz w:val="22"/>
          <w:szCs w:val="22"/>
        </w:rPr>
        <w:t xml:space="preserve">This open-access commitment is a foundational design decision, not an afterthought. SafeAI.sg's goal is broad adoption across Singapore's enterprise and public sector ecosystem. Paywalls, membership gates, or access restrictions would undermine this goal. The value SafeAI.sg provides to its community comes from the quality of the framework, the currency of its guidance, and the strength of its practitioner network — not from controlling access to the tools themselves.</w:t>
      </w:r>
    </w:p>
    <w:p>
      <w:pPr>
        <w:spacing w:after="120" w:before="0"/>
      </w:pPr>
      <w:r>
        <w:rPr>
          <w:rFonts w:ascii="Arial" w:cs="Arial" w:eastAsia="Arial" w:hAnsi="Arial"/>
          <w:color w:val="1A1A1A"/>
          <w:sz w:val="22"/>
          <w:szCs w:val="22"/>
        </w:rPr>
        <w:t xml:space="preserve">The online resource will include: the UARS scoring worksheet with guided instructions; the risk band reference table mapping scores to governance tiers; the Tier 1, 2, and 3 control playbooks with implementation process guidance; the policy-as-code extensibility framework; a library of worked examples across common AI use case categories; and a changelog documenting framework updates with version history. The resource will be maintained as a living document, updated in response to Advisory Council feedback, community submissions, and material developments in Singapore's regulatory and technology landscape.</w:t>
      </w:r>
    </w:p>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5.3  The Five Dimensions</w:t>
      </w:r>
    </w:p>
    <w:p>
      <w:pPr>
        <w:spacing w:after="120" w:before="0"/>
      </w:pPr>
      <w:r>
        <w:rPr>
          <w:rFonts w:ascii="Arial" w:cs="Arial" w:eastAsia="Arial" w:hAnsi="Arial"/>
          <w:color w:val="1A1A1A"/>
          <w:sz w:val="22"/>
          <w:szCs w:val="22"/>
        </w:rPr>
        <w:t xml:space="preserve">UARS evaluates each AI use case across five weighted dimensions. Each dimension is scored 1 (Low), 2 (Medium), or 3 (High). Scores are multiplied by their respective weights and summed to produce a total between 7 and 21.</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2100"/>
        <w:gridCol w:w="1260"/>
      </w:tblGrid>
      <w:tr>
        <w:trPr>
          <w:tblHeader/>
        </w:trPr>
        <w:tc>
          <w:tcPr>
            <w:tcW w:type="dxa" w:w="1800"/>
            <w:tcBorders>
              <w:top w:val="single" w:color="888888" w:sz="1"/>
              <w:left w:val="single" w:color="888888" w:sz="1"/>
              <w:bottom w:val="single" w:color="888888" w:sz="1"/>
              <w:right w:val="single" w:color="88888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2100"/>
            <w:tcBorders>
              <w:top w:val="single" w:color="888888" w:sz="1"/>
              <w:left w:val="single" w:color="888888" w:sz="1"/>
              <w:bottom w:val="single" w:color="888888" w:sz="1"/>
              <w:right w:val="single" w:color="888888" w:sz="1"/>
            </w:tcBorders>
            <w:shd w:fill="1A7A4A" w:val="clear"/>
            <w:tcMar>
              <w:top w:type="dxa" w:w="80"/>
              <w:left w:type="dxa" w:w="120"/>
              <w:bottom w:type="dxa" w:w="80"/>
              <w:right w:type="dxa" w:w="120"/>
            </w:tcMar>
          </w:tcPr>
          <w:p>
            <w:r>
              <w:rPr>
                <w:rFonts w:ascii="Arial" w:cs="Arial" w:eastAsia="Arial" w:hAnsi="Arial"/>
                <w:b/>
                <w:bCs/>
                <w:color w:val="FFFFFF"/>
                <w:sz w:val="18"/>
                <w:szCs w:val="18"/>
              </w:rPr>
              <w:t xml:space="preserve">SCORE 1  —  LOW</w:t>
            </w:r>
          </w:p>
        </w:tc>
        <w:tc>
          <w:tcPr>
            <w:tcW w:type="dxa" w:w="2100"/>
            <w:tcBorders>
              <w:top w:val="single" w:color="888888" w:sz="1"/>
              <w:left w:val="single" w:color="888888" w:sz="1"/>
              <w:bottom w:val="single" w:color="888888" w:sz="1"/>
              <w:right w:val="single" w:color="888888" w:sz="1"/>
            </w:tcBorders>
            <w:shd w:fill="B86800" w:val="clear"/>
            <w:tcMar>
              <w:top w:type="dxa" w:w="80"/>
              <w:left w:type="dxa" w:w="120"/>
              <w:bottom w:type="dxa" w:w="80"/>
              <w:right w:type="dxa" w:w="120"/>
            </w:tcMar>
          </w:tcPr>
          <w:p>
            <w:r>
              <w:rPr>
                <w:rFonts w:ascii="Arial" w:cs="Arial" w:eastAsia="Arial" w:hAnsi="Arial"/>
                <w:b/>
                <w:bCs/>
                <w:color w:val="FFFFFF"/>
                <w:sz w:val="18"/>
                <w:szCs w:val="18"/>
              </w:rPr>
              <w:t xml:space="preserve">SCORE 2  —  MEDIUM</w:t>
            </w:r>
          </w:p>
        </w:tc>
        <w:tc>
          <w:tcPr>
            <w:tcW w:type="dxa" w:w="2100"/>
            <w:tcBorders>
              <w:top w:val="single" w:color="888888" w:sz="1"/>
              <w:left w:val="single" w:color="888888" w:sz="1"/>
              <w:bottom w:val="single" w:color="888888" w:sz="1"/>
              <w:right w:val="single" w:color="888888" w:sz="1"/>
            </w:tcBorders>
            <w:shd w:fill="B91C1C" w:val="clear"/>
            <w:tcMar>
              <w:top w:type="dxa" w:w="80"/>
              <w:left w:type="dxa" w:w="120"/>
              <w:bottom w:type="dxa" w:w="80"/>
              <w:right w:type="dxa" w:w="120"/>
            </w:tcMar>
          </w:tcPr>
          <w:p>
            <w:r>
              <w:rPr>
                <w:rFonts w:ascii="Arial" w:cs="Arial" w:eastAsia="Arial" w:hAnsi="Arial"/>
                <w:b/>
                <w:bCs/>
                <w:color w:val="FFFFFF"/>
                <w:sz w:val="18"/>
                <w:szCs w:val="18"/>
              </w:rPr>
              <w:t xml:space="preserve">SCORE 3  —  HIGH</w:t>
            </w:r>
          </w:p>
        </w:tc>
        <w:tc>
          <w:tcPr>
            <w:tcW w:type="dxa" w:w="1260"/>
            <w:tcBorders>
              <w:top w:val="single" w:color="888888" w:sz="1"/>
              <w:left w:val="single" w:color="888888" w:sz="1"/>
              <w:bottom w:val="single" w:color="888888" w:sz="1"/>
              <w:right w:val="single" w:color="88888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B3A6B"/>
                <w:sz w:val="20"/>
                <w:szCs w:val="20"/>
              </w:rPr>
              <w:t xml:space="preserve">A  Agency Level
(Autonomy)</w:t>
            </w:r>
          </w:p>
        </w:tc>
        <w:tc>
          <w:tcPr>
            <w:tcW w:type="dxa" w:w="21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color w:val="1A1A1A"/>
                <w:sz w:val="20"/>
                <w:szCs w:val="20"/>
              </w:rPr>
              <w:t xml:space="preserve">Human approves every step. Agent proposes only.</w:t>
            </w:r>
          </w:p>
        </w:tc>
        <w:tc>
          <w:tcPr>
            <w:tcW w:type="dxa" w:w="2100"/>
            <w:tcBorders>
              <w:top w:val="single" w:color="CCCCCC" w:sz="1"/>
              <w:left w:val="single" w:color="CCCCCC" w:sz="1"/>
              <w:bottom w:val="single" w:color="CCCCCC" w:sz="1"/>
              <w:right w:val="single" w:color="CCCCCC" w:sz="1"/>
            </w:tcBorders>
            <w:shd w:fill="FFF4DC" w:val="clear"/>
            <w:tcMar>
              <w:top w:type="dxa" w:w="80"/>
              <w:left w:type="dxa" w:w="120"/>
              <w:bottom w:type="dxa" w:w="80"/>
              <w:right w:type="dxa" w:w="120"/>
            </w:tcMar>
          </w:tcPr>
          <w:p>
            <w:r>
              <w:rPr>
                <w:rFonts w:ascii="Arial" w:cs="Arial" w:eastAsia="Arial" w:hAnsi="Arial"/>
                <w:color w:val="1A1A1A"/>
                <w:sz w:val="20"/>
                <w:szCs w:val="20"/>
              </w:rPr>
              <w:t xml:space="preserve">Agent acts autonomously; human approval at key checkpoints.</w:t>
            </w:r>
          </w:p>
        </w:tc>
        <w:tc>
          <w:tcPr>
            <w:tcW w:type="dxa" w:w="21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1A1A1A"/>
                <w:sz w:val="20"/>
                <w:szCs w:val="20"/>
              </w:rPr>
              <w:t xml:space="preserve">Full autonomy. Agent operates; human observes after the fact.</w:t>
            </w:r>
          </w:p>
        </w:tc>
        <w:tc>
          <w:tcPr>
            <w:tcW w:type="dxa" w:w="12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×2</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B3A6B"/>
                <w:sz w:val="20"/>
                <w:szCs w:val="20"/>
              </w:rPr>
              <w:t xml:space="preserve">B  Action Scope
(Write vs Read)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Read-only or sandboxed. Cannot modify external data.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Writes to internal systems. Actions reversible within the organisation.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Writes to external systems. Irreversible: payments, comms, deletions.</w:t>
            </w:r>
          </w:p>
        </w:tc>
        <w:tc>
          <w:tcPr>
            <w:tcW w:type="dxa" w:w="12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×2</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B3A6B"/>
                <w:sz w:val="20"/>
                <w:szCs w:val="20"/>
              </w:rPr>
              <w:t xml:space="preserve">C  Data Sensitivity</w:t>
            </w:r>
          </w:p>
        </w:tc>
        <w:tc>
          <w:tcPr>
            <w:tcW w:type="dxa" w:w="21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color w:val="1A1A1A"/>
                <w:sz w:val="20"/>
                <w:szCs w:val="20"/>
              </w:rPr>
              <w:t xml:space="preserve">Public or anonymised data only. No regulated categories.</w:t>
            </w:r>
          </w:p>
        </w:tc>
        <w:tc>
          <w:tcPr>
            <w:tcW w:type="dxa" w:w="2100"/>
            <w:tcBorders>
              <w:top w:val="single" w:color="CCCCCC" w:sz="1"/>
              <w:left w:val="single" w:color="CCCCCC" w:sz="1"/>
              <w:bottom w:val="single" w:color="CCCCCC" w:sz="1"/>
              <w:right w:val="single" w:color="CCCCCC" w:sz="1"/>
            </w:tcBorders>
            <w:shd w:fill="FFF4DC" w:val="clear"/>
            <w:tcMar>
              <w:top w:type="dxa" w:w="80"/>
              <w:left w:type="dxa" w:w="120"/>
              <w:bottom w:type="dxa" w:w="80"/>
              <w:right w:type="dxa" w:w="120"/>
            </w:tcMar>
          </w:tcPr>
          <w:p>
            <w:r>
              <w:rPr>
                <w:rFonts w:ascii="Arial" w:cs="Arial" w:eastAsia="Arial" w:hAnsi="Arial"/>
                <w:color w:val="1A1A1A"/>
                <w:sz w:val="20"/>
                <w:szCs w:val="20"/>
              </w:rPr>
              <w:t xml:space="preserve">Internal confidential data. Business-sensitive but not regulated.</w:t>
            </w:r>
          </w:p>
        </w:tc>
        <w:tc>
          <w:tcPr>
            <w:tcW w:type="dxa" w:w="21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1A1A1A"/>
                <w:sz w:val="20"/>
                <w:szCs w:val="20"/>
              </w:rPr>
              <w:t xml:space="preserve">PII, MAS-regulated, healthcare, or critical infrastructure data.</w:t>
            </w:r>
          </w:p>
        </w:tc>
        <w:tc>
          <w:tcPr>
            <w:tcW w:type="dxa" w:w="12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×1.5</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B3A6B"/>
                <w:sz w:val="20"/>
                <w:szCs w:val="20"/>
              </w:rPr>
              <w:t xml:space="preserve">D  Attack Surface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Fully internal. Closed tools. No MCP, no web, no external APIs.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Connects to internal APIs or trusted MCP servers only.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Internet access, multi-agent mesh, untrusted MCP, third-party LLM APIs.</w:t>
            </w:r>
          </w:p>
        </w:tc>
        <w:tc>
          <w:tcPr>
            <w:tcW w:type="dxa" w:w="12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×1.5</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B3A6B"/>
                <w:sz w:val="20"/>
                <w:szCs w:val="20"/>
              </w:rPr>
              <w:t xml:space="preserve">E  Error Tolerance
(Domain Criticality)</w:t>
            </w:r>
          </w:p>
        </w:tc>
        <w:tc>
          <w:tcPr>
            <w:tcW w:type="dxa" w:w="21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color w:val="1A1A1A"/>
                <w:sz w:val="20"/>
                <w:szCs w:val="20"/>
              </w:rPr>
              <w:t xml:space="preserve">High tolerance. Errors informational and easily corrected.</w:t>
            </w:r>
          </w:p>
        </w:tc>
        <w:tc>
          <w:tcPr>
            <w:tcW w:type="dxa" w:w="2100"/>
            <w:tcBorders>
              <w:top w:val="single" w:color="CCCCCC" w:sz="1"/>
              <w:left w:val="single" w:color="CCCCCC" w:sz="1"/>
              <w:bottom w:val="single" w:color="CCCCCC" w:sz="1"/>
              <w:right w:val="single" w:color="CCCCCC" w:sz="1"/>
            </w:tcBorders>
            <w:shd w:fill="FFF4DC" w:val="clear"/>
            <w:tcMar>
              <w:top w:type="dxa" w:w="80"/>
              <w:left w:type="dxa" w:w="120"/>
              <w:bottom w:type="dxa" w:w="80"/>
              <w:right w:type="dxa" w:w="120"/>
            </w:tcMar>
          </w:tcPr>
          <w:p>
            <w:r>
              <w:rPr>
                <w:rFonts w:ascii="Arial" w:cs="Arial" w:eastAsia="Arial" w:hAnsi="Arial"/>
                <w:color w:val="1A1A1A"/>
                <w:sz w:val="20"/>
                <w:szCs w:val="20"/>
              </w:rPr>
              <w:t xml:space="preserve">Errors cause measurable operational or financial loss.</w:t>
            </w:r>
          </w:p>
        </w:tc>
        <w:tc>
          <w:tcPr>
            <w:tcW w:type="dxa" w:w="21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1A1A1A"/>
                <w:sz w:val="20"/>
                <w:szCs w:val="20"/>
              </w:rPr>
              <w:t xml:space="preserve">Errors are safety-critical, legally liable, or patient/customer-harming.</w:t>
            </w:r>
          </w:p>
        </w:tc>
        <w:tc>
          <w:tcPr>
            <w:tcW w:type="dxa" w:w="12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w:t>
            </w:r>
          </w:p>
        </w:tc>
      </w:tr>
    </w:tbl>
    <w:p>
      <w:pPr>
        <w:spacing w:after="0" w:before="0"/>
      </w:pPr>
      <w:r>
        <w:rPr>
          <w:sz w:val="16"/>
          <w:szCs w:val="16"/>
        </w:rPr>
        <w:t xml:space="preserve"/>
      </w:r>
    </w:p>
    <w:p>
      <w:pPr>
        <w:spacing w:after="120" w:before="0"/>
      </w:pPr>
      <w:r>
        <w:rPr>
          <w:rFonts w:ascii="Arial" w:cs="Arial" w:eastAsia="Arial" w:hAnsi="Arial"/>
          <w:b/>
          <w:bCs/>
          <w:color w:val="1A1A1A"/>
          <w:sz w:val="22"/>
          <w:szCs w:val="22"/>
        </w:rPr>
        <w:t xml:space="preserve">Scoring formula: </w:t>
      </w:r>
      <w:r>
        <w:rPr>
          <w:rFonts w:ascii="Arial" w:cs="Arial" w:eastAsia="Arial" w:hAnsi="Arial"/>
          <w:color w:val="1A1A1A"/>
          <w:sz w:val="22"/>
          <w:szCs w:val="22"/>
        </w:rPr>
        <w:t xml:space="preserve">UARS = (A × 2) + (B × 2) + (C × 1.5) + (D × 1.5) + (E × 1)  </w:t>
      </w:r>
      <w:r>
        <w:rPr>
          <w:rFonts w:ascii="Arial" w:cs="Arial" w:eastAsia="Arial" w:hAnsi="Arial"/>
          <w:i/>
          <w:iCs/>
          <w:color w:val="777777"/>
          <w:sz w:val="22"/>
          <w:szCs w:val="22"/>
        </w:rPr>
        <w:t xml:space="preserve">Minimum: 7  ·  Maximum: 21</w:t>
      </w:r>
    </w:p>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4.4  Risk Bands and Governance Tiers</w:t>
      </w:r>
    </w:p>
    <w:p>
      <w:pPr>
        <w:spacing w:after="120" w:before="0"/>
      </w:pPr>
      <w:r>
        <w:rPr>
          <w:rFonts w:ascii="Arial" w:cs="Arial" w:eastAsia="Arial" w:hAnsi="Arial"/>
          <w:color w:val="1A1A1A"/>
          <w:sz w:val="22"/>
          <w:szCs w:val="22"/>
        </w:rPr>
        <w:t xml:space="preserve">The total UARS score places each use case into one of three risk bands, each of which corresponds to a governance tier with a defined control set and implementation process. The risk bands are deliberately graduated so that governance effort is proportionate to actual risk exposure.</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3000"/>
        <w:gridCol w:w="3500"/>
      </w:tblGrid>
      <w:tr>
        <w:trPr>
          <w:tblHeader/>
        </w:trPr>
        <w:tc>
          <w:tcPr>
            <w:tcW w:type="dxa" w:w="1560"/>
            <w:tcBorders>
              <w:top w:val="single" w:color="888888" w:sz="1"/>
              <w:left w:val="single" w:color="888888" w:sz="1"/>
              <w:bottom w:val="single" w:color="888888" w:sz="1"/>
              <w:right w:val="single" w:color="88888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RISK BAND</w:t>
            </w:r>
          </w:p>
        </w:tc>
        <w:tc>
          <w:tcPr>
            <w:tcW w:type="dxa" w:w="1300"/>
            <w:tcBorders>
              <w:top w:val="single" w:color="888888" w:sz="1"/>
              <w:left w:val="single" w:color="888888" w:sz="1"/>
              <w:bottom w:val="single" w:color="888888" w:sz="1"/>
              <w:right w:val="single" w:color="88888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UARS SCORE</w:t>
            </w:r>
          </w:p>
        </w:tc>
        <w:tc>
          <w:tcPr>
            <w:tcW w:type="dxa" w:w="3000"/>
            <w:tcBorders>
              <w:top w:val="single" w:color="888888" w:sz="1"/>
              <w:left w:val="single" w:color="888888" w:sz="1"/>
              <w:bottom w:val="single" w:color="888888" w:sz="1"/>
              <w:right w:val="single" w:color="88888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GOVERNANCE TIER</w:t>
            </w:r>
          </w:p>
        </w:tc>
        <w:tc>
          <w:tcPr>
            <w:tcW w:type="dxa" w:w="3500"/>
            <w:tcBorders>
              <w:top w:val="single" w:color="888888" w:sz="1"/>
              <w:left w:val="single" w:color="888888" w:sz="1"/>
              <w:bottom w:val="single" w:color="888888" w:sz="1"/>
              <w:right w:val="single" w:color="88888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INDICATIVE CONTROL SET</w:t>
            </w:r>
          </w:p>
        </w:tc>
      </w:tr>
      <w:tr>
        <w:tc>
          <w:tcPr>
            <w:tcW w:type="dxa" w:w="15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1A1A"/>
                <w:sz w:val="20"/>
                <w:szCs w:val="20"/>
              </w:rPr>
              <w:t xml:space="preserve">LOW</w:t>
            </w:r>
          </w:p>
        </w:tc>
        <w:tc>
          <w:tcPr>
            <w:tcW w:type="dxa" w:w="13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7 – 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 1  Standard AI Governance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 guardrails, output filtering, basic agent identity, read-only tool scoping, quarterly lightweight red-team</w:t>
            </w:r>
          </w:p>
        </w:tc>
      </w:tr>
      <w:tr>
        <w:tc>
          <w:tcPr>
            <w:tcW w:type="dxa" w:w="1560"/>
            <w:tcBorders>
              <w:top w:val="single" w:color="CCCCCC" w:sz="1"/>
              <w:left w:val="single" w:color="CCCCCC" w:sz="1"/>
              <w:bottom w:val="single" w:color="CCCCCC" w:sz="1"/>
              <w:right w:val="single" w:color="CCCCCC" w:sz="1"/>
            </w:tcBorders>
            <w:shd w:fill="FFF4DC" w:val="clear"/>
            <w:tcMar>
              <w:top w:type="dxa" w:w="80"/>
              <w:left w:type="dxa" w:w="120"/>
              <w:bottom w:type="dxa" w:w="80"/>
              <w:right w:type="dxa" w:w="120"/>
            </w:tcMar>
          </w:tcPr>
          <w:p>
            <w:r>
              <w:rPr>
                <w:rFonts w:ascii="Arial" w:cs="Arial" w:eastAsia="Arial" w:hAnsi="Arial"/>
                <w:b/>
                <w:bCs/>
                <w:color w:val="1A1A1A"/>
                <w:sz w:val="20"/>
                <w:szCs w:val="20"/>
              </w:rPr>
              <w:t xml:space="preserve">MEDIUM</w:t>
            </w:r>
          </w:p>
        </w:tc>
        <w:tc>
          <w:tcPr>
            <w:tcW w:type="dxa" w:w="1300"/>
            <w:tcBorders>
              <w:top w:val="single" w:color="CCCCCC" w:sz="1"/>
              <w:left w:val="single" w:color="CCCCCC" w:sz="1"/>
              <w:bottom w:val="single" w:color="CCCCCC" w:sz="1"/>
              <w:right w:val="single" w:color="CCCCCC" w:sz="1"/>
            </w:tcBorders>
            <w:shd w:fill="FFF4DC"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11 – 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 2  Agentic Governance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HITL checkpoint architecture, MCP allowlisting, tool scope enforcement, continuous trajectory monitoring, pre-deployment taint-trace threat model</w:t>
            </w:r>
          </w:p>
        </w:tc>
      </w:tr>
      <w:tr>
        <w:tc>
          <w:tcPr>
            <w:tcW w:type="dxa" w:w="156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16 – 21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 3  Full AI Safety Stack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AI-SPM, Generative AI Firewall, Agentic Control Plane with circuit breakers, Safety Case with HIL/SIL testing, monthly red-team cadence, AI OSI audit trail</w:t>
            </w:r>
          </w:p>
        </w:tc>
      </w:tr>
    </w:tbl>
    <w:p>
      <w:pPr>
        <w:spacing w:after="0" w:before="0"/>
      </w:pPr>
      <w:r>
        <w:rPr>
          <w:sz w:val="16"/>
          <w:szCs w:val="16"/>
        </w:rPr>
        <w:t xml:space="preserve"/>
      </w:r>
    </w:p>
    <w:p>
      <w:pPr>
        <w:spacing w:after="120" w:before="0"/>
      </w:pPr>
      <w:r>
        <w:rPr>
          <w:rFonts w:ascii="Arial" w:cs="Arial" w:eastAsia="Arial" w:hAnsi="Arial"/>
          <w:color w:val="1A1A1A"/>
          <w:sz w:val="22"/>
          <w:szCs w:val="22"/>
        </w:rPr>
        <w:t xml:space="preserve">The risk band assignment is not a binary pass/fail. It is a calibration instrument. Organisations are encouraged to re-score a use case when its parameters change — for example, when an agent's tool access is expanded, when it moves from internal to external data, or when it is deployed across additional systems. UARS is a living score, not a one-time compliance gate.</w:t>
      </w:r>
    </w:p>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4.5  Extensibility: The Policy-as-Code Principle</w:t>
      </w:r>
    </w:p>
    <w:p>
      <w:pPr>
        <w:spacing w:after="120" w:before="0"/>
      </w:pPr>
      <w:r>
        <w:rPr>
          <w:rFonts w:ascii="Arial" w:cs="Arial" w:eastAsia="Arial" w:hAnsi="Arial"/>
          <w:color w:val="1A1A1A"/>
          <w:sz w:val="22"/>
          <w:szCs w:val="22"/>
        </w:rPr>
        <w:t xml:space="preserve">A governance framework is only as effective as its reach. SafeAI.sg promotes the Policy-as-Code principle as the mechanism by which governance controls applied at the use-case level propagate automatically and consistently to all systems within the AI use case's operational scope.</w:t>
      </w:r>
    </w:p>
    <w:p>
      <w:pPr>
        <w:spacing w:after="120" w:before="0"/>
      </w:pPr>
      <w:r>
        <w:rPr>
          <w:rFonts w:ascii="Arial" w:cs="Arial" w:eastAsia="Arial" w:hAnsi="Arial"/>
          <w:color w:val="1A1A1A"/>
          <w:sz w:val="22"/>
          <w:szCs w:val="22"/>
        </w:rPr>
        <w:t xml:space="preserve">Under this principle, guardrail rules, tool permission policies, HITL checkpoint specifications, and monitoring alert thresholds are encoded as versioned, machine-readable policy artefacts deployed through a centralised policy engine. Any system that the AI use case touches — whether a database, an API, an external MCP server, or a downstream application — inherits the relevant controls on deployment without requiring manual re-configuration. When a policy is updated in response to a new finding or threat, the update propagates automatically to all affected systems.</w:t>
      </w:r>
    </w:p>
    <w:p>
      <w:pPr>
        <w:spacing w:after="120" w:before="0"/>
      </w:pPr>
      <w:r>
        <w:rPr>
          <w:rFonts w:ascii="Arial" w:cs="Arial" w:eastAsia="Arial" w:hAnsi="Arial"/>
          <w:color w:val="1A1A1A"/>
          <w:sz w:val="22"/>
          <w:szCs w:val="22"/>
        </w:rPr>
        <w:t xml:space="preserve">This approach eliminates the primary source of governance drift in AI deployments: the gap between documented policy and implemented control.</w:t>
      </w:r>
    </w:p>
    <w:p>
      <w:pPr>
        <w:spacing w:after="0" w:before="0"/>
      </w:pPr>
      <w:r>
        <w:rPr>
          <w:sz w:val="32"/>
          <w:szCs w:val="32"/>
        </w:rPr>
        <w:t xml:space="preserve"/>
      </w:r>
    </w:p>
    <w:p>
      <w:pPr>
        <w:pStyle w:val="Heading1"/>
        <w:spacing w:after="80" w:before="240"/>
      </w:pPr>
      <w:r>
        <w:rPr>
          <w:rFonts w:ascii="Arial" w:cs="Arial" w:eastAsia="Arial" w:hAnsi="Arial"/>
          <w:b/>
          <w:bCs/>
          <w:color w:val="1B3A6B"/>
          <w:sz w:val="28"/>
          <w:szCs w:val="28"/>
        </w:rPr>
        <w:t xml:space="preserve">Part V — The Operational Governance Framework</w:t>
      </w:r>
    </w:p>
    <w:p>
      <w:pPr>
        <w:pBdr>
          <w:bottom w:val="single" w:color="1B3A6B" w:sz="8" w:space="1"/>
        </w:pBdr>
        <w:spacing w:after="0" w:before="0"/>
      </w:pPr>
    </w:p>
    <w:p>
      <w:pPr>
        <w:spacing w:after="0" w:before="0"/>
      </w:pPr>
      <w:r>
        <w:rPr>
          <w:sz w:val="16"/>
          <w:szCs w:val="16"/>
        </w:rPr>
        <w:t xml:space="preserve"/>
      </w:r>
    </w:p>
    <w:p>
      <w:pPr>
        <w:pStyle w:val="Heading2"/>
        <w:spacing w:after="60" w:before="200"/>
      </w:pPr>
      <w:r>
        <w:rPr>
          <w:rFonts w:ascii="Arial" w:cs="Arial" w:eastAsia="Arial" w:hAnsi="Arial"/>
          <w:b/>
          <w:bCs/>
          <w:color w:val="1A1A1A"/>
          <w:sz w:val="24"/>
          <w:szCs w:val="24"/>
        </w:rPr>
        <w:t xml:space="preserve">5.1  Governance Tier 1  —  Standard AI Governance  (UARS 7–10)</w:t>
      </w:r>
    </w:p>
    <w:p>
      <w:pPr>
        <w:spacing w:after="120" w:before="0"/>
      </w:pPr>
      <w:r>
        <w:rPr>
          <w:rFonts w:ascii="Arial" w:cs="Arial" w:eastAsia="Arial" w:hAnsi="Arial"/>
          <w:color w:val="1A1A1A"/>
          <w:sz w:val="22"/>
          <w:szCs w:val="22"/>
        </w:rPr>
        <w:t xml:space="preserve">Tier 1 applies to AI use cases with limited autonomy, read-only or sandboxed tool access, non-regulated data, fully internal attack surface, and high error tolerance. These use cases present low risk and require governance controls proportionate to that risk — comprehensive enough to catch the most common failure modes, but not so extensive as to create unnecessary deployment friction.</w:t>
      </w:r>
    </w:p>
    <w:p>
      <w:pPr>
        <w:spacing w:after="40" w:before="160"/>
      </w:pPr>
      <w:r>
        <w:rPr>
          <w:rFonts w:ascii="Arial" w:cs="Arial" w:eastAsia="Arial" w:hAnsi="Arial"/>
          <w:b/>
          <w:bCs/>
          <w:color w:val="444444"/>
          <w:sz w:val="22"/>
          <w:szCs w:val="22"/>
        </w:rPr>
        <w:t xml:space="preserve">Mandatory Controls</w:t>
      </w:r>
    </w:p>
    <w:p>
      <w:pPr>
        <w:pStyle w:val="ListParagraph"/>
        <w:numPr>
          <w:ilvl w:val="0"/>
          <w:numId w:val="2"/>
        </w:numPr>
        <w:spacing w:after="80" w:before="0"/>
      </w:pPr>
      <w:r>
        <w:rPr>
          <w:rFonts w:ascii="Arial" w:cs="Arial" w:eastAsia="Arial" w:hAnsi="Arial"/>
          <w:color w:val="1A1A1A"/>
          <w:sz w:val="22"/>
          <w:szCs w:val="22"/>
        </w:rPr>
        <w:t xml:space="preserve">LLM Guardrails and Output Filtering: Prompt injection defences, output classifiers, and hallucination detection. Basic semantic firewall for prompt-level safety.</w:t>
      </w:r>
    </w:p>
    <w:p>
      <w:pPr>
        <w:pStyle w:val="ListParagraph"/>
        <w:numPr>
          <w:ilvl w:val="0"/>
          <w:numId w:val="2"/>
        </w:numPr>
        <w:spacing w:after="80" w:before="0"/>
      </w:pPr>
      <w:r>
        <w:rPr>
          <w:rFonts w:ascii="Arial" w:cs="Arial" w:eastAsia="Arial" w:hAnsi="Arial"/>
          <w:color w:val="1A1A1A"/>
          <w:sz w:val="22"/>
          <w:szCs w:val="22"/>
        </w:rPr>
        <w:t xml:space="preserve">Agent Identity and Access Baseline: Unique agent identifiers, read-only tool permissions, full tool call logging, and a prohibition on external system write access.</w:t>
      </w:r>
    </w:p>
    <w:p>
      <w:pPr>
        <w:spacing w:after="40" w:before="160"/>
      </w:pPr>
      <w:r>
        <w:rPr>
          <w:rFonts w:ascii="Arial" w:cs="Arial" w:eastAsia="Arial" w:hAnsi="Arial"/>
          <w:b/>
          <w:bCs/>
          <w:color w:val="444444"/>
          <w:sz w:val="22"/>
          <w:szCs w:val="22"/>
        </w:rPr>
        <w:t xml:space="preserve">Implementation Processes</w:t>
      </w:r>
    </w:p>
    <w:p>
      <w:pPr>
        <w:pStyle w:val="ListParagraph"/>
        <w:numPr>
          <w:ilvl w:val="0"/>
          <w:numId w:val="2"/>
        </w:numPr>
        <w:spacing w:after="80" w:before="0"/>
      </w:pPr>
      <w:r>
        <w:rPr>
          <w:rFonts w:ascii="Arial" w:cs="Arial" w:eastAsia="Arial" w:hAnsi="Arial"/>
          <w:color w:val="1A1A1A"/>
          <w:sz w:val="22"/>
          <w:szCs w:val="22"/>
        </w:rPr>
        <w:t xml:space="preserve">Policy-as-Code Review (Monthly): Guardrail rules encoded as versioned policies in the CI/CD pipeline and deployed via centralised policy engine to all systems in the agent's scope.</w:t>
      </w:r>
    </w:p>
    <w:p>
      <w:pPr>
        <w:pStyle w:val="ListParagraph"/>
        <w:numPr>
          <w:ilvl w:val="0"/>
          <w:numId w:val="2"/>
        </w:numPr>
        <w:spacing w:after="80" w:before="0"/>
      </w:pPr>
      <w:r>
        <w:rPr>
          <w:rFonts w:ascii="Arial" w:cs="Arial" w:eastAsia="Arial" w:hAnsi="Arial"/>
          <w:color w:val="1A1A1A"/>
          <w:sz w:val="22"/>
          <w:szCs w:val="22"/>
        </w:rPr>
        <w:t xml:space="preserve">Lightweight Adversarial Testing (Quarterly): A structured adversarial prompt library run against the production endpoint to flag new jailbreak patterns and update policies accordingly.</w:t>
      </w:r>
    </w:p>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5.2  Governance Tier 2  —  Agentic Governance  (UARS 11–15)</w:t>
      </w:r>
    </w:p>
    <w:p>
      <w:pPr>
        <w:spacing w:after="120" w:before="0"/>
      </w:pPr>
      <w:r>
        <w:rPr>
          <w:rFonts w:ascii="Arial" w:cs="Arial" w:eastAsia="Arial" w:hAnsi="Arial"/>
          <w:color w:val="1A1A1A"/>
          <w:sz w:val="22"/>
          <w:szCs w:val="22"/>
        </w:rPr>
        <w:t xml:space="preserve">Tier 2 applies to use cases where the AI agent operates with meaningful autonomy, writes to internal systems, accesses business-sensitive data, or connects to internal APIs and trusted external services. These use cases require a more structured governance architecture that maintains meaningful human accountability while enabling the efficiency benefits of autonomous operation.</w:t>
      </w:r>
    </w:p>
    <w:p>
      <w:pPr>
        <w:spacing w:after="40" w:before="160"/>
      </w:pPr>
      <w:r>
        <w:rPr>
          <w:rFonts w:ascii="Arial" w:cs="Arial" w:eastAsia="Arial" w:hAnsi="Arial"/>
          <w:b/>
          <w:bCs/>
          <w:color w:val="444444"/>
          <w:sz w:val="22"/>
          <w:szCs w:val="22"/>
        </w:rPr>
        <w:t xml:space="preserve">Mandatory Controls</w:t>
      </w:r>
    </w:p>
    <w:p>
      <w:pPr>
        <w:pStyle w:val="ListParagraph"/>
        <w:numPr>
          <w:ilvl w:val="0"/>
          <w:numId w:val="2"/>
        </w:numPr>
        <w:spacing w:after="80" w:before="0"/>
      </w:pPr>
      <w:r>
        <w:rPr>
          <w:rFonts w:ascii="Arial" w:cs="Arial" w:eastAsia="Arial" w:hAnsi="Arial"/>
          <w:color w:val="1A1A1A"/>
          <w:sz w:val="22"/>
          <w:szCs w:val="22"/>
        </w:rPr>
        <w:t xml:space="preserve">Human-in-the-Loop (HITL) Checkpoint Architecture: Action-boundary taxonomy defining irreversible, high-stakes, and outlier actions that require human approval before execution. Approval interfaces must be contextual and digestible, not raw log outputs. Effectiveness of approvals audited monthly.</w:t>
      </w:r>
    </w:p>
    <w:p>
      <w:pPr>
        <w:pStyle w:val="ListParagraph"/>
        <w:numPr>
          <w:ilvl w:val="0"/>
          <w:numId w:val="2"/>
        </w:numPr>
        <w:spacing w:after="80" w:before="0"/>
      </w:pPr>
      <w:r>
        <w:rPr>
          <w:rFonts w:ascii="Arial" w:cs="Arial" w:eastAsia="Arial" w:hAnsi="Arial"/>
          <w:color w:val="1A1A1A"/>
          <w:sz w:val="22"/>
          <w:szCs w:val="22"/>
        </w:rPr>
        <w:t xml:space="preserve">MCP Allowlisting and Tool Scope Enforcement: Approved MCP servers whitelisted explicitly. Least-privilege tooling enforced per agent role. Code execution sandboxed. Unauthenticated external API calls blocked. Scoped per-agent API tokens with recorded delegation.</w:t>
      </w:r>
    </w:p>
    <w:p>
      <w:pPr>
        <w:spacing w:after="40" w:before="160"/>
      </w:pPr>
      <w:r>
        <w:rPr>
          <w:rFonts w:ascii="Arial" w:cs="Arial" w:eastAsia="Arial" w:hAnsi="Arial"/>
          <w:b/>
          <w:bCs/>
          <w:color w:val="444444"/>
          <w:sz w:val="22"/>
          <w:szCs w:val="22"/>
        </w:rPr>
        <w:t xml:space="preserve">Implementation Processes</w:t>
      </w:r>
    </w:p>
    <w:p>
      <w:pPr>
        <w:pStyle w:val="ListParagraph"/>
        <w:numPr>
          <w:ilvl w:val="0"/>
          <w:numId w:val="2"/>
        </w:numPr>
        <w:spacing w:after="80" w:before="0"/>
      </w:pPr>
      <w:r>
        <w:rPr>
          <w:rFonts w:ascii="Arial" w:cs="Arial" w:eastAsia="Arial" w:hAnsi="Arial"/>
          <w:color w:val="1A1A1A"/>
          <w:sz w:val="22"/>
          <w:szCs w:val="22"/>
        </w:rPr>
        <w:t xml:space="preserve">Agentic Workflow Threat Model (Per Use Case, Pre-Deployment): A structured taint-trace session mapping all data flows across agent steps, identifying prompt injection points, exfiltration risks, and cascading failure paths. Output stored as a risk-stamped architecture record in the organisation's GRC system.</w:t>
      </w:r>
    </w:p>
    <w:p>
      <w:pPr>
        <w:pStyle w:val="ListParagraph"/>
        <w:numPr>
          <w:ilvl w:val="0"/>
          <w:numId w:val="2"/>
        </w:numPr>
        <w:spacing w:after="80" w:before="0"/>
      </w:pPr>
      <w:r>
        <w:rPr>
          <w:rFonts w:ascii="Arial" w:cs="Arial" w:eastAsia="Arial" w:hAnsi="Arial"/>
          <w:color w:val="1A1A1A"/>
          <w:sz w:val="22"/>
          <w:szCs w:val="22"/>
        </w:rPr>
        <w:t xml:space="preserve">Continuous Trajectory Monitoring with Alert Thresholds: Agent observability layer logging every tool call, plan step, and memory read/write. Programmatic alert thresholds defined (e.g. more than three failed tool calls within a session, access outside defined work scope). High-severity alerts route to human supervisor with automatic workflow pause.</w:t>
      </w:r>
    </w:p>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5.3  Governance Tier 3  —  Full AI Safety Stack  (UARS 16–21)</w:t>
      </w:r>
    </w:p>
    <w:p>
      <w:pPr>
        <w:spacing w:after="120" w:before="0"/>
      </w:pPr>
      <w:r>
        <w:rPr>
          <w:rFonts w:ascii="Arial" w:cs="Arial" w:eastAsia="Arial" w:hAnsi="Arial"/>
          <w:color w:val="1A1A1A"/>
          <w:sz w:val="22"/>
          <w:szCs w:val="22"/>
        </w:rPr>
        <w:t xml:space="preserve">Tier 3 applies to use cases involving fully autonomous agents, irreversible external actions (payments, external communications, data deletion), regulated or PII-sensitive data, internet exposure or multi-agent mesh architectures, and low error tolerance domains (financial services, healthcare, legal, critical infrastructure). These use cases require the full depth of technical and process controls, including pre-deployment safety cases, hardware-level observability, and continuous adversarial testing.</w:t>
      </w:r>
    </w:p>
    <w:p>
      <w:pPr>
        <w:spacing w:after="40" w:before="160"/>
      </w:pPr>
      <w:r>
        <w:rPr>
          <w:rFonts w:ascii="Arial" w:cs="Arial" w:eastAsia="Arial" w:hAnsi="Arial"/>
          <w:b/>
          <w:bCs/>
          <w:color w:val="444444"/>
          <w:sz w:val="22"/>
          <w:szCs w:val="22"/>
        </w:rPr>
        <w:t xml:space="preserve">Mandatory Controls</w:t>
      </w:r>
    </w:p>
    <w:p>
      <w:pPr>
        <w:pStyle w:val="ListParagraph"/>
        <w:numPr>
          <w:ilvl w:val="0"/>
          <w:numId w:val="2"/>
        </w:numPr>
        <w:spacing w:after="80" w:before="0"/>
      </w:pPr>
      <w:r>
        <w:rPr>
          <w:rFonts w:ascii="Arial" w:cs="Arial" w:eastAsia="Arial" w:hAnsi="Arial"/>
          <w:color w:val="1A1A1A"/>
          <w:sz w:val="22"/>
          <w:szCs w:val="22"/>
        </w:rPr>
        <w:t xml:space="preserve">AI Security Posture Management (AI-SPM) and Generative AI Firewall (GAF): Continuous model inventory covering shadow AI, supply chain risk scoring for model weights and protocol servers, and a semantic AI firewall providing dialogue-level intent analysis, selective PII redaction, and egress filtering on all model outputs.</w:t>
      </w:r>
    </w:p>
    <w:p>
      <w:pPr>
        <w:pStyle w:val="ListParagraph"/>
        <w:numPr>
          <w:ilvl w:val="0"/>
          <w:numId w:val="2"/>
        </w:numPr>
        <w:spacing w:after="80" w:before="0"/>
      </w:pPr>
      <w:r>
        <w:rPr>
          <w:rFonts w:ascii="Arial" w:cs="Arial" w:eastAsia="Arial" w:hAnsi="Arial"/>
          <w:color w:val="1A1A1A"/>
          <w:sz w:val="22"/>
          <w:szCs w:val="22"/>
        </w:rPr>
        <w:t xml:space="preserve">Agentic Control Plane with Circuit Breakers: Runtime guardrails wrapping the full Reason → Plan → Tool → Memory loop. Governance circuit breakers that pause or terminate agent workflows on defined threshold breaches. Non-agentic fallback modes for all critical functions, tested under adversarial conditions.</w:t>
      </w:r>
    </w:p>
    <w:p>
      <w:pPr>
        <w:spacing w:after="40" w:before="160"/>
      </w:pPr>
      <w:r>
        <w:rPr>
          <w:rFonts w:ascii="Arial" w:cs="Arial" w:eastAsia="Arial" w:hAnsi="Arial"/>
          <w:b/>
          <w:bCs/>
          <w:color w:val="444444"/>
          <w:sz w:val="22"/>
          <w:szCs w:val="22"/>
        </w:rPr>
        <w:t xml:space="preserve">Implementation Processes</w:t>
      </w:r>
    </w:p>
    <w:p>
      <w:pPr>
        <w:pStyle w:val="ListParagraph"/>
        <w:numPr>
          <w:ilvl w:val="0"/>
          <w:numId w:val="2"/>
        </w:numPr>
        <w:spacing w:after="80" w:before="0"/>
      </w:pPr>
      <w:r>
        <w:rPr>
          <w:rFonts w:ascii="Arial" w:cs="Arial" w:eastAsia="Arial" w:hAnsi="Arial"/>
          <w:color w:val="1A1A1A"/>
          <w:sz w:val="22"/>
          <w:szCs w:val="22"/>
        </w:rPr>
        <w:t xml:space="preserve">Pre-Deployment Safety Case and Simulation Testing: A structured safety case documenting specification, validation evidence, verification results, and accepted residual risks. Agentic workflows run in a sandboxed simulation environment under adversarial conditions before any production access is granted. Sign-off required from CISO and accountable business owner.</w:t>
      </w:r>
    </w:p>
    <w:p>
      <w:pPr>
        <w:pStyle w:val="ListParagraph"/>
        <w:numPr>
          <w:ilvl w:val="0"/>
          <w:numId w:val="2"/>
        </w:numPr>
        <w:spacing w:after="80" w:before="0"/>
      </w:pPr>
      <w:r>
        <w:rPr>
          <w:rFonts w:ascii="Arial" w:cs="Arial" w:eastAsia="Arial" w:hAnsi="Arial"/>
          <w:color w:val="1A1A1A"/>
          <w:sz w:val="22"/>
          <w:szCs w:val="22"/>
        </w:rPr>
        <w:t xml:space="preserve">Continuous Red-Team and Incident Playbook Cadence (Monthly): Adversarial coverage including prompt injection, tool misuse, memory poisoning, MCP server compromise, and multi-agent cascading failure scenarios. Each finding triggers an incident playbook update and policy-as-code patch, with all affected systems automatically re-validated within 48 hours.</w:t>
      </w:r>
    </w:p>
    <w:p>
      <w:pPr>
        <w:spacing w:after="0" w:before="0"/>
      </w:pPr>
      <w:r>
        <w:rPr>
          <w:sz w:val="32"/>
          <w:szCs w:val="32"/>
        </w:rPr>
        <w:t xml:space="preserve"/>
      </w:r>
    </w:p>
    <w:p>
      <w:pPr>
        <w:pStyle w:val="Heading1"/>
        <w:spacing w:after="80" w:before="240"/>
      </w:pPr>
      <w:r>
        <w:rPr>
          <w:rFonts w:ascii="Arial" w:cs="Arial" w:eastAsia="Arial" w:hAnsi="Arial"/>
          <w:b/>
          <w:bCs/>
          <w:color w:val="1B3A6B"/>
          <w:sz w:val="28"/>
          <w:szCs w:val="28"/>
        </w:rPr>
        <w:t xml:space="preserve">Part VI — Tool and Technology Reference Programme</w:t>
      </w:r>
    </w:p>
    <w:p>
      <w:pPr>
        <w:pBdr>
          <w:bottom w:val="single" w:color="1B3A6B" w:sz="8" w:space="1"/>
        </w:pBdr>
        <w:spacing w:after="0" w:before="0"/>
      </w:pPr>
    </w:p>
    <w:p>
      <w:pPr>
        <w:spacing w:after="0" w:before="0"/>
      </w:pPr>
      <w:r>
        <w:rPr>
          <w:sz w:val="16"/>
          <w:szCs w:val="16"/>
        </w:rPr>
        <w:t xml:space="preserve"/>
      </w:r>
    </w:p>
    <w:p>
      <w:pPr>
        <w:pStyle w:val="Heading2"/>
        <w:spacing w:after="60" w:before="200"/>
      </w:pPr>
      <w:r>
        <w:rPr>
          <w:rFonts w:ascii="Arial" w:cs="Arial" w:eastAsia="Arial" w:hAnsi="Arial"/>
          <w:b/>
          <w:bCs/>
          <w:color w:val="1A1A1A"/>
          <w:sz w:val="24"/>
          <w:szCs w:val="24"/>
        </w:rPr>
        <w:t xml:space="preserve">6.1  Purpose and Scope</w:t>
      </w:r>
    </w:p>
    <w:p>
      <w:pPr>
        <w:spacing w:after="120" w:before="0"/>
      </w:pPr>
      <w:r>
        <w:rPr>
          <w:rFonts w:ascii="Arial" w:cs="Arial" w:eastAsia="Arial" w:hAnsi="Arial"/>
          <w:color w:val="1A1A1A"/>
          <w:sz w:val="22"/>
          <w:szCs w:val="22"/>
        </w:rPr>
        <w:t xml:space="preserve">A governance framework without practical tooling is aspirational rather than operational. SafeAI.sg maintains a curated reference library of technical tools, platforms, and architectural patterns that provide the observability, control, enforcement, and audit capabilities required at each UARS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6"/>
              <w:left w:val="none"/>
              <w:bottom w:val="single" w:color="B91C1C" w:sz="6"/>
              <w:right w:val="none"/>
            </w:tcBorders>
            <w:shd w:fill="FEE8E8" w:val="clear"/>
            <w:tcMar>
              <w:top w:type="dxa" w:w="120"/>
              <w:left w:type="dxa" w:w="200"/>
              <w:bottom w:type="dxa" w:w="120"/>
              <w:right w:type="dxa" w:w="200"/>
            </w:tcMar>
          </w:tcPr>
          <w:p>
            <w:pPr>
              <w:spacing w:after="60" w:before="0"/>
            </w:pPr>
            <w:r>
              <w:rPr>
                <w:rFonts w:ascii="Arial" w:cs="Arial" w:eastAsia="Arial" w:hAnsi="Arial"/>
                <w:b/>
                <w:bCs/>
                <w:color w:val="B91C1C"/>
                <w:sz w:val="22"/>
                <w:szCs w:val="22"/>
              </w:rPr>
              <w:t xml:space="preserve">Critical Boundary</w:t>
            </w:r>
          </w:p>
          <w:p>
            <w:pPr>
              <w:spacing w:after="0" w:before="0"/>
            </w:pPr>
            <w:r>
              <w:rPr>
                <w:rFonts w:ascii="Arial" w:cs="Arial" w:eastAsia="Arial" w:hAnsi="Arial"/>
                <w:color w:val="1A1A1A"/>
                <w:sz w:val="22"/>
                <w:szCs w:val="22"/>
              </w:rPr>
              <w:t xml:space="preserve">Inclusion of a tool in the SafeAI.sg reference library signifies that the tool addresses an identified technical governance need at a given UARS tier. It does not constitute an endorsement of that tool's commercial claims, certification of regulatory compliance, or a recommendation that organisations must use any specific product. Organisations must conduct their own due diligence, procurement evaluation, and compliance assessment for any technology they deploy.</w:t>
            </w:r>
          </w:p>
        </w:tc>
      </w:tr>
    </w:tbl>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6.2  Tool Reference Categories</w:t>
      </w:r>
    </w:p>
    <w:p>
      <w:pPr>
        <w:spacing w:after="120" w:before="0"/>
      </w:pPr>
      <w:r>
        <w:rPr>
          <w:rFonts w:ascii="Arial" w:cs="Arial" w:eastAsia="Arial" w:hAnsi="Arial"/>
          <w:color w:val="1A1A1A"/>
          <w:sz w:val="22"/>
          <w:szCs w:val="22"/>
        </w:rPr>
        <w:t xml:space="preserve">The SafeAI.sg Tool Reference Programme organises its library across seven capability domains, aligned to the seven governance dimensions identified in the SafeAI.sg technical framework. For each domain, the reference library will document the capability requirement, the architectural pattern that addresses it, and examples of available tools — both open-source and commercial — that practitioners may evaluate.</w:t>
      </w:r>
    </w:p>
    <w:p>
      <w:pPr>
        <w:pStyle w:val="ListParagraph"/>
        <w:numPr>
          <w:ilvl w:val="0"/>
          <w:numId w:val="2"/>
        </w:numPr>
        <w:spacing w:after="80" w:before="0"/>
      </w:pPr>
      <w:r>
        <w:rPr>
          <w:rFonts w:ascii="Arial" w:cs="Arial" w:eastAsia="Arial" w:hAnsi="Arial"/>
          <w:color w:val="1A1A1A"/>
          <w:sz w:val="22"/>
          <w:szCs w:val="22"/>
        </w:rPr>
        <w:t xml:space="preserve">Agentic Identity and Access Control: Tools and standards supporting per-agent identity, dynamic permission scoping, delegated authority recording, and agent authentication in multi-agent environments (including OAuth 2.0 extensions for MCP, decentralised identity frameworks, and A2A protocol implementations).</w:t>
      </w:r>
    </w:p>
    <w:p>
      <w:pPr>
        <w:pStyle w:val="ListParagraph"/>
        <w:numPr>
          <w:ilvl w:val="0"/>
          <w:numId w:val="2"/>
        </w:numPr>
        <w:spacing w:after="80" w:before="0"/>
      </w:pPr>
      <w:r>
        <w:rPr>
          <w:rFonts w:ascii="Arial" w:cs="Arial" w:eastAsia="Arial" w:hAnsi="Arial"/>
          <w:color w:val="1A1A1A"/>
          <w:sz w:val="22"/>
          <w:szCs w:val="22"/>
        </w:rPr>
        <w:t xml:space="preserve">Generative AI Firewalls and Semantic Runtime Controls: Tools providing prompt-level semantic analysis, intent classification, jailbreak detection, PII redaction in model outputs, and egress filtering — functions that cannot be performed by classical WAF or IDS systems.</w:t>
      </w:r>
    </w:p>
    <w:p>
      <w:pPr>
        <w:pStyle w:val="ListParagraph"/>
        <w:numPr>
          <w:ilvl w:val="0"/>
          <w:numId w:val="2"/>
        </w:numPr>
        <w:spacing w:after="80" w:before="0"/>
      </w:pPr>
      <w:r>
        <w:rPr>
          <w:rFonts w:ascii="Arial" w:cs="Arial" w:eastAsia="Arial" w:hAnsi="Arial"/>
          <w:color w:val="1A1A1A"/>
          <w:sz w:val="22"/>
          <w:szCs w:val="22"/>
        </w:rPr>
        <w:t xml:space="preserve">AI Security Posture Management (AI-SPM): Platforms providing continuous inventory of AI models (including shadow AI), model provenance tracking, supply chain risk assessment for model weights and third-party components, and configuration drift detection across AI infrastructure.</w:t>
      </w:r>
    </w:p>
    <w:p>
      <w:pPr>
        <w:pStyle w:val="ListParagraph"/>
        <w:numPr>
          <w:ilvl w:val="0"/>
          <w:numId w:val="2"/>
        </w:numPr>
        <w:spacing w:after="80" w:before="0"/>
      </w:pPr>
      <w:r>
        <w:rPr>
          <w:rFonts w:ascii="Arial" w:cs="Arial" w:eastAsia="Arial" w:hAnsi="Arial"/>
          <w:color w:val="1A1A1A"/>
          <w:sz w:val="22"/>
          <w:szCs w:val="22"/>
        </w:rPr>
        <w:t xml:space="preserve">Agentic Workflow Observability: Tools providing step-level tracing of agent reasoning, plan execution, tool calls, and memory operations — enabling both real-time anomaly detection and post-incident forensic replay.</w:t>
      </w:r>
    </w:p>
    <w:p>
      <w:pPr>
        <w:pStyle w:val="ListParagraph"/>
        <w:numPr>
          <w:ilvl w:val="0"/>
          <w:numId w:val="2"/>
        </w:numPr>
        <w:spacing w:after="80" w:before="0"/>
      </w:pPr>
      <w:r>
        <w:rPr>
          <w:rFonts w:ascii="Arial" w:cs="Arial" w:eastAsia="Arial" w:hAnsi="Arial"/>
          <w:color w:val="1A1A1A"/>
          <w:sz w:val="22"/>
          <w:szCs w:val="22"/>
        </w:rPr>
        <w:t xml:space="preserve">DSPM for AI and Vector Store Security: Data governance tools extended to cover vector databases, RAG pipeline data flows, embedding provenance, and training data lineage — supporting compliance with PDPA, MAS TRM Guidelines, and sector-specific data protection requirements.</w:t>
      </w:r>
    </w:p>
    <w:p>
      <w:pPr>
        <w:pStyle w:val="ListParagraph"/>
        <w:numPr>
          <w:ilvl w:val="0"/>
          <w:numId w:val="2"/>
        </w:numPr>
        <w:spacing w:after="80" w:before="0"/>
      </w:pPr>
      <w:r>
        <w:rPr>
          <w:rFonts w:ascii="Arial" w:cs="Arial" w:eastAsia="Arial" w:hAnsi="Arial"/>
          <w:color w:val="1A1A1A"/>
          <w:sz w:val="22"/>
          <w:szCs w:val="22"/>
        </w:rPr>
        <w:t xml:space="preserve">Policy-as-Code Engines: Infrastructure for encoding governance rules as versioned, machine-readable policies deployable via centralised policy engines (such as OPA or comparable frameworks) that propagate controls automatically across all systems within an AI use case's operational scope.</w:t>
      </w:r>
    </w:p>
    <w:p>
      <w:pPr>
        <w:pStyle w:val="ListParagraph"/>
        <w:numPr>
          <w:ilvl w:val="0"/>
          <w:numId w:val="2"/>
        </w:numPr>
        <w:spacing w:after="80" w:before="0"/>
      </w:pPr>
      <w:r>
        <w:rPr>
          <w:rFonts w:ascii="Arial" w:cs="Arial" w:eastAsia="Arial" w:hAnsi="Arial"/>
          <w:color w:val="1A1A1A"/>
          <w:sz w:val="22"/>
          <w:szCs w:val="22"/>
        </w:rPr>
        <w:t xml:space="preserve">Red-Team and Adversarial Testing Frameworks: Structured methodologies and tooling for adversarial prompt testing, agentic workflow stress testing, multi-agent cascading failure simulation, and safety case construction — aligned to the Singapore Consensus research priorities and the CSA MITRE ATLAS framework.</w:t>
      </w:r>
    </w:p>
    <w:p>
      <w:pPr>
        <w:spacing w:after="0" w:before="0"/>
      </w:pPr>
      <w:r>
        <w:rPr>
          <w:sz w:val="32"/>
          <w:szCs w:val="32"/>
        </w:rPr>
        <w:t xml:space="preserve"/>
      </w:r>
    </w:p>
    <w:p>
      <w:pPr>
        <w:pStyle w:val="Heading1"/>
        <w:spacing w:after="80" w:before="240"/>
      </w:pPr>
      <w:r>
        <w:rPr>
          <w:rFonts w:ascii="Arial" w:cs="Arial" w:eastAsia="Arial" w:hAnsi="Arial"/>
          <w:b/>
          <w:bCs/>
          <w:color w:val="1B3A6B"/>
          <w:sz w:val="28"/>
          <w:szCs w:val="28"/>
        </w:rPr>
        <w:t xml:space="preserve">Part VII — Technology Associate and Showcase Programme</w:t>
      </w:r>
    </w:p>
    <w:p>
      <w:pPr>
        <w:pBdr>
          <w:bottom w:val="single" w:color="1B3A6B" w:sz="8" w:space="1"/>
        </w:pBdr>
        <w:spacing w:after="0" w:before="0"/>
      </w:pPr>
    </w:p>
    <w:p>
      <w:pPr>
        <w:spacing w:after="0" w:before="0"/>
      </w:pPr>
      <w:r>
        <w:rPr>
          <w:sz w:val="16"/>
          <w:szCs w:val="16"/>
        </w:rPr>
        <w:t xml:space="preserve"/>
      </w:r>
    </w:p>
    <w:p>
      <w:pPr>
        <w:pStyle w:val="Heading2"/>
        <w:spacing w:after="60" w:before="200"/>
      </w:pPr>
      <w:r>
        <w:rPr>
          <w:rFonts w:ascii="Arial" w:cs="Arial" w:eastAsia="Arial" w:hAnsi="Arial"/>
          <w:b/>
          <w:bCs/>
          <w:color w:val="1A1A1A"/>
          <w:sz w:val="24"/>
          <w:szCs w:val="24"/>
        </w:rPr>
        <w:t xml:space="preserve">7.1  Purpose</w:t>
      </w:r>
    </w:p>
    <w:p>
      <w:pPr>
        <w:spacing w:after="120" w:before="0"/>
      </w:pPr>
      <w:r>
        <w:rPr>
          <w:rFonts w:ascii="Arial" w:cs="Arial" w:eastAsia="Arial" w:hAnsi="Arial"/>
          <w:color w:val="1A1A1A"/>
          <w:sz w:val="22"/>
          <w:szCs w:val="22"/>
        </w:rPr>
        <w:t xml:space="preserve">A governance framework gains practical traction when companies can see the controls it recommends working in real-world production environments. SafeAI.sg operates a Technology Associate Programme to create precisely this — a curated, practitioner-facing ecosystem where technology companies that build AI governance, observability, security, and compliance capabilities can demonstrate how their products address real governance challenges at defined UARS tiers.</w:t>
      </w:r>
    </w:p>
    <w:p>
      <w:pPr>
        <w:spacing w:after="120" w:before="0"/>
      </w:pPr>
      <w:r>
        <w:rPr>
          <w:rFonts w:ascii="Arial" w:cs="Arial" w:eastAsia="Arial" w:hAnsi="Arial"/>
          <w:color w:val="1A1A1A"/>
          <w:sz w:val="22"/>
          <w:szCs w:val="22"/>
        </w:rPr>
        <w:t xml:space="preserve">The Associate Programme is not an endorsement scheme. It is a demonstration environment. It answers a different question from regulatory certification: not ‘does this product comply with Regulation X’, but ‘does this product credibly address Governance Challenge Y for an organisation deploying AI at Risk Band Z’. These are the questions Singapore's CIOs and CISOs are actually asking, and the Associate Programme is designed to help them find well-evidenced answers.</w:t>
      </w:r>
    </w:p>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7.2  Eligibility and Participation</w:t>
      </w:r>
    </w:p>
    <w:p>
      <w:pPr>
        <w:spacing w:after="120" w:before="0"/>
      </w:pPr>
      <w:r>
        <w:rPr>
          <w:rFonts w:ascii="Arial" w:cs="Arial" w:eastAsia="Arial" w:hAnsi="Arial"/>
          <w:color w:val="1A1A1A"/>
          <w:sz w:val="22"/>
          <w:szCs w:val="22"/>
        </w:rPr>
        <w:t xml:space="preserve">Technology companies eligible for Associate status include AI platform providers, cybersecurity vendors, AI observability and monitoring companies, identity and access management providers, data governance tool companies, policy automation vendors, and any organisation whose products materially address one or more of the seven governance domains identified in the SafeAI.sg technical framework.</w:t>
      </w:r>
    </w:p>
    <w:p>
      <w:pPr>
        <w:spacing w:after="120" w:before="0"/>
      </w:pPr>
      <w:r>
        <w:rPr>
          <w:rFonts w:ascii="Arial" w:cs="Arial" w:eastAsia="Arial" w:hAnsi="Arial"/>
          <w:color w:val="1A1A1A"/>
          <w:sz w:val="22"/>
          <w:szCs w:val="22"/>
        </w:rPr>
        <w:t xml:space="preserve">Associates participate by contributing to the SafeAI.sg ecosystem in one or more of the following ways:</w:t>
      </w:r>
    </w:p>
    <w:p>
      <w:pPr>
        <w:pStyle w:val="ListParagraph"/>
        <w:numPr>
          <w:ilvl w:val="0"/>
          <w:numId w:val="2"/>
        </w:numPr>
        <w:spacing w:after="80" w:before="0"/>
      </w:pPr>
      <w:r>
        <w:rPr>
          <w:rFonts w:ascii="Arial" w:cs="Arial" w:eastAsia="Arial" w:hAnsi="Arial"/>
          <w:color w:val="1A1A1A"/>
          <w:sz w:val="22"/>
          <w:szCs w:val="22"/>
        </w:rPr>
        <w:t xml:space="preserve">Reference Architecture Demonstrations: Presenting documented reference architectures showing how their product implements specific Tier 1, 2, or 3 governance controls identified in the UARS framework, in a production-realistic environment.</w:t>
      </w:r>
    </w:p>
    <w:p>
      <w:pPr>
        <w:pStyle w:val="ListParagraph"/>
        <w:numPr>
          <w:ilvl w:val="0"/>
          <w:numId w:val="2"/>
        </w:numPr>
        <w:spacing w:after="80" w:before="0"/>
      </w:pPr>
      <w:r>
        <w:rPr>
          <w:rFonts w:ascii="Arial" w:cs="Arial" w:eastAsia="Arial" w:hAnsi="Arial"/>
          <w:color w:val="1A1A1A"/>
          <w:sz w:val="22"/>
          <w:szCs w:val="22"/>
        </w:rPr>
        <w:t xml:space="preserve">Case Study Publications: Contributing anonymised or attributed case studies documenting how their product was deployed to address a specific governance challenge in a Singapore or Southeast Asian enterprise or public sector context.</w:t>
      </w:r>
    </w:p>
    <w:p>
      <w:pPr>
        <w:pStyle w:val="ListParagraph"/>
        <w:numPr>
          <w:ilvl w:val="0"/>
          <w:numId w:val="2"/>
        </w:numPr>
        <w:spacing w:after="80" w:before="0"/>
      </w:pPr>
      <w:r>
        <w:rPr>
          <w:rFonts w:ascii="Arial" w:cs="Arial" w:eastAsia="Arial" w:hAnsi="Arial"/>
          <w:color w:val="1A1A1A"/>
          <w:sz w:val="22"/>
          <w:szCs w:val="22"/>
        </w:rPr>
        <w:t xml:space="preserve">Community Events and Knowledge Sharing: Participating as practitioners in SafeAI.sg roundtables, workshops, and knowledge-sharing sessions, contributing technical depth on governance implementation challenges.</w:t>
      </w:r>
    </w:p>
    <w:p>
      <w:pPr>
        <w:pStyle w:val="ListParagraph"/>
        <w:numPr>
          <w:ilvl w:val="0"/>
          <w:numId w:val="2"/>
        </w:numPr>
        <w:spacing w:after="80" w:before="0"/>
      </w:pPr>
      <w:r>
        <w:rPr>
          <w:rFonts w:ascii="Arial" w:cs="Arial" w:eastAsia="Arial" w:hAnsi="Arial"/>
          <w:color w:val="1A1A1A"/>
          <w:sz w:val="22"/>
          <w:szCs w:val="22"/>
        </w:rPr>
        <w:t xml:space="preserve">Advisory Contributions: Where relevant, contributing technical expertise to SafeAI.sg framework development processes, subject to conflict-of-interest declarations in accordance with Section 6.5 of this Charter.</w:t>
      </w:r>
    </w:p>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7.3  Non-Endorsement Boundary</w:t>
      </w:r>
    </w:p>
    <w:p>
      <w:pPr>
        <w:spacing w:after="120" w:before="0"/>
      </w:pPr>
      <w:r>
        <w:rPr>
          <w:rFonts w:ascii="Arial" w:cs="Arial" w:eastAsia="Arial" w:hAnsi="Arial"/>
          <w:color w:val="1A1A1A"/>
          <w:sz w:val="22"/>
          <w:szCs w:val="22"/>
        </w:rPr>
        <w:t xml:space="preserve">SafeAI.sg does not test, evaluate, validate, or certify any Associate technology. Associate status does not imply that a product meets any regulatory requirement, satisfies any compliance obligation, or is recommended by SafeAI.sg over any other product. SafeAI.sg does not conduct comparative product assessments, publish rankings, or make procurement recommendations.</w:t>
      </w:r>
    </w:p>
    <w:p>
      <w:pPr>
        <w:spacing w:after="120" w:before="0"/>
      </w:pPr>
      <w:r>
        <w:rPr>
          <w:rFonts w:ascii="Arial" w:cs="Arial" w:eastAsia="Arial" w:hAnsi="Arial"/>
          <w:color w:val="1A1A1A"/>
          <w:sz w:val="22"/>
          <w:szCs w:val="22"/>
        </w:rPr>
        <w:t xml:space="preserve">Associate companies may reference their SafeAI.sg association in their own marketing materials, subject to guidelines published by SafeAI.sg that specify accurate and non-misleading descriptions of Associate status. Any Associate company that misrepresents its relationship with SafeAI.sg — including by implying regulatory endorsement, certification, or compliance validation — will have its Associate status suspended pending review.</w:t>
      </w:r>
    </w:p>
    <w:p>
      <w:pPr>
        <w:spacing w:after="120" w:before="0"/>
      </w:pPr>
      <w:r>
        <w:rPr>
          <w:rFonts w:ascii="Arial" w:cs="Arial" w:eastAsia="Arial" w:hAnsi="Arial"/>
          <w:color w:val="1A1A1A"/>
          <w:sz w:val="22"/>
          <w:szCs w:val="22"/>
        </w:rPr>
        <w:t xml:space="preserve">Organisations evaluating technologies showcased through the Associate Programme are responsible for conducting their own due diligence, technical assessment, and compliance review before making procurement or deployment decisions. SafeAI.sg encourages organisations to use the UARS framework and governance control specifications as the basis for their own structured technology evaluation.</w:t>
      </w:r>
    </w:p>
    <w:p>
      <w:pPr>
        <w:spacing w:after="0" w:before="0"/>
      </w:pPr>
      <w:r>
        <w:rPr>
          <w:sz w:val="32"/>
          <w:szCs w:val="32"/>
        </w:rPr>
        <w:t xml:space="preserve"/>
      </w:r>
    </w:p>
    <w:p>
      <w:pPr>
        <w:pStyle w:val="Heading1"/>
        <w:spacing w:after="80" w:before="240"/>
      </w:pPr>
      <w:r>
        <w:rPr>
          <w:rFonts w:ascii="Arial" w:cs="Arial" w:eastAsia="Arial" w:hAnsi="Arial"/>
          <w:b/>
          <w:bCs/>
          <w:color w:val="1B3A6B"/>
          <w:sz w:val="28"/>
          <w:szCs w:val="28"/>
        </w:rPr>
        <w:t xml:space="preserve">Part VIII — Advisory Council Structure and Governance</w:t>
      </w:r>
    </w:p>
    <w:p>
      <w:pPr>
        <w:pBdr>
          <w:bottom w:val="single" w:color="1B3A6B" w:sz="8" w:space="1"/>
        </w:pBdr>
        <w:spacing w:after="0" w:before="0"/>
      </w:pPr>
    </w:p>
    <w:p>
      <w:pPr>
        <w:spacing w:after="0" w:before="0"/>
      </w:pPr>
      <w:r>
        <w:rPr>
          <w:sz w:val="16"/>
          <w:szCs w:val="16"/>
        </w:rPr>
        <w:t xml:space="preserve"/>
      </w:r>
    </w:p>
    <w:p>
      <w:pPr>
        <w:pStyle w:val="Heading2"/>
        <w:spacing w:after="60" w:before="200"/>
      </w:pPr>
      <w:r>
        <w:rPr>
          <w:rFonts w:ascii="Arial" w:cs="Arial" w:eastAsia="Arial" w:hAnsi="Arial"/>
          <w:b/>
          <w:bCs/>
          <w:color w:val="1A1A1A"/>
          <w:sz w:val="24"/>
          <w:szCs w:val="24"/>
        </w:rPr>
        <w:t xml:space="preserve">8.1  Role of the Advisory Council</w:t>
      </w:r>
    </w:p>
    <w:p>
      <w:pPr>
        <w:spacing w:after="120" w:before="0"/>
      </w:pPr>
      <w:r>
        <w:rPr>
          <w:rFonts w:ascii="Arial" w:cs="Arial" w:eastAsia="Arial" w:hAnsi="Arial"/>
          <w:color w:val="1A1A1A"/>
          <w:sz w:val="22"/>
          <w:szCs w:val="22"/>
        </w:rPr>
        <w:t xml:space="preserve">The SafeAI.sg Advisory Council is the primary governance and direction-setting body of the Centre. Its role is to provide strategic oversight, domain expertise, institutional credibility, and ongoing challenge to the Centre's frameworks, publications, and community programmes. The Advisory Council is not an operational or executive body. It does not approve, endorse, certify, or regulate.</w:t>
      </w:r>
    </w:p>
    <w:p>
      <w:pPr>
        <w:pStyle w:val="Heading2"/>
        <w:spacing w:after="60" w:before="200"/>
      </w:pPr>
      <w:r>
        <w:rPr>
          <w:rFonts w:ascii="Arial" w:cs="Arial" w:eastAsia="Arial" w:hAnsi="Arial"/>
          <w:b/>
          <w:bCs/>
          <w:color w:val="1A1A1A"/>
          <w:sz w:val="24"/>
          <w:szCs w:val="24"/>
        </w:rPr>
        <w:t xml:space="preserve">8.2  Advisory Council Composition</w:t>
      </w:r>
    </w:p>
    <w:p>
      <w:pPr>
        <w:spacing w:after="120" w:before="0"/>
      </w:pPr>
      <w:r>
        <w:rPr>
          <w:rFonts w:ascii="Arial" w:cs="Arial" w:eastAsia="Arial" w:hAnsi="Arial"/>
          <w:color w:val="1A1A1A"/>
          <w:sz w:val="22"/>
          <w:szCs w:val="22"/>
        </w:rPr>
        <w:t xml:space="preserve">The Advisory Council shall comprise senior leaders drawn from across the SafeAI.sg stakeholder ecosystem, structured to ensure representation across the following domains:</w:t>
      </w:r>
    </w:p>
    <w:p>
      <w:pPr>
        <w:pStyle w:val="ListParagraph"/>
        <w:numPr>
          <w:ilvl w:val="0"/>
          <w:numId w:val="2"/>
        </w:numPr>
        <w:spacing w:after="80" w:before="0"/>
      </w:pPr>
      <w:r>
        <w:rPr>
          <w:rFonts w:ascii="Arial" w:cs="Arial" w:eastAsia="Arial" w:hAnsi="Arial"/>
          <w:color w:val="1A1A1A"/>
          <w:sz w:val="22"/>
          <w:szCs w:val="22"/>
        </w:rPr>
        <w:t xml:space="preserve">Government and Public Policy: Representatives from government technology agencies and digital economy bodies who provide public sector context and policy alignment.</w:t>
      </w:r>
    </w:p>
    <w:p>
      <w:pPr>
        <w:pStyle w:val="ListParagraph"/>
        <w:numPr>
          <w:ilvl w:val="0"/>
          <w:numId w:val="2"/>
        </w:numPr>
        <w:spacing w:after="80" w:before="0"/>
      </w:pPr>
      <w:r>
        <w:rPr>
          <w:rFonts w:ascii="Arial" w:cs="Arial" w:eastAsia="Arial" w:hAnsi="Arial"/>
          <w:color w:val="1A1A1A"/>
          <w:sz w:val="22"/>
          <w:szCs w:val="22"/>
        </w:rPr>
        <w:t xml:space="preserve">Cybersecurity and National Security: Practitioners and institutional representatives from Singapore's cybersecurity ecosystem who provide security domain expertise and alignment with national security frameworks.</w:t>
      </w:r>
    </w:p>
    <w:p>
      <w:pPr>
        <w:pStyle w:val="ListParagraph"/>
        <w:numPr>
          <w:ilvl w:val="0"/>
          <w:numId w:val="2"/>
        </w:numPr>
        <w:spacing w:after="80" w:before="0"/>
      </w:pPr>
      <w:r>
        <w:rPr>
          <w:rFonts w:ascii="Arial" w:cs="Arial" w:eastAsia="Arial" w:hAnsi="Arial"/>
          <w:color w:val="1A1A1A"/>
          <w:sz w:val="22"/>
          <w:szCs w:val="22"/>
        </w:rPr>
        <w:t xml:space="preserve">Financial Services and Regulated Industries: Senior practitioners from regulated sectors whose AI deployments operate under the most demanding compliance environments, and whose governance practices represent the high-water mark for the broader enterprise community.</w:t>
      </w:r>
    </w:p>
    <w:p>
      <w:pPr>
        <w:pStyle w:val="ListParagraph"/>
        <w:numPr>
          <w:ilvl w:val="0"/>
          <w:numId w:val="2"/>
        </w:numPr>
        <w:spacing w:after="80" w:before="0"/>
      </w:pPr>
      <w:r>
        <w:rPr>
          <w:rFonts w:ascii="Arial" w:cs="Arial" w:eastAsia="Arial" w:hAnsi="Arial"/>
          <w:color w:val="1A1A1A"/>
          <w:sz w:val="22"/>
          <w:szCs w:val="22"/>
        </w:rPr>
        <w:t xml:space="preserve">Academic and Research Institutions: AI safety researchers, computer scientists, and governance scholars who provide research rigour, independent evaluation, and connection to the global AI safety research community.</w:t>
      </w:r>
    </w:p>
    <w:p>
      <w:pPr>
        <w:pStyle w:val="ListParagraph"/>
        <w:numPr>
          <w:ilvl w:val="0"/>
          <w:numId w:val="2"/>
        </w:numPr>
        <w:spacing w:after="80" w:before="0"/>
      </w:pPr>
      <w:r>
        <w:rPr>
          <w:rFonts w:ascii="Arial" w:cs="Arial" w:eastAsia="Arial" w:hAnsi="Arial"/>
          <w:color w:val="1A1A1A"/>
          <w:sz w:val="22"/>
          <w:szCs w:val="22"/>
        </w:rPr>
        <w:t xml:space="preserve">Enterprise Technology Leadership: Sitting CIOs, CTOs, and CISOs from large enterprises in Singapore who bring practitioner credibility and real-world deployment experience to framework development.</w:t>
      </w:r>
    </w:p>
    <w:p>
      <w:pPr>
        <w:pStyle w:val="ListParagraph"/>
        <w:numPr>
          <w:ilvl w:val="0"/>
          <w:numId w:val="2"/>
        </w:numPr>
        <w:spacing w:after="80" w:before="0"/>
      </w:pPr>
      <w:r>
        <w:rPr>
          <w:rFonts w:ascii="Arial" w:cs="Arial" w:eastAsia="Arial" w:hAnsi="Arial"/>
          <w:color w:val="1A1A1A"/>
          <w:sz w:val="22"/>
          <w:szCs w:val="22"/>
        </w:rPr>
        <w:t xml:space="preserve">International Partnerships: Representatives from peer AI safety and governance bodies in other jurisdictions who enable benchmarking against global best practices and facilitate international knowledge exchange.</w:t>
      </w:r>
    </w:p>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8.3  Advisory Council Responsibilities</w:t>
      </w:r>
    </w:p>
    <w:p>
      <w:pPr>
        <w:pStyle w:val="ListParagraph"/>
        <w:numPr>
          <w:ilvl w:val="0"/>
          <w:numId w:val="2"/>
        </w:numPr>
        <w:spacing w:after="80" w:before="0"/>
      </w:pPr>
      <w:r>
        <w:rPr>
          <w:rFonts w:ascii="Arial" w:cs="Arial" w:eastAsia="Arial" w:hAnsi="Arial"/>
          <w:color w:val="1A1A1A"/>
          <w:sz w:val="22"/>
          <w:szCs w:val="22"/>
        </w:rPr>
        <w:t xml:space="preserve">Provide strategic direction for SafeAI.sg's research agenda, framework development priorities, and community programmes.</w:t>
      </w:r>
    </w:p>
    <w:p>
      <w:pPr>
        <w:pStyle w:val="ListParagraph"/>
        <w:numPr>
          <w:ilvl w:val="0"/>
          <w:numId w:val="2"/>
        </w:numPr>
        <w:spacing w:after="80" w:before="0"/>
      </w:pPr>
      <w:r>
        <w:rPr>
          <w:rFonts w:ascii="Arial" w:cs="Arial" w:eastAsia="Arial" w:hAnsi="Arial"/>
          <w:color w:val="1A1A1A"/>
          <w:sz w:val="22"/>
          <w:szCs w:val="22"/>
        </w:rPr>
        <w:t xml:space="preserve">Review and provide substantive feedback on UARS methodology, risk band calibration, and control set recommendations at least annually.</w:t>
      </w:r>
    </w:p>
    <w:p>
      <w:pPr>
        <w:pStyle w:val="ListParagraph"/>
        <w:numPr>
          <w:ilvl w:val="0"/>
          <w:numId w:val="2"/>
        </w:numPr>
        <w:spacing w:after="80" w:before="0"/>
      </w:pPr>
      <w:r>
        <w:rPr>
          <w:rFonts w:ascii="Arial" w:cs="Arial" w:eastAsia="Arial" w:hAnsi="Arial"/>
          <w:color w:val="1A1A1A"/>
          <w:sz w:val="22"/>
          <w:szCs w:val="22"/>
        </w:rPr>
        <w:t xml:space="preserve">Identify emerging AI risk domains, new use case categories, and governance gaps that the SafeAI.sg framework should address.</w:t>
      </w:r>
    </w:p>
    <w:p>
      <w:pPr>
        <w:pStyle w:val="ListParagraph"/>
        <w:numPr>
          <w:ilvl w:val="0"/>
          <w:numId w:val="2"/>
        </w:numPr>
        <w:spacing w:after="80" w:before="0"/>
      </w:pPr>
      <w:r>
        <w:rPr>
          <w:rFonts w:ascii="Arial" w:cs="Arial" w:eastAsia="Arial" w:hAnsi="Arial"/>
          <w:color w:val="1A1A1A"/>
          <w:sz w:val="22"/>
          <w:szCs w:val="22"/>
        </w:rPr>
        <w:t xml:space="preserve">Promote SafeAI.sg frameworks within their respective organisations and sectors, and encourage the contribution of real-world case studies to the community knowledge base.</w:t>
      </w:r>
    </w:p>
    <w:p>
      <w:pPr>
        <w:pStyle w:val="ListParagraph"/>
        <w:numPr>
          <w:ilvl w:val="0"/>
          <w:numId w:val="2"/>
        </w:numPr>
        <w:spacing w:after="80" w:before="0"/>
      </w:pPr>
      <w:r>
        <w:rPr>
          <w:rFonts w:ascii="Arial" w:cs="Arial" w:eastAsia="Arial" w:hAnsi="Arial"/>
          <w:color w:val="1A1A1A"/>
          <w:sz w:val="22"/>
          <w:szCs w:val="22"/>
        </w:rPr>
        <w:t xml:space="preserve">Serve as a sounding board for the SPARK by CIO Academy Asia executive team on matters relating to SafeAI.sg strategy, partnerships, and programme development.</w:t>
      </w:r>
    </w:p>
    <w:p>
      <w:pPr>
        <w:pStyle w:val="ListParagraph"/>
        <w:numPr>
          <w:ilvl w:val="0"/>
          <w:numId w:val="2"/>
        </w:numPr>
        <w:spacing w:after="80" w:before="0"/>
      </w:pPr>
      <w:r>
        <w:rPr>
          <w:rFonts w:ascii="Arial" w:cs="Arial" w:eastAsia="Arial" w:hAnsi="Arial"/>
          <w:color w:val="1A1A1A"/>
          <w:sz w:val="22"/>
          <w:szCs w:val="22"/>
        </w:rPr>
        <w:t xml:space="preserve">Support the maintenance of SafeAI.sg's independence by flagging any actual or potential conflicts of interest and upholding the non-regulatory, non-endorsement principles set out in this Charter.</w:t>
      </w:r>
    </w:p>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8.4  Meeting Cadence</w:t>
      </w:r>
    </w:p>
    <w:p>
      <w:pPr>
        <w:spacing w:after="120" w:before="0"/>
      </w:pPr>
      <w:r>
        <w:rPr>
          <w:rFonts w:ascii="Arial" w:cs="Arial" w:eastAsia="Arial" w:hAnsi="Arial"/>
          <w:color w:val="1A1A1A"/>
          <w:sz w:val="22"/>
          <w:szCs w:val="22"/>
        </w:rPr>
        <w:t xml:space="preserve">The full Advisory Council shall convene at minimum twice per year in a structured review session. Individual working groups convened to address specific framework domains or technical challenges may meet more frequently at the discretion of the SafeAI.sg executive team. Advisory Council members may also be called upon to contribute in writing to framework consultation processes between formal meetings.</w:t>
      </w:r>
    </w:p>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8.5  Independence and Conflict of Interest</w:t>
      </w:r>
    </w:p>
    <w:p>
      <w:pPr>
        <w:spacing w:after="120" w:before="0"/>
      </w:pPr>
      <w:r>
        <w:rPr>
          <w:rFonts w:ascii="Arial" w:cs="Arial" w:eastAsia="Arial" w:hAnsi="Arial"/>
          <w:color w:val="1A1A1A"/>
          <w:sz w:val="22"/>
          <w:szCs w:val="22"/>
        </w:rPr>
        <w:t xml:space="preserve">Advisory Council membership does not create any commercial relationship between a member's organisation and SafeAI.sg. Members who have a material commercial interest in a specific tool, platform, or framework recommendation under discussion shall declare that interest at the commencement of the relevant discussion and shall not participate in formal feedback on that matter. The SafeAI.sg executive team retains final editorial authority over all published frameworks and guidance materials.</w:t>
      </w:r>
    </w:p>
    <w:p>
      <w:pPr>
        <w:spacing w:after="0" w:before="0"/>
      </w:pPr>
      <w:r>
        <w:rPr>
          <w:sz w:val="32"/>
          <w:szCs w:val="32"/>
        </w:rPr>
        <w:t xml:space="preserve"/>
      </w:r>
    </w:p>
    <w:p>
      <w:pPr>
        <w:pStyle w:val="Heading1"/>
        <w:spacing w:after="80" w:before="240"/>
      </w:pPr>
      <w:r>
        <w:rPr>
          <w:rFonts w:ascii="Arial" w:cs="Arial" w:eastAsia="Arial" w:hAnsi="Arial"/>
          <w:b/>
          <w:bCs/>
          <w:color w:val="1B3A6B"/>
          <w:sz w:val="28"/>
          <w:szCs w:val="28"/>
        </w:rPr>
        <w:t xml:space="preserve">Part IX — Operating Principles</w:t>
      </w:r>
    </w:p>
    <w:p>
      <w:pPr>
        <w:pBdr>
          <w:bottom w:val="single" w:color="1B3A6B" w:sz="8" w:space="1"/>
        </w:pBdr>
        <w:spacing w:after="0" w:before="0"/>
      </w:pPr>
    </w:p>
    <w:p>
      <w:pPr>
        <w:spacing w:after="0" w:before="0"/>
      </w:pPr>
      <w:r>
        <w:rPr>
          <w:sz w:val="16"/>
          <w:szCs w:val="16"/>
        </w:rPr>
        <w:t xml:space="preserve"/>
      </w:r>
    </w:p>
    <w:p>
      <w:pPr>
        <w:spacing w:after="120" w:before="0"/>
      </w:pPr>
      <w:r>
        <w:rPr>
          <w:rFonts w:ascii="Arial" w:cs="Arial" w:eastAsia="Arial" w:hAnsi="Arial"/>
          <w:color w:val="1A1A1A"/>
          <w:sz w:val="22"/>
          <w:szCs w:val="22"/>
        </w:rPr>
        <w:t xml:space="preserve">SafeAI.sg is governed by the following operating principles, which inform every programme, publication, and partnership decision:</w:t>
      </w:r>
    </w:p>
    <w:p>
      <w:pPr>
        <w:pStyle w:val="Heading2"/>
        <w:spacing w:after="60" w:before="200"/>
      </w:pPr>
      <w:r>
        <w:rPr>
          <w:rFonts w:ascii="Arial" w:cs="Arial" w:eastAsia="Arial" w:hAnsi="Arial"/>
          <w:b/>
          <w:bCs/>
          <w:color w:val="1A1A1A"/>
          <w:sz w:val="24"/>
          <w:szCs w:val="24"/>
        </w:rPr>
        <w:t xml:space="preserve">Proportionality</w:t>
      </w:r>
    </w:p>
    <w:p>
      <w:pPr>
        <w:spacing w:after="120" w:before="0"/>
      </w:pPr>
      <w:r>
        <w:rPr>
          <w:rFonts w:ascii="Arial" w:cs="Arial" w:eastAsia="Arial" w:hAnsi="Arial"/>
          <w:color w:val="1A1A1A"/>
          <w:sz w:val="22"/>
          <w:szCs w:val="22"/>
        </w:rPr>
        <w:t xml:space="preserve">Governance should be commensurate with risk. No AI use case should bear more governance friction than its actual risk exposure warrants. SafeAI.sg is committed to designing frameworks that actively prevent over-governance of low-risk applications as rigorously as they prevent under-governance of high-risk ones.</w:t>
      </w:r>
    </w:p>
    <w:p>
      <w:pPr>
        <w:pStyle w:val="Heading2"/>
        <w:spacing w:after="60" w:before="200"/>
      </w:pPr>
      <w:r>
        <w:rPr>
          <w:rFonts w:ascii="Arial" w:cs="Arial" w:eastAsia="Arial" w:hAnsi="Arial"/>
          <w:b/>
          <w:bCs/>
          <w:color w:val="1A1A1A"/>
          <w:sz w:val="24"/>
          <w:szCs w:val="24"/>
        </w:rPr>
        <w:t xml:space="preserve">Practicality</w:t>
      </w:r>
    </w:p>
    <w:p>
      <w:pPr>
        <w:spacing w:after="120" w:before="0"/>
      </w:pPr>
      <w:r>
        <w:rPr>
          <w:rFonts w:ascii="Arial" w:cs="Arial" w:eastAsia="Arial" w:hAnsi="Arial"/>
          <w:color w:val="1A1A1A"/>
          <w:sz w:val="22"/>
          <w:szCs w:val="22"/>
        </w:rPr>
        <w:t xml:space="preserve">Frameworks that remain on paper deliver no safety benefit. Every SafeAI.sg output — whether a risk score, a control recommendation, or a tool reference — shall be designed for operational implementation by a working technology team, not merely for policy documentation.</w:t>
      </w:r>
    </w:p>
    <w:p>
      <w:pPr>
        <w:pStyle w:val="Heading2"/>
        <w:spacing w:after="60" w:before="200"/>
      </w:pPr>
      <w:r>
        <w:rPr>
          <w:rFonts w:ascii="Arial" w:cs="Arial" w:eastAsia="Arial" w:hAnsi="Arial"/>
          <w:b/>
          <w:bCs/>
          <w:color w:val="1A1A1A"/>
          <w:sz w:val="24"/>
          <w:szCs w:val="24"/>
        </w:rPr>
        <w:t xml:space="preserve">Independence</w:t>
      </w:r>
    </w:p>
    <w:p>
      <w:pPr>
        <w:spacing w:after="120" w:before="0"/>
      </w:pPr>
      <w:r>
        <w:rPr>
          <w:rFonts w:ascii="Arial" w:cs="Arial" w:eastAsia="Arial" w:hAnsi="Arial"/>
          <w:color w:val="1A1A1A"/>
          <w:sz w:val="22"/>
          <w:szCs w:val="22"/>
        </w:rPr>
        <w:t xml:space="preserve">SafeAI.sg does not regulate, certify, or endorse. It does not exercise any supervisory function over its members or the organisations that reference its frameworks. Its credibility rests on the quality of its analysis and the trust of its community, not on any authority granted by or delegated from any regulatory body.</w:t>
      </w:r>
    </w:p>
    <w:p>
      <w:pPr>
        <w:pStyle w:val="Heading2"/>
        <w:spacing w:after="60" w:before="200"/>
      </w:pPr>
      <w:r>
        <w:rPr>
          <w:rFonts w:ascii="Arial" w:cs="Arial" w:eastAsia="Arial" w:hAnsi="Arial"/>
          <w:b/>
          <w:bCs/>
          <w:color w:val="1A1A1A"/>
          <w:sz w:val="24"/>
          <w:szCs w:val="24"/>
        </w:rPr>
        <w:t xml:space="preserve">Inclusivity</w:t>
      </w:r>
    </w:p>
    <w:p>
      <w:pPr>
        <w:spacing w:after="120" w:before="0"/>
      </w:pPr>
      <w:r>
        <w:rPr>
          <w:rFonts w:ascii="Arial" w:cs="Arial" w:eastAsia="Arial" w:hAnsi="Arial"/>
          <w:color w:val="1A1A1A"/>
          <w:sz w:val="22"/>
          <w:szCs w:val="22"/>
        </w:rPr>
        <w:t xml:space="preserve">The most consequential AI governance challenges in Singapore are not confined to the largest organisations. SafeAI.sg frameworks shall be designed to be accessible and applicable to mid-market enterprises, public agencies, and technology teams of all sizes, not only to large enterprises with dedicated AI governance functions.</w:t>
      </w:r>
    </w:p>
    <w:p>
      <w:pPr>
        <w:pStyle w:val="Heading2"/>
        <w:spacing w:after="60" w:before="200"/>
      </w:pPr>
      <w:r>
        <w:rPr>
          <w:rFonts w:ascii="Arial" w:cs="Arial" w:eastAsia="Arial" w:hAnsi="Arial"/>
          <w:b/>
          <w:bCs/>
          <w:color w:val="1A1A1A"/>
          <w:sz w:val="24"/>
          <w:szCs w:val="24"/>
        </w:rPr>
        <w:t xml:space="preserve">Continuous Improvement</w:t>
      </w:r>
    </w:p>
    <w:p>
      <w:pPr>
        <w:spacing w:after="120" w:before="0"/>
      </w:pPr>
      <w:r>
        <w:rPr>
          <w:rFonts w:ascii="Arial" w:cs="Arial" w:eastAsia="Arial" w:hAnsi="Arial"/>
          <w:color w:val="1A1A1A"/>
          <w:sz w:val="22"/>
          <w:szCs w:val="22"/>
        </w:rPr>
        <w:t xml:space="preserve">AI technology evolves faster than any static framework can track. SafeAI.sg commits to a continuous update cycle for its UARS methodology, control recommendations, and tool reference library, informed by real-world deployment experience contributed by its community and by developments in the global AI safety research literature.</w:t>
      </w:r>
    </w:p>
    <w:p>
      <w:pPr>
        <w:pStyle w:val="Heading2"/>
        <w:spacing w:after="60" w:before="200"/>
      </w:pPr>
      <w:r>
        <w:rPr>
          <w:rFonts w:ascii="Arial" w:cs="Arial" w:eastAsia="Arial" w:hAnsi="Arial"/>
          <w:b/>
          <w:bCs/>
          <w:color w:val="1A1A1A"/>
          <w:sz w:val="24"/>
          <w:szCs w:val="24"/>
        </w:rPr>
        <w:t xml:space="preserve">Transparency</w:t>
      </w:r>
    </w:p>
    <w:p>
      <w:pPr>
        <w:spacing w:after="120" w:before="0"/>
      </w:pPr>
      <w:r>
        <w:rPr>
          <w:rFonts w:ascii="Arial" w:cs="Arial" w:eastAsia="Arial" w:hAnsi="Arial"/>
          <w:color w:val="1A1A1A"/>
          <w:sz w:val="22"/>
          <w:szCs w:val="22"/>
        </w:rPr>
        <w:t xml:space="preserve">SafeAI.sg's methodology, framework development process, and the basis for its risk band calibrations shall be publicly documented and open to challenge. Community members are encouraged to submit alternative approaches, challenge existing recommendations, and contribute case studies that test the framework against real-world complexity.</w:t>
      </w:r>
    </w:p>
    <w:p>
      <w:pPr>
        <w:pStyle w:val="Heading1"/>
        <w:spacing w:after="80" w:before="240"/>
      </w:pPr>
      <w:r>
        <w:rPr>
          <w:rFonts w:ascii="Arial" w:cs="Arial" w:eastAsia="Arial" w:hAnsi="Arial"/>
          <w:b/>
          <w:bCs/>
          <w:color w:val="1B3A6B"/>
          <w:sz w:val="28"/>
          <w:szCs w:val="28"/>
        </w:rPr>
        <w:t xml:space="preserve">Part X — Professional Certification and Skills Development</w:t>
      </w:r>
    </w:p>
    <w:p>
      <w:pPr>
        <w:pBdr>
          <w:bottom w:val="single" w:color="1B3A6B" w:sz="8" w:space="1"/>
        </w:pBdr>
        <w:spacing w:after="0" w:before="0"/>
      </w:pPr>
    </w:p>
    <w:p>
      <w:pPr>
        <w:spacing w:after="0" w:before="0"/>
      </w:pPr>
      <w:r>
        <w:rPr>
          <w:sz w:val="16"/>
          <w:szCs w:val="16"/>
        </w:rPr>
        <w:t xml:space="preserve"/>
      </w:r>
    </w:p>
    <w:p>
      <w:pPr>
        <w:pStyle w:val="Heading2"/>
        <w:spacing w:after="60" w:before="200"/>
      </w:pPr>
      <w:r>
        <w:rPr>
          <w:rFonts w:ascii="Arial" w:cs="Arial" w:eastAsia="Arial" w:hAnsi="Arial"/>
          <w:b/>
          <w:bCs/>
          <w:color w:val="1A1A1A"/>
          <w:sz w:val="24"/>
          <w:szCs w:val="24"/>
        </w:rPr>
        <w:t xml:space="preserve">10.1  Purpose</w:t>
      </w:r>
    </w:p>
    <w:p>
      <w:pPr>
        <w:spacing w:after="120" w:before="0"/>
      </w:pPr>
      <w:r>
        <w:rPr>
          <w:rFonts w:ascii="Arial" w:cs="Arial" w:eastAsia="Arial" w:hAnsi="Arial"/>
          <w:color w:val="1A1A1A"/>
          <w:sz w:val="22"/>
          <w:szCs w:val="22"/>
        </w:rPr>
        <w:t xml:space="preserve">A governance framework is only sustainable when the people responsible for implementing it possess the knowledge and skills to do so with confidence. SafeAI.sg recognises that the availability of structured, credible, and practically-grounded AI safety and governance skills is a prerequisite for the responsible deployment of AI across Singapore's enterprise and public sector landscape.</w:t>
      </w:r>
    </w:p>
    <w:p>
      <w:pPr>
        <w:spacing w:after="120" w:before="0"/>
      </w:pPr>
      <w:r>
        <w:rPr>
          <w:rFonts w:ascii="Arial" w:cs="Arial" w:eastAsia="Arial" w:hAnsi="Arial"/>
          <w:color w:val="1A1A1A"/>
          <w:sz w:val="22"/>
          <w:szCs w:val="22"/>
        </w:rPr>
        <w:t xml:space="preserve">To address this, SafeAI.sg will co-develop a structured professional certification programme in partnership with Singapore's institutes of higher learning — including but not limited to the National University of Singapore (NUS), Nanyang Technological University (NTU), Singapore Management University (SMU), and Singapore Institute of Technology (SIT). These programmes will be designed for working professionals, aligned to the SafeAI.sg governance framework and UARS methodology, and calibrated to the specific knowledge requirements of each role level in the AI deployment and governance lifecycle.</w:t>
      </w:r>
    </w:p>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10.2  Certification Level Architecture</w:t>
      </w:r>
    </w:p>
    <w:p>
      <w:pPr>
        <w:spacing w:after="120" w:before="0"/>
      </w:pPr>
      <w:r>
        <w:rPr>
          <w:rFonts w:ascii="Arial" w:cs="Arial" w:eastAsia="Arial" w:hAnsi="Arial"/>
          <w:color w:val="1A1A1A"/>
          <w:sz w:val="22"/>
          <w:szCs w:val="22"/>
        </w:rPr>
        <w:t xml:space="preserve">The SafeAI.sg certification programme is structured across four levels, each designed to serve a distinct audience and build progressively on prior knowledge. All levels are co-designed with academic partners to ensure rigour, and co-delivered to ensure practical relevance.</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60"/>
        <w:gridCol w:w="2200"/>
        <w:gridCol w:w="3900"/>
      </w:tblGrid>
      <w:tr>
        <w:trPr>
          <w:tblHeader/>
        </w:trPr>
        <w:tc>
          <w:tcPr>
            <w:tcW w:type="dxa" w:w="1200"/>
            <w:tcBorders>
              <w:top w:val="single" w:color="888888" w:sz="1"/>
              <w:left w:val="single" w:color="888888" w:sz="1"/>
              <w:bottom w:val="single" w:color="888888" w:sz="1"/>
              <w:right w:val="single" w:color="88888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1960"/>
            <w:tcBorders>
              <w:top w:val="single" w:color="888888" w:sz="1"/>
              <w:left w:val="single" w:color="888888" w:sz="1"/>
              <w:bottom w:val="single" w:color="888888" w:sz="1"/>
              <w:right w:val="single" w:color="88888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CERTIFICATION</w:t>
            </w:r>
          </w:p>
        </w:tc>
        <w:tc>
          <w:tcPr>
            <w:tcW w:type="dxa" w:w="2200"/>
            <w:tcBorders>
              <w:top w:val="single" w:color="888888" w:sz="1"/>
              <w:left w:val="single" w:color="888888" w:sz="1"/>
              <w:bottom w:val="single" w:color="888888" w:sz="1"/>
              <w:right w:val="single" w:color="88888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TARGET AUDIENCE</w:t>
            </w:r>
          </w:p>
        </w:tc>
        <w:tc>
          <w:tcPr>
            <w:tcW w:type="dxa" w:w="3900"/>
            <w:tcBorders>
              <w:top w:val="single" w:color="888888" w:sz="1"/>
              <w:left w:val="single" w:color="888888" w:sz="1"/>
              <w:bottom w:val="single" w:color="888888" w:sz="1"/>
              <w:right w:val="single" w:color="88888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LEARNING OUTCOMES</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bCs/>
                <w:color w:val="1B3A6B"/>
                <w:sz w:val="20"/>
                <w:szCs w:val="20"/>
              </w:rPr>
              <w:t xml:space="preserve">Level 0</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bCs/>
                <w:color w:val="1A1A1A"/>
                <w:sz w:val="20"/>
                <w:szCs w:val="20"/>
              </w:rPr>
              <w:t xml:space="preserve">SafeAI Career Conversion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Professionals transitioning into AI-adjacent roles from non-technical backgrounds. Mid-career switchers supported by SkillsFuture and IBF-aligned pathways.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Foundational AI literacy; understanding of AI risk concepts and governance vocabulary; introduction to the UARS framework and governance tiers; practical awareness of responsible AI use and human-AI interaction in the workplace.</w:t>
            </w:r>
          </w:p>
        </w:tc>
      </w:tr>
      <w:tr>
        <w:tc>
          <w:tcPr>
            <w:tcW w:type="dxa" w:w="12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r>
              <w:rPr>
                <w:rFonts w:ascii="Arial" w:cs="Arial" w:eastAsia="Arial" w:hAnsi="Arial"/>
                <w:b/>
                <w:bCs/>
                <w:color w:val="1A7A4A"/>
                <w:sz w:val="20"/>
                <w:szCs w:val="20"/>
              </w:rPr>
              <w:t xml:space="preserve">Level 1</w:t>
            </w:r>
          </w:p>
        </w:tc>
        <w:tc>
          <w:tcPr>
            <w:tcW w:type="dxa" w:w="19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spacing w:after="40" w:before="0"/>
            </w:pPr>
            <w:r>
              <w:rPr>
                <w:rFonts w:ascii="Arial" w:cs="Arial" w:eastAsia="Arial" w:hAnsi="Arial"/>
                <w:b/>
                <w:bCs/>
                <w:color w:val="1A1A1A"/>
                <w:sz w:val="20"/>
                <w:szCs w:val="20"/>
              </w:rPr>
              <w:t xml:space="preserve">SafeAI User</w:t>
            </w:r>
          </w:p>
          <w:p>
            <w:pPr>
              <w:spacing w:after="0" w:before="0"/>
            </w:pPr>
            <w:r>
              <w:rPr>
                <w:rFonts w:ascii="Arial" w:cs="Arial" w:eastAsia="Arial" w:hAnsi="Arial"/>
                <w:b/>
                <w:bCs/>
                <w:color w:val="1A1A1A"/>
                <w:sz w:val="20"/>
                <w:szCs w:val="20"/>
              </w:rPr>
              <w:t xml:space="preserve">Citizen Builder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Business users, functional leaders, operations managers, and non-technical staff who deploy or oversee AI tools in their day-to-day workflows without a formal engineering role.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Applying UARS to assess low-risk AI use cases; understanding Tier 1 governance controls and when to escalate; responsible use of AI agents in enterprise workflows; identifying common AI failure modes; human oversight principles; data sensitivity awareness and prompt hygiene.</w:t>
            </w:r>
          </w:p>
        </w:tc>
      </w:tr>
      <w:tr>
        <w:tc>
          <w:tcPr>
            <w:tcW w:type="dxa" w:w="1200"/>
            <w:tcBorders>
              <w:top w:val="single" w:color="CCCCCC" w:sz="1"/>
              <w:left w:val="single" w:color="CCCCCC" w:sz="1"/>
              <w:bottom w:val="single" w:color="CCCCCC" w:sz="1"/>
              <w:right w:val="single" w:color="CCCCCC" w:sz="1"/>
            </w:tcBorders>
            <w:shd w:fill="FFF4DC" w:val="clear"/>
            <w:tcMar>
              <w:top w:type="dxa" w:w="80"/>
              <w:left w:type="dxa" w:w="120"/>
              <w:bottom w:type="dxa" w:w="80"/>
              <w:right w:type="dxa" w:w="120"/>
            </w:tcMar>
            <w:vAlign w:val="top"/>
          </w:tcPr>
          <w:p>
            <w:r>
              <w:rPr>
                <w:rFonts w:ascii="Arial" w:cs="Arial" w:eastAsia="Arial" w:hAnsi="Arial"/>
                <w:b/>
                <w:bCs/>
                <w:color w:val="B86800"/>
                <w:sz w:val="20"/>
                <w:szCs w:val="20"/>
              </w:rPr>
              <w:t xml:space="preserve">Level 2</w:t>
            </w:r>
          </w:p>
        </w:tc>
        <w:tc>
          <w:tcPr>
            <w:tcW w:type="dxa" w:w="1960"/>
            <w:tcBorders>
              <w:top w:val="single" w:color="CCCCCC" w:sz="1"/>
              <w:left w:val="single" w:color="CCCCCC" w:sz="1"/>
              <w:bottom w:val="single" w:color="CCCCCC" w:sz="1"/>
              <w:right w:val="single" w:color="CCCCCC" w:sz="1"/>
            </w:tcBorders>
            <w:shd w:fill="FFF4DC" w:val="clear"/>
            <w:tcMar>
              <w:top w:type="dxa" w:w="80"/>
              <w:left w:type="dxa" w:w="120"/>
              <w:bottom w:type="dxa" w:w="80"/>
              <w:right w:type="dxa" w:w="120"/>
            </w:tcMar>
            <w:vAlign w:val="top"/>
          </w:tcPr>
          <w:p>
            <w:r>
              <w:rPr>
                <w:rFonts w:ascii="Arial" w:cs="Arial" w:eastAsia="Arial" w:hAnsi="Arial"/>
                <w:b/>
                <w:bCs/>
                <w:color w:val="1A1A1A"/>
                <w:sz w:val="20"/>
                <w:szCs w:val="20"/>
              </w:rPr>
              <w:t xml:space="preserve">SafeAI Certified Engineer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AI engineers, MLOps practitioners, platform engineers, solution architects, and security engineers who design, build, and deploy AI systems and agentic workflows in production environments.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Full UARS scoring methodology; Tier 1 and Tier 2 technical control implementation; agentic workflow threat modelling and taint tracing; HITL checkpoint architecture; MCP security and tool scope enforcement; agent observability and trajectory monitoring; policy-as-code design; pre-deployment testing frameworks for agentic systems.</w:t>
            </w:r>
          </w:p>
        </w:tc>
      </w:tr>
      <w:tr>
        <w:tc>
          <w:tcPr>
            <w:tcW w:type="dxa" w:w="12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vAlign w:val="top"/>
          </w:tcPr>
          <w:p>
            <w:r>
              <w:rPr>
                <w:rFonts w:ascii="Arial" w:cs="Arial" w:eastAsia="Arial" w:hAnsi="Arial"/>
                <w:b/>
                <w:bCs/>
                <w:color w:val="B91C1C"/>
                <w:sz w:val="20"/>
                <w:szCs w:val="20"/>
              </w:rPr>
              <w:t xml:space="preserve">Level 3</w:t>
            </w:r>
          </w:p>
        </w:tc>
        <w:tc>
          <w:tcPr>
            <w:tcW w:type="dxa" w:w="196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vAlign w:val="top"/>
          </w:tcPr>
          <w:p>
            <w:r>
              <w:rPr>
                <w:rFonts w:ascii="Arial" w:cs="Arial" w:eastAsia="Arial" w:hAnsi="Arial"/>
                <w:b/>
                <w:bCs/>
                <w:color w:val="1A1A1A"/>
                <w:sz w:val="20"/>
                <w:szCs w:val="20"/>
              </w:rPr>
              <w:t xml:space="preserve">SafeAI Certified Chief Architect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Senior technology leaders, enterprise architects, CISOs, and AI governance leads accountable for organisation-wide AI governance strategy, risk posture, and the architectural integrity of AI estates across multiple business units and regulatory domains.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Full-stack AI safety architecture; Tier 3 governance and AI safety stack design; AI-SPM and GAF deployment strategy; Safety Case methodology and HIL/SIL testing oversight; cross-system governance extensibility via policy-as-code; board-level AI risk reporting; regulatory alignment with IMDA, CSA, and MAS frameworks; incident governance and AI crisis management; multi-agent system risk architecture.</w:t>
            </w:r>
          </w:p>
        </w:tc>
      </w:tr>
    </w:tbl>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10.3  Academic Partnership Model</w:t>
      </w:r>
    </w:p>
    <w:p>
      <w:pPr>
        <w:spacing w:after="120" w:before="0"/>
      </w:pPr>
      <w:r>
        <w:rPr>
          <w:rFonts w:ascii="Arial" w:cs="Arial" w:eastAsia="Arial" w:hAnsi="Arial"/>
          <w:color w:val="1A1A1A"/>
          <w:sz w:val="22"/>
          <w:szCs w:val="22"/>
        </w:rPr>
        <w:t xml:space="preserve">Each certification level will be co-developed with at least one institute of higher learning partner, drawing on the academic partner's curriculum design expertise, research rigour, and accreditation infrastructure. The partnership model is structured so that:</w:t>
      </w:r>
    </w:p>
    <w:p>
      <w:pPr>
        <w:pStyle w:val="ListParagraph"/>
        <w:numPr>
          <w:ilvl w:val="0"/>
          <w:numId w:val="2"/>
        </w:numPr>
        <w:spacing w:after="80" w:before="0"/>
      </w:pPr>
      <w:r>
        <w:rPr>
          <w:rFonts w:ascii="Arial" w:cs="Arial" w:eastAsia="Arial" w:hAnsi="Arial"/>
          <w:color w:val="1A1A1A"/>
          <w:sz w:val="22"/>
          <w:szCs w:val="22"/>
        </w:rPr>
        <w:t xml:space="preserve">SafeAI.sg contributes the practitioner framework, the UARS methodology, the technical control specifications, real-world case studies, and access to the industry practitioner community as guest faculty and assessors.</w:t>
      </w:r>
    </w:p>
    <w:p>
      <w:pPr>
        <w:pStyle w:val="ListParagraph"/>
        <w:numPr>
          <w:ilvl w:val="0"/>
          <w:numId w:val="2"/>
        </w:numPr>
        <w:spacing w:after="80" w:before="0"/>
      </w:pPr>
      <w:r>
        <w:rPr>
          <w:rFonts w:ascii="Arial" w:cs="Arial" w:eastAsia="Arial" w:hAnsi="Arial"/>
          <w:color w:val="1A1A1A"/>
          <w:sz w:val="22"/>
          <w:szCs w:val="22"/>
        </w:rPr>
        <w:t xml:space="preserve">Academic partners contribute curriculum design, formal assessment frameworks, learning outcome validation, accreditation pathways, and the academic rigour required for programmes to qualify for SkillsFuture Enterprise Credit (SFEC), Continuing Education and Training (CET) funding, and where applicable, module credit recognition within degree programmes.</w:t>
      </w:r>
    </w:p>
    <w:p>
      <w:pPr>
        <w:pStyle w:val="ListParagraph"/>
        <w:numPr>
          <w:ilvl w:val="0"/>
          <w:numId w:val="2"/>
        </w:numPr>
        <w:spacing w:after="80" w:before="0"/>
      </w:pPr>
      <w:r>
        <w:rPr>
          <w:rFonts w:ascii="Arial" w:cs="Arial" w:eastAsia="Arial" w:hAnsi="Arial"/>
          <w:color w:val="1A1A1A"/>
          <w:sz w:val="22"/>
          <w:szCs w:val="22"/>
        </w:rPr>
        <w:t xml:space="preserve">Certification assessments will combine written examination components assessing framework knowledge, practical project components assessing real-world application of UARS and governance controls, and peer review components assessing the ability to evaluate and challenge governance decisions in a community setting.</w:t>
      </w:r>
    </w:p>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9.4  Alignment to National Skills Frameworks</w:t>
      </w:r>
    </w:p>
    <w:p>
      <w:pPr>
        <w:spacing w:after="120" w:before="0"/>
      </w:pPr>
      <w:r>
        <w:rPr>
          <w:rFonts w:ascii="Arial" w:cs="Arial" w:eastAsia="Arial" w:hAnsi="Arial"/>
          <w:color w:val="1A1A1A"/>
          <w:sz w:val="22"/>
          <w:szCs w:val="22"/>
        </w:rPr>
        <w:t xml:space="preserve">The SafeAI.sg certification programme is designed to align with Singapore's national skills development infrastructure, including the SkillsFuture Skills Framework for Infocomm Technology, the IBF Skills Framework for Financial Services, and the emerging AI governance and ethics competency frameworks being developed by IMDA and SSG. SafeAI.sg will actively engage with these bodies to seek recognition of its certification levels within the national qualifications landscape, and to ensure that certified professionals can map their SafeAI.sg credentials to recognised competency standards.</w:t>
      </w:r>
    </w:p>
    <w:p>
      <w:pPr>
        <w:spacing w:after="0" w:before="0"/>
      </w:pPr>
      <w:r>
        <w:rPr>
          <w:sz w:val="24"/>
          <w:szCs w:val="24"/>
        </w:rPr>
        <w:t xml:space="preserve"/>
      </w:r>
    </w:p>
    <w:p>
      <w:pPr>
        <w:pStyle w:val="Heading2"/>
        <w:spacing w:after="60" w:before="200"/>
      </w:pPr>
      <w:r>
        <w:rPr>
          <w:rFonts w:ascii="Arial" w:cs="Arial" w:eastAsia="Arial" w:hAnsi="Arial"/>
          <w:b/>
          <w:bCs/>
          <w:color w:val="1A1A1A"/>
          <w:sz w:val="24"/>
          <w:szCs w:val="24"/>
        </w:rPr>
        <w:t xml:space="preserve">9.5  Living Curriculum Commitment</w:t>
      </w:r>
    </w:p>
    <w:p>
      <w:pPr>
        <w:spacing w:after="120" w:before="0"/>
      </w:pPr>
      <w:r>
        <w:rPr>
          <w:rFonts w:ascii="Arial" w:cs="Arial" w:eastAsia="Arial" w:hAnsi="Arial"/>
          <w:color w:val="1A1A1A"/>
          <w:sz w:val="22"/>
          <w:szCs w:val="22"/>
        </w:rPr>
        <w:t xml:space="preserve">Given the pace of change in AI technology, governance requirements, and regulatory guidance, SafeAI.sg commits to a structured annual curriculum review for all certification levels, conducted jointly with academic partners and informed by Advisory Council feedback, real-world case studies contributed by the community, and material developments in the global AI safety research literature. Certified professionals will be expected to complete a structured continuing education requirement to maintain their certification, ensuring that credentials reflect current knowledge and not merely historical attainment.</w:t>
      </w:r>
    </w:p>
    <w:p>
      <w:pPr>
        <w:spacing w:after="0" w:before="0"/>
      </w:pPr>
      <w:r>
        <w:rPr>
          <w:sz w:val="32"/>
          <w:szCs w:val="32"/>
        </w:rPr>
        <w:t xml:space="preserve"/>
      </w:r>
    </w:p>
    <w:p>
      <w:pPr>
        <w:pStyle w:val="Heading1"/>
        <w:spacing w:after="80" w:before="240"/>
      </w:pPr>
      <w:r>
        <w:rPr>
          <w:rFonts w:ascii="Arial" w:cs="Arial" w:eastAsia="Arial" w:hAnsi="Arial"/>
          <w:b/>
          <w:bCs/>
          <w:color w:val="1B3A6B"/>
          <w:sz w:val="28"/>
          <w:szCs w:val="28"/>
        </w:rPr>
        <w:t xml:space="preserve">Part XI — Charter Administration</w:t>
      </w:r>
    </w:p>
    <w:p>
      <w:pPr>
        <w:pBdr>
          <w:bottom w:val="single" w:color="1B3A6B" w:sz="8" w:space="1"/>
        </w:pBdr>
        <w:spacing w:after="0" w:before="0"/>
      </w:pPr>
    </w:p>
    <w:p>
      <w:pPr>
        <w:spacing w:after="0" w:before="0"/>
      </w:pPr>
      <w:r>
        <w:rPr>
          <w:sz w:val="16"/>
          <w:szCs w:val="16"/>
        </w:rPr>
        <w:t xml:space="preserve"/>
      </w:r>
    </w:p>
    <w:p>
      <w:pPr>
        <w:pStyle w:val="Heading2"/>
        <w:spacing w:after="60" w:before="200"/>
      </w:pPr>
      <w:r>
        <w:rPr>
          <w:rFonts w:ascii="Arial" w:cs="Arial" w:eastAsia="Arial" w:hAnsi="Arial"/>
          <w:b/>
          <w:bCs/>
          <w:color w:val="1A1A1A"/>
          <w:sz w:val="24"/>
          <w:szCs w:val="24"/>
        </w:rPr>
        <w:t xml:space="preserve">11.1  Charter Review</w:t>
      </w:r>
    </w:p>
    <w:p>
      <w:pPr>
        <w:spacing w:after="120" w:before="0"/>
      </w:pPr>
      <w:r>
        <w:rPr>
          <w:rFonts w:ascii="Arial" w:cs="Arial" w:eastAsia="Arial" w:hAnsi="Arial"/>
          <w:color w:val="1A1A1A"/>
          <w:sz w:val="22"/>
          <w:szCs w:val="22"/>
        </w:rPr>
        <w:t xml:space="preserve">This Charter shall be reviewed by the Advisory Council at minimum annually and shall be updated to reflect material changes in the Centre's scope, structure, stakeholder composition, or operating environment. The version of this Charter in force at any time shall be the version most recently approved by the Advisory Council and published on the SafeAI.sg platform.</w:t>
      </w:r>
    </w:p>
    <w:p>
      <w:pPr>
        <w:pStyle w:val="Heading2"/>
        <w:spacing w:after="60" w:before="200"/>
      </w:pPr>
      <w:r>
        <w:rPr>
          <w:rFonts w:ascii="Arial" w:cs="Arial" w:eastAsia="Arial" w:hAnsi="Arial"/>
          <w:b/>
          <w:bCs/>
          <w:color w:val="1A1A1A"/>
          <w:sz w:val="24"/>
          <w:szCs w:val="24"/>
        </w:rPr>
        <w:t xml:space="preserve">11.2  Amendments</w:t>
      </w:r>
    </w:p>
    <w:p>
      <w:pPr>
        <w:spacing w:after="120" w:before="0"/>
      </w:pPr>
      <w:r>
        <w:rPr>
          <w:rFonts w:ascii="Arial" w:cs="Arial" w:eastAsia="Arial" w:hAnsi="Arial"/>
          <w:color w:val="1A1A1A"/>
          <w:sz w:val="22"/>
          <w:szCs w:val="22"/>
        </w:rPr>
        <w:t xml:space="preserve">Amendments to this Charter may be proposed by the SPARK by CIO Academy Asia executive team or by any Advisory Council member. Proposed amendments shall be circulated to the full Advisory Council at least 30 days before a formal meeting, and shall require the agreement of a majority of Advisory Council members present at that meeting to take effect.</w:t>
      </w:r>
    </w:p>
    <w:p>
      <w:pPr>
        <w:pStyle w:val="Heading2"/>
        <w:spacing w:after="60" w:before="200"/>
      </w:pPr>
      <w:r>
        <w:rPr>
          <w:rFonts w:ascii="Arial" w:cs="Arial" w:eastAsia="Arial" w:hAnsi="Arial"/>
          <w:b/>
          <w:bCs/>
          <w:color w:val="1A1A1A"/>
          <w:sz w:val="24"/>
          <w:szCs w:val="24"/>
        </w:rPr>
        <w:t xml:space="preserve">11.3  Effective Date</w:t>
      </w:r>
    </w:p>
    <w:p>
      <w:pPr>
        <w:spacing w:after="120" w:before="0"/>
      </w:pPr>
      <w:r>
        <w:rPr>
          <w:rFonts w:ascii="Arial" w:cs="Arial" w:eastAsia="Arial" w:hAnsi="Arial"/>
          <w:color w:val="1A1A1A"/>
          <w:sz w:val="22"/>
          <w:szCs w:val="22"/>
        </w:rPr>
        <w:t xml:space="preserve">This Charter takes effect upon adoption by the founding Advisory Council and shall remain in force until superseded by a subsequent version approved in accordance with the amendment process set out above.</w:t>
      </w:r>
    </w:p>
    <w:p>
      <w:pPr>
        <w:spacing w:after="0" w:before="0"/>
      </w:pPr>
      <w:r>
        <w:rPr>
          <w:sz w:val="48"/>
          <w:szCs w:val="48"/>
        </w:rPr>
        <w:t xml:space="preserve"/>
      </w:r>
    </w:p>
    <w:p>
      <w:pPr>
        <w:pBdr>
          <w:bottom w:val="single" w:color="CCCCCC" w:sz="4" w:space="1"/>
        </w:pBdr>
        <w:spacing w:after="0" w:before="0"/>
      </w:pPr>
    </w:p>
    <w:p>
      <w:pPr>
        <w:spacing w:after="0" w:before="0"/>
      </w:pPr>
      <w:r>
        <w:rPr>
          <w:sz w:val="16"/>
          <w:szCs w:val="16"/>
        </w:rPr>
        <w:t xml:space="preserve"/>
      </w:r>
    </w:p>
    <w:p>
      <w:pPr>
        <w:spacing w:after="40" w:before="0"/>
        <w:jc w:val="center"/>
      </w:pPr>
      <w:r>
        <w:rPr>
          <w:rFonts w:ascii="Arial" w:cs="Arial" w:eastAsia="Arial" w:hAnsi="Arial"/>
          <w:b/>
          <w:bCs/>
          <w:color w:val="1B3A6B"/>
          <w:sz w:val="24"/>
          <w:szCs w:val="24"/>
        </w:rPr>
        <w:t xml:space="preserve">SafeAI.sg Centre of Excellence</w:t>
      </w:r>
    </w:p>
    <w:p>
      <w:pPr>
        <w:spacing w:after="40" w:before="0"/>
        <w:jc w:val="center"/>
      </w:pPr>
      <w:r>
        <w:rPr>
          <w:rFonts w:ascii="Arial" w:cs="Arial" w:eastAsia="Arial" w:hAnsi="Arial"/>
          <w:color w:val="777777"/>
          <w:sz w:val="22"/>
          <w:szCs w:val="22"/>
        </w:rPr>
        <w:t xml:space="preserve">Established by SPARK by CIO Academy Asia</w:t>
      </w:r>
    </w:p>
    <w:p>
      <w:pPr>
        <w:spacing w:after="40" w:before="0"/>
        <w:jc w:val="center"/>
      </w:pPr>
      <w:r>
        <w:rPr>
          <w:rFonts w:ascii="Arial" w:cs="Arial" w:eastAsia="Arial" w:hAnsi="Arial"/>
          <w:color w:val="777777"/>
          <w:sz w:val="22"/>
          <w:szCs w:val="22"/>
        </w:rPr>
        <w:t xml:space="preserve">Punggol Digital District  ·  Singapore</w:t>
      </w:r>
    </w:p>
    <w:p>
      <w:pPr>
        <w:spacing w:after="0" w:before="0"/>
        <w:jc w:val="center"/>
      </w:pPr>
      <w:r>
        <w:rPr>
          <w:rFonts w:ascii="Arial" w:cs="Arial" w:eastAsia="Arial" w:hAnsi="Arial"/>
          <w:color w:val="1B3A6B"/>
          <w:sz w:val="20"/>
          <w:szCs w:val="20"/>
        </w:rPr>
        <w:t xml:space="preserve">david@wahspark.com  ·  safeai.sg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80"/>
    </w:pPr>
    <w:r>
      <w:rPr>
        <w:rFonts w:ascii="Arial" w:cs="Arial" w:eastAsia="Arial" w:hAnsi="Arial"/>
        <w:color w:val="777777"/>
        <w:sz w:val="16"/>
        <w:szCs w:val="16"/>
      </w:rPr>
      <w:t xml:space="preserve">CONFIDENTIAL  ·  NOT FOR DISTRIBUTION</w:t>
    </w:r>
    <w:r>
      <w:rPr>
        <w:rFonts w:ascii="Arial" w:cs="Arial" w:eastAsia="Arial" w:hAnsi="Arial"/>
        <w:color w:val="777777"/>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tabs>
        <w:tab w:val="right" w:pos="9026"/>
      </w:tabs>
      <w:spacing w:after="80" w:before="0"/>
    </w:pPr>
    <w:r>
      <w:rPr>
        <w:rFonts w:ascii="Arial" w:cs="Arial" w:eastAsia="Arial" w:hAnsi="Arial"/>
        <w:b/>
        <w:bCs/>
        <w:color w:val="1B3A6B"/>
        <w:sz w:val="18"/>
        <w:szCs w:val="18"/>
      </w:rPr>
      <w:t xml:space="preserve">SafeAI.sg Centre of Excellence</w:t>
    </w:r>
    <w:r>
      <w:rPr>
        <w:rFonts w:ascii="Arial" w:cs="Arial" w:eastAsia="Arial" w:hAnsi="Arial"/>
        <w:color w:val="777777"/>
        <w:sz w:val="18"/>
        <w:szCs w:val="18"/>
      </w:rPr>
      <w:t xml:space="preserve">	Advisory Council Charter  ·  Founding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B3A6B"/>
      <w:sz w:val="28"/>
      <w:szCs w:val="28"/>
    </w:rPr>
  </w:style>
  <w:style w:type="paragraph" w:styleId="Heading2">
    <w:name w:val="Heading 2"/>
    <w:basedOn w:val="Normal"/>
    <w:next w:val="Normal"/>
    <w:qFormat/>
    <w:pPr>
      <w:spacing w:after="60" w:before="2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2026-04-29T06:09:13.222Z</dcterms:created>
  <dcterms:modified xsi:type="dcterms:W3CDTF">2026-04-29T06:09:13.223Z</dcterms:modified>
</cp:coreProperties>
</file>

<file path=docProps/custom.xml><?xml version="1.0" encoding="utf-8"?>
<Properties xmlns="http://schemas.openxmlformats.org/officeDocument/2006/custom-properties" xmlns:vt="http://schemas.openxmlformats.org/officeDocument/2006/docPropsVTypes"/>
</file>