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center"/>
      </w:pPr>
      <w:r>
        <w:rPr>
          <w:rFonts w:ascii="Times New Roman" w:hAnsi="Times New Roman" w:eastAsia="宋体"/>
          <w:b/>
          <w:color w:val="000000"/>
          <w:sz w:val="44"/>
        </w:rPr>
        <w:t>语言课程设计报告</w:t>
      </w:r>
    </w:p>
    <w:p>
      <w:pPr>
        <w:spacing w:after="280"/>
        <w:jc w:val="center"/>
      </w:pPr>
      <w:r>
        <w:rPr>
          <w:rFonts w:ascii="Times New Roman" w:hAnsi="Times New Roman" w:eastAsia="宋体"/>
          <w:b/>
          <w:color w:val="000000"/>
          <w:sz w:val="28"/>
        </w:rPr>
        <w:t>银行储蓄管理系统</w:t>
      </w:r>
    </w:p>
    <w:tbl>
      <w:tblPr>
        <w:tblW w:w="0" w:type="auto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1E0" w:firstRow="1" w:lastRow="1" w:firstColumn="1" w:lastColumn="1" w:noHBand="0" w:noVBand="0"/>
      </w:tblPr>
      <w:tblGrid>
        <w:gridCol w:w="1820"/>
        <w:gridCol w:w="106"/>
        <w:gridCol w:w="2051"/>
        <w:gridCol w:w="1523"/>
        <w:gridCol w:w="4092"/>
      </w:tblGrid>
      <w:tr w:rsidR="00DF5F51" w14:paraId="63C3890C" w14:textId="77777777" w:rsidTr="00DF5F51">
        <w:tc>
          <w:tcPr>
            <w:tcW w:w="1926" w:type="dxa"/>
            <w:gridSpan w:val="2"/>
          </w:tcPr>
          <w:p w14:paraId="18B44EFC" w14:textId="77777777" w:rsidR="004E2E9D" w:rsidRPr="006F59D6" w:rsidRDefault="004E2E9D" w:rsidP="006F59D6">
            <w:pPr>
              <w:jc w:val="center"/>
              <w:rPr>
                <w:caps/>
              </w:rPr>
            </w:pPr>
            <w:r w:rsidRPr="006F59D6">
              <w:rPr>
                <w:rFonts w:hint="eastAsia"/>
                <w:caps/>
              </w:rPr>
              <w:t>姓</w:t>
            </w:r>
            <w:r w:rsidRPr="006F59D6">
              <w:rPr>
                <w:rFonts w:hint="eastAsia"/>
                <w:caps/>
              </w:rPr>
              <w:t xml:space="preserve">   </w:t>
            </w:r>
            <w:r w:rsidRPr="006F59D6">
              <w:rPr>
                <w:rFonts w:hint="eastAsia"/>
                <w:caps/>
              </w:rPr>
              <w:t>名</w:t>
            </w:r>
          </w:p>
        </w:tc>
        <w:tc>
          <w:tcPr>
            <w:tcW w:w="2051" w:type="dxa"/>
            <w:tcBorders>
              <w:right w:val="single" w:sz="8" w:space="0" w:color="auto"/>
            </w:tcBorders>
          </w:tcPr>
          <w:p w14:paraId="5846C5C1" w14:textId="77777777" w:rsidR="004E2E9D" w:rsidRPr="006F59D6" w:rsidRDefault="004E2E9D" w:rsidP="006F59D6">
            <w:pPr>
              <w:jc w:val="center"/>
              <w:rPr>
                <w:caps/>
              </w:rPr>
            </w:pPr>
          </w:p>
        </w:tc>
        <w:tc>
          <w:tcPr>
            <w:tcW w:w="1523" w:type="dxa"/>
            <w:tcBorders>
              <w:left w:val="single" w:sz="8" w:space="0" w:color="auto"/>
            </w:tcBorders>
          </w:tcPr>
          <w:p w14:paraId="2E1D5D66" w14:textId="77777777" w:rsidR="004E2E9D" w:rsidRPr="006F59D6" w:rsidRDefault="001F6186" w:rsidP="006F59D6">
            <w:pPr>
              <w:jc w:val="center"/>
              <w:rPr>
                <w:caps/>
              </w:rPr>
            </w:pPr>
            <w:r w:rsidRPr="006F59D6">
              <w:rPr>
                <w:rFonts w:hint="eastAsia"/>
                <w:caps/>
              </w:rPr>
              <w:t>程</w:t>
            </w:r>
            <w:r w:rsidRPr="006F59D6">
              <w:rPr>
                <w:rFonts w:hint="eastAsia"/>
                <w:caps/>
              </w:rPr>
              <w:t xml:space="preserve"> </w:t>
            </w:r>
            <w:r w:rsidRPr="006F59D6">
              <w:rPr>
                <w:rFonts w:hint="eastAsia"/>
                <w:caps/>
              </w:rPr>
              <w:t>序</w:t>
            </w:r>
          </w:p>
        </w:tc>
        <w:tc>
          <w:tcPr>
            <w:tcW w:w="4092" w:type="dxa"/>
          </w:tcPr>
          <w:p w14:paraId="3794D531" w14:textId="77777777" w:rsidR="004E2E9D" w:rsidRPr="006F59D6" w:rsidRDefault="0096327F" w:rsidP="00D45463">
            <w:pPr>
              <w:rPr>
                <w:caps/>
              </w:rPr>
            </w:pPr>
            <w:r>
              <w:rPr>
                <w:rFonts w:hint="eastAsia"/>
                <w:caps/>
              </w:rPr>
              <w:t>满分</w:t>
            </w:r>
            <w:r>
              <w:rPr>
                <w:rFonts w:hint="eastAsia"/>
                <w:caps/>
              </w:rPr>
              <w:t xml:space="preserve">  </w:t>
            </w:r>
            <w:r w:rsidR="00D45463" w:rsidRPr="006F59D6">
              <w:rPr>
                <w:rFonts w:hint="eastAsia"/>
                <w:caps/>
              </w:rPr>
              <w:t>优</w:t>
            </w:r>
            <w:r w:rsidR="00D45463" w:rsidRPr="006F59D6">
              <w:rPr>
                <w:rFonts w:hint="eastAsia"/>
                <w:caps/>
              </w:rPr>
              <w:t xml:space="preserve">   </w:t>
            </w:r>
            <w:r w:rsidR="00D45463" w:rsidRPr="006F59D6">
              <w:rPr>
                <w:rFonts w:hint="eastAsia"/>
                <w:caps/>
              </w:rPr>
              <w:t>良</w:t>
            </w:r>
            <w:r w:rsidR="00D45463" w:rsidRPr="006F59D6">
              <w:rPr>
                <w:rFonts w:hint="eastAsia"/>
                <w:caps/>
              </w:rPr>
              <w:t xml:space="preserve">   </w:t>
            </w:r>
            <w:r w:rsidR="00D45463" w:rsidRPr="006F59D6">
              <w:rPr>
                <w:rFonts w:hint="eastAsia"/>
                <w:caps/>
              </w:rPr>
              <w:t>中</w:t>
            </w:r>
            <w:r w:rsidR="00D45463" w:rsidRPr="006F59D6">
              <w:rPr>
                <w:rFonts w:hint="eastAsia"/>
                <w:caps/>
              </w:rPr>
              <w:t xml:space="preserve">   </w:t>
            </w:r>
            <w:r w:rsidR="00D45463" w:rsidRPr="006F59D6">
              <w:rPr>
                <w:rFonts w:hint="eastAsia"/>
                <w:caps/>
              </w:rPr>
              <w:t>及格</w:t>
            </w:r>
            <w:r w:rsidR="00D45463" w:rsidRPr="006F59D6">
              <w:rPr>
                <w:rFonts w:hint="eastAsia"/>
                <w:caps/>
              </w:rPr>
              <w:t xml:space="preserve">   </w:t>
            </w:r>
            <w:r w:rsidR="00D45463" w:rsidRPr="006F59D6">
              <w:rPr>
                <w:rFonts w:hint="eastAsia"/>
                <w:caps/>
              </w:rPr>
              <w:t>不及格</w:t>
            </w:r>
            <w:r w:rsidR="00D45463" w:rsidRPr="006F59D6">
              <w:rPr>
                <w:rFonts w:hint="eastAsia"/>
                <w:caps/>
              </w:rPr>
              <w:t xml:space="preserve"> </w:t>
            </w:r>
          </w:p>
        </w:tc>
      </w:tr>
      <w:tr w:rsidR="00DF5F51" w14:paraId="7571B2E1" w14:textId="77777777" w:rsidTr="00DF5F51">
        <w:trPr/>
        <w:tc>
          <w:tcPr>
            <w:tcW w:w="1926" w:type="dxa"/>
            <w:gridSpan w:val="2"/>
            <w:tcBorders>
              <w:bottom w:val="single" w:sz="4" w:space="0" w:color="auto"/>
            </w:tcBorders>
          </w:tcPr>
          <w:p w14:paraId="5F6D7FCD" w14:textId="77777777" w:rsidR="001F6186" w:rsidRDefault="001F6186" w:rsidP="006F59D6">
            <w:pPr>
              <w:jc w:val="center"/>
            </w:pPr>
            <w:r>
              <w:rPr>
                <w:rFonts w:hint="eastAsia"/>
              </w:rPr>
              <w:t>学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号</w:t>
            </w:r>
          </w:p>
        </w:tc>
        <w:tc>
          <w:tcPr>
            <w:tcW w:w="2051" w:type="dxa"/>
            <w:tcBorders>
              <w:bottom w:val="single" w:sz="4" w:space="0" w:color="auto"/>
              <w:right w:val="single" w:sz="8" w:space="0" w:color="auto"/>
            </w:tcBorders>
          </w:tcPr>
          <w:p w14:paraId="06CCD1A3" w14:textId="77777777" w:rsidR="001F6186" w:rsidRDefault="001F6186" w:rsidP="00EA62FA"/>
        </w:tc>
        <w:tc>
          <w:tcPr>
            <w:tcW w:w="1523" w:type="dxa"/>
            <w:tcBorders>
              <w:left w:val="single" w:sz="8" w:space="0" w:color="auto"/>
              <w:bottom w:val="single" w:sz="4" w:space="0" w:color="auto"/>
            </w:tcBorders>
          </w:tcPr>
          <w:p w14:paraId="7A931ED9" w14:textId="77777777" w:rsidR="001F6186" w:rsidRDefault="001F6186" w:rsidP="006F59D6">
            <w:pPr>
              <w:jc w:val="center"/>
            </w:pPr>
            <w:r>
              <w:rPr>
                <w:rFonts w:hint="eastAsia"/>
              </w:rPr>
              <w:t>文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档</w:t>
            </w:r>
          </w:p>
        </w:tc>
        <w:tc>
          <w:tcPr>
            <w:tcW w:w="4092" w:type="dxa"/>
            <w:tcBorders>
              <w:bottom w:val="single" w:sz="4" w:space="0" w:color="auto"/>
            </w:tcBorders>
          </w:tcPr>
          <w:p w14:paraId="7913535B" w14:textId="77777777" w:rsidR="001F6186" w:rsidRDefault="0096327F" w:rsidP="00D45463">
            <w:r>
              <w:rPr>
                <w:rFonts w:hint="eastAsia"/>
                <w:caps/>
              </w:rPr>
              <w:t>满分</w:t>
            </w:r>
            <w:r>
              <w:rPr>
                <w:rFonts w:hint="eastAsia"/>
                <w:caps/>
              </w:rPr>
              <w:t xml:space="preserve">  </w:t>
            </w:r>
            <w:r w:rsidR="00D45463">
              <w:rPr>
                <w:rFonts w:hint="eastAsia"/>
              </w:rPr>
              <w:t>优</w:t>
            </w:r>
            <w:r w:rsidR="00D45463">
              <w:rPr>
                <w:rFonts w:hint="eastAsia"/>
              </w:rPr>
              <w:t xml:space="preserve">   </w:t>
            </w:r>
            <w:r w:rsidR="00D45463">
              <w:rPr>
                <w:rFonts w:hint="eastAsia"/>
              </w:rPr>
              <w:t>良</w:t>
            </w:r>
            <w:r w:rsidR="00D45463">
              <w:rPr>
                <w:rFonts w:hint="eastAsia"/>
              </w:rPr>
              <w:t xml:space="preserve">   </w:t>
            </w:r>
            <w:r w:rsidR="00D45463">
              <w:rPr>
                <w:rFonts w:hint="eastAsia"/>
              </w:rPr>
              <w:t>中</w:t>
            </w:r>
            <w:r w:rsidR="00D45463">
              <w:rPr>
                <w:rFonts w:hint="eastAsia"/>
              </w:rPr>
              <w:t xml:space="preserve">   </w:t>
            </w:r>
            <w:r w:rsidR="00D45463">
              <w:rPr>
                <w:rFonts w:hint="eastAsia"/>
              </w:rPr>
              <w:t>及格</w:t>
            </w:r>
            <w:r w:rsidR="00D45463">
              <w:rPr>
                <w:rFonts w:hint="eastAsia"/>
              </w:rPr>
              <w:t xml:space="preserve">   </w:t>
            </w:r>
            <w:r w:rsidR="00D45463">
              <w:rPr>
                <w:rFonts w:hint="eastAsia"/>
              </w:rPr>
              <w:t>不及格</w:t>
            </w:r>
            <w:r w:rsidR="00D45463">
              <w:rPr>
                <w:rFonts w:hint="eastAsia"/>
              </w:rPr>
              <w:t xml:space="preserve"> </w:t>
            </w:r>
          </w:p>
        </w:tc>
      </w:tr>
      <w:tr w:rsidR="00DF5F51" w14:paraId="721305CB" w14:textId="77777777" w:rsidTr="00DF5F51">
        <w:trPr/>
        <w:tc>
          <w:tcPr>
            <w:tcW w:w="192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5E86670" w14:textId="77777777" w:rsidR="001F6186" w:rsidRDefault="001F6186" w:rsidP="006F59D6">
            <w:pPr>
              <w:jc w:val="center"/>
            </w:pPr>
            <w:r>
              <w:rPr>
                <w:rFonts w:hint="eastAsia"/>
              </w:rPr>
              <w:t>专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业</w:t>
            </w:r>
          </w:p>
        </w:tc>
        <w:tc>
          <w:tcPr>
            <w:tcW w:w="2051" w:type="dxa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FAEA489" w14:textId="77777777" w:rsidR="001F6186" w:rsidRDefault="001F6186" w:rsidP="00EA62FA"/>
        </w:tc>
        <w:tc>
          <w:tcPr>
            <w:tcW w:w="152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</w:tcPr>
          <w:p w14:paraId="49EB1168" w14:textId="77777777" w:rsidR="001F6186" w:rsidRDefault="001F6186" w:rsidP="006F59D6">
            <w:pPr>
              <w:jc w:val="center"/>
            </w:pPr>
            <w:r>
              <w:rPr>
                <w:rFonts w:hint="eastAsia"/>
              </w:rPr>
              <w:t>平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时</w:t>
            </w:r>
          </w:p>
        </w:tc>
        <w:tc>
          <w:tcPr>
            <w:tcW w:w="4092" w:type="dxa"/>
            <w:tcBorders>
              <w:top w:val="single" w:sz="4" w:space="0" w:color="auto"/>
              <w:bottom w:val="single" w:sz="4" w:space="0" w:color="auto"/>
            </w:tcBorders>
          </w:tcPr>
          <w:p w14:paraId="5A07A35D" w14:textId="77777777" w:rsidR="001F6186" w:rsidRDefault="0096327F" w:rsidP="00D45463">
            <w:r>
              <w:rPr>
                <w:rFonts w:hint="eastAsia"/>
                <w:caps/>
              </w:rPr>
              <w:t>满分</w:t>
            </w:r>
            <w:r>
              <w:rPr>
                <w:rFonts w:hint="eastAsia"/>
                <w:caps/>
              </w:rPr>
              <w:t xml:space="preserve">  </w:t>
            </w:r>
            <w:r w:rsidR="00D45463">
              <w:rPr>
                <w:rFonts w:hint="eastAsia"/>
              </w:rPr>
              <w:t>优</w:t>
            </w:r>
            <w:r w:rsidR="00D45463">
              <w:rPr>
                <w:rFonts w:hint="eastAsia"/>
              </w:rPr>
              <w:t xml:space="preserve">   </w:t>
            </w:r>
            <w:r w:rsidR="00D45463">
              <w:rPr>
                <w:rFonts w:hint="eastAsia"/>
              </w:rPr>
              <w:t>良</w:t>
            </w:r>
            <w:r w:rsidR="00D45463">
              <w:rPr>
                <w:rFonts w:hint="eastAsia"/>
              </w:rPr>
              <w:t xml:space="preserve">   </w:t>
            </w:r>
            <w:r w:rsidR="00D45463">
              <w:rPr>
                <w:rFonts w:hint="eastAsia"/>
              </w:rPr>
              <w:t>中</w:t>
            </w:r>
            <w:r w:rsidR="00D45463">
              <w:rPr>
                <w:rFonts w:hint="eastAsia"/>
              </w:rPr>
              <w:t xml:space="preserve">   </w:t>
            </w:r>
            <w:r w:rsidR="00D45463">
              <w:rPr>
                <w:rFonts w:hint="eastAsia"/>
              </w:rPr>
              <w:t>及格</w:t>
            </w:r>
            <w:r w:rsidR="00D45463">
              <w:rPr>
                <w:rFonts w:hint="eastAsia"/>
              </w:rPr>
              <w:t xml:space="preserve">   </w:t>
            </w:r>
            <w:r w:rsidR="00D45463">
              <w:rPr>
                <w:rFonts w:hint="eastAsia"/>
              </w:rPr>
              <w:t>不及格</w:t>
            </w:r>
            <w:r w:rsidR="00D45463">
              <w:rPr>
                <w:rFonts w:hint="eastAsia"/>
              </w:rPr>
              <w:t xml:space="preserve"> </w:t>
            </w:r>
          </w:p>
        </w:tc>
      </w:tr>
      <w:tr w:rsidR="00DF5F51" w14:paraId="010561E2" w14:textId="77777777" w:rsidTr="00DF5F51">
        <w:trPr/>
        <w:tc>
          <w:tcPr>
            <w:tcW w:w="192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ED222DF" w14:textId="77777777" w:rsidR="00E71F0C" w:rsidRDefault="00E71F0C" w:rsidP="006F59D6">
            <w:pPr>
              <w:jc w:val="center"/>
            </w:pPr>
            <w:r>
              <w:rPr>
                <w:rFonts w:hint="eastAsia"/>
              </w:rPr>
              <w:t>起始日期</w:t>
            </w:r>
          </w:p>
        </w:tc>
        <w:tc>
          <w:tcPr>
            <w:tcW w:w="2051" w:type="dxa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E90B508" w14:textId="77777777" w:rsidR="00E71F0C" w:rsidRDefault="00E71F0C" w:rsidP="006F59D6">
            <w:pPr>
              <w:jc w:val="center"/>
            </w:pPr>
            <w:r>
              <w:rPr>
                <w:rFonts w:hint="eastAsia"/>
              </w:rPr>
              <w:t xml:space="preserve">20  </w:t>
            </w:r>
            <w:r w:rsidR="00251E03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</w:t>
            </w:r>
            <w:r w:rsidR="00251E03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月</w:t>
            </w:r>
          </w:p>
        </w:tc>
        <w:tc>
          <w:tcPr>
            <w:tcW w:w="1523" w:type="dxa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507DBC96" w14:textId="77777777" w:rsidR="00E71F0C" w:rsidRDefault="00E71F0C" w:rsidP="006F59D6">
            <w:pPr>
              <w:jc w:val="center"/>
            </w:pPr>
            <w:r>
              <w:rPr>
                <w:rFonts w:hint="eastAsia"/>
              </w:rPr>
              <w:t>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评</w:t>
            </w:r>
          </w:p>
        </w:tc>
        <w:tc>
          <w:tcPr>
            <w:tcW w:w="4092" w:type="dxa"/>
            <w:vMerge w:val="restart"/>
            <w:tcBorders>
              <w:top w:val="single" w:sz="4" w:space="0" w:color="auto"/>
            </w:tcBorders>
          </w:tcPr>
          <w:p w14:paraId="02B8A7AE" w14:textId="77777777" w:rsidR="00E71F0C" w:rsidRDefault="00E71F0C" w:rsidP="006F59D6">
            <w:pPr>
              <w:jc w:val="center"/>
            </w:pPr>
          </w:p>
        </w:tc>
      </w:tr>
      <w:tr w:rsidR="00DF5F51" w14:paraId="27C73BCC" w14:textId="77777777" w:rsidTr="00DF5F51">
        <w:trPr/>
        <w:tc>
          <w:tcPr>
            <w:tcW w:w="1926" w:type="dxa"/>
            <w:gridSpan w:val="2"/>
            <w:tcBorders>
              <w:bottom w:val="single" w:sz="12" w:space="0" w:color="auto"/>
            </w:tcBorders>
          </w:tcPr>
          <w:p w14:paraId="4688B9E6" w14:textId="77777777" w:rsidR="00E71F0C" w:rsidRDefault="00E71F0C" w:rsidP="006F59D6">
            <w:pPr>
              <w:jc w:val="center"/>
            </w:pPr>
            <w:r>
              <w:rPr>
                <w:rFonts w:hint="eastAsia"/>
              </w:rPr>
              <w:t>终止日期</w:t>
            </w:r>
          </w:p>
        </w:tc>
        <w:tc>
          <w:tcPr>
            <w:tcW w:w="2051" w:type="dxa"/>
            <w:tcBorders>
              <w:bottom w:val="single" w:sz="12" w:space="0" w:color="auto"/>
              <w:right w:val="single" w:sz="8" w:space="0" w:color="auto"/>
            </w:tcBorders>
          </w:tcPr>
          <w:p w14:paraId="06509022" w14:textId="77777777" w:rsidR="00E71F0C" w:rsidRDefault="00E71F0C" w:rsidP="006F59D6">
            <w:pPr>
              <w:jc w:val="center"/>
            </w:pPr>
            <w:r>
              <w:rPr>
                <w:rFonts w:hint="eastAsia"/>
              </w:rPr>
              <w:t>20</w:t>
            </w:r>
            <w:r w:rsidR="00251E03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年</w:t>
            </w:r>
            <w:r w:rsidR="00251E03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月</w:t>
            </w:r>
          </w:p>
        </w:tc>
        <w:tc>
          <w:tcPr>
            <w:tcW w:w="1523" w:type="dxa"/>
            <w:vMerge/>
            <w:tcBorders>
              <w:left w:val="single" w:sz="8" w:space="0" w:color="auto"/>
              <w:bottom w:val="single" w:sz="12" w:space="0" w:color="auto"/>
            </w:tcBorders>
          </w:tcPr>
          <w:p w14:paraId="5BB61814" w14:textId="77777777" w:rsidR="00E71F0C" w:rsidRDefault="00E71F0C" w:rsidP="006F59D6">
            <w:pPr>
              <w:jc w:val="center"/>
            </w:pPr>
          </w:p>
        </w:tc>
        <w:tc>
          <w:tcPr>
            <w:tcW w:w="4092" w:type="dxa"/>
            <w:vMerge/>
            <w:tcBorders>
              <w:bottom w:val="single" w:sz="12" w:space="0" w:color="auto"/>
            </w:tcBorders>
          </w:tcPr>
          <w:p w14:paraId="73C6AC27" w14:textId="77777777" w:rsidR="00E71F0C" w:rsidRDefault="00E71F0C" w:rsidP="006F59D6">
            <w:pPr>
              <w:jc w:val="center"/>
            </w:pPr>
          </w:p>
        </w:tc>
      </w:tr>
      <w:tr w:rsidR="00D45463" w14:paraId="3E4C2232" w14:textId="77777777" w:rsidTr="00DF5F51">
        <w:trPr/>
        <w:tc>
          <w:tcPr>
            <w:tcW w:w="9592" w:type="dxa"/>
            <w:gridSpan w:val="5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14DBCAE" w14:textId="77777777" w:rsidR="00D45463" w:rsidRPr="006F59D6" w:rsidRDefault="00D45463" w:rsidP="006F59D6">
            <w:pPr>
              <w:jc w:val="center"/>
              <w:rPr>
                <w:rFonts w:ascii="黑体" w:eastAsia="黑体"/>
                <w:sz w:val="44"/>
                <w:szCs w:val="44"/>
              </w:rPr>
            </w:pPr>
            <w:r w:rsidRPr="006F59D6">
              <w:rPr>
                <w:rFonts w:ascii="黑体" w:eastAsia="黑体" w:hint="eastAsia"/>
                <w:sz w:val="44"/>
                <w:szCs w:val="44"/>
              </w:rPr>
              <w:t>设  计  文  档</w:t>
            </w:r>
          </w:p>
        </w:tc>
      </w:tr>
      <w:tr w:rsidR="004E2E9D" w14:paraId="4E07F302" w14:textId="77777777" w:rsidTr="006711BA">
        <w:trPr/>
        <w:tc>
          <w:tcPr>
            <w:tcW w:w="182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9C8C0D8" w14:textId="77777777" w:rsidR="004E2E9D" w:rsidRDefault="004E2E9D" w:rsidP="006F59D6">
            <w:pPr>
              <w:jc w:val="center"/>
            </w:pPr>
            <w:r>
              <w:rPr>
                <w:rFonts w:hint="eastAsia"/>
              </w:rPr>
              <w:t>设计</w:t>
            </w:r>
            <w:r w:rsidR="00223CFF">
              <w:rPr>
                <w:rFonts w:hint="eastAsia"/>
              </w:rPr>
              <w:t>任务</w:t>
            </w:r>
          </w:p>
        </w:tc>
        <w:tc>
          <w:tcPr>
            <w:tcW w:w="7772" w:type="dxa"/>
            <w:gridSpan w:val="4"/>
            <w:tcBorders>
              <w:top w:val="single" w:sz="12" w:space="0" w:color="auto"/>
              <w:bottom w:val="single" w:sz="4" w:space="0" w:color="auto"/>
            </w:tcBorders>
            <w:vAlign w:val="top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/>
              <w:keepLines/>
              <w:spacing w:line="324" w:lineRule="auto" w:after="120" w:before="80"/>
              <w:jc w:val="both"/>
            </w:pPr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课题名称  银行储蓄管理系统</w:t>
            </w:r>
          </w:p>
          <w:p>
            <w:pPr>
              <w:keepNext w:val="0"/>
              <w:keepLines/>
              <w:spacing w:line="324" w:lineRule="auto" w:after="120" w:before="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本课程设计采用 C++17 与 Qt Widgets，实现面向营业员和储户的桌面储蓄管理程序。系统用类与对象组织储户资料、独立定期存款及交易记录，并通过文件保存和恢复业务数据。</w:t>
            </w:r>
          </w:p>
          <w:p>
            <w:pPr>
              <w:keepNext w:val="0"/>
              <w:keepLines/>
              <w:spacing w:line="324" w:lineRule="auto" w:after="120" w:before="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按照题目要求，实现开户、账号密码登录、资料与密码修改、账户挂失、存取款、储户查询和交易明细显示；支持一年、三年、五年定期存款，年利率分别为 1.98%、2.25% 和 3.50%。</w:t>
            </w:r>
          </w:p>
          <w:p>
            <w:pPr>
              <w:keepNext w:val="0"/>
              <w:keepLines/>
              <w:spacing w:line="324" w:lineRule="auto" w:after="120" w:before="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在基本功能之上，实现部分支取、提前与到期计息、未来三日备款统计、解除挂失、营业员审计和异常保存保护。通过图形界面及自动测试验证正常业务、边界输入与文件异常情况下的结果。</w:t>
            </w:r>
          </w:p>
        </w:tc>
      </w:tr>
    </w:tbl>
    <w:p>
      <w:pPr>
        <w:spacing w:after="0" w:before="0" w:line="20" w:lineRule="exact"/>
      </w:pPr>
      <w:r>
        <w:br w:type="page"/>
      </w:r>
    </w:p>
    <w:tbl>
      <w:tblPr>
        <w:tblW w:w="0" w:type="auto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1E0" w:firstRow="1" w:lastRow="1" w:firstColumn="1" w:lastColumn="1" w:noHBand="0" w:noVBand="0"/>
      </w:tblPr>
      <w:tblGrid>
        <w:gridCol w:w="1820"/>
        <w:gridCol w:w="106"/>
        <w:gridCol w:w="2051"/>
        <w:gridCol w:w="1523"/>
        <w:gridCol w:w="4092"/>
      </w:tblGrid>
      <w:tr w:rsidR="004E2E9D" w14:paraId="79EDA54B" w14:textId="77777777" w:rsidTr="006711BA">
        <w:trPr/>
        <w:tc>
          <w:tcPr>
            <w:tcW w:w="1820" w:type="dxa"/>
            <w:tcBorders>
              <w:top w:val="single" w:sz="4" w:space="0" w:color="auto"/>
              <w:bottom w:val="single" w:sz="4" w:space="0" w:color="auto"/>
            </w:tcBorders>
            <w:vAlign w:val="top"/>
          </w:tcPr>
          <w:p w14:paraId="220285D8" w14:textId="77777777" w:rsidR="004E2E9D" w:rsidRDefault="00E30BD6" w:rsidP="006F59D6">
            <w:pPr>
              <w:jc w:val="center"/>
            </w:pPr>
            <w:r>
              <w:rPr>
                <w:rFonts w:hint="eastAsia"/>
              </w:rPr>
              <w:t>任务分析</w:t>
            </w:r>
          </w:p>
        </w:tc>
        <w:tc>
          <w:tcPr>
            <w:tcW w:w="7772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top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/>
              <w:keepLines/>
              <w:spacing w:line="324" w:lineRule="auto" w:after="120" w:before="80"/>
              <w:jc w:val="both"/>
            </w:pPr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一  业务角色与操作边界</w:t>
            </w:r>
          </w:p>
          <w:p>
            <w:pPr>
              <w:keepNext w:val="0"/>
              <w:keepLines/>
              <w:spacing w:line="324" w:lineRule="auto" w:after="120" w:before="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系统设置营业员会话和储户会话两层操作状态。营业员输入有效工号后进入工作台，可办理开户、查询储户、统计备款并查看本人审计日志。储户提供账号和密码后进入账户中心，才可查看完整存款与交易明细并办理个人业务。切换营业员时清除储户会话，防止上一账户的信息继续显示。</w:t>
            </w:r>
          </w:p>
          <w:p>
            <w:pPr>
              <w:keepNext w:val="0"/>
              <w:keepLines/>
              <w:spacing w:line="324" w:lineRule="auto" w:after="120" w:before="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营业员工号是操作归属标识，当前版本不设置营业员密码。储户密码验证、账户挂失和业务金额校验由服务层统一执行，界面按钮的启用状态用于辅助提示。</w:t>
            </w:r>
          </w:p>
          <w:p>
            <w:pPr>
              <w:keepNext/>
              <w:keepLines/>
              <w:spacing w:line="324" w:lineRule="auto" w:after="120" w:before="80"/>
              <w:jc w:val="both"/>
            </w:pPr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二  数据对象与关系</w:t>
            </w:r>
          </w:p>
          <w:p>
            <w:pPr>
              <w:keepNext w:val="0"/>
              <w:keepLines/>
              <w:spacing w:line="324" w:lineRule="auto" w:after="120" w:before="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个储户可以拥有多笔存款，每笔存款具有独立的存款编号、存入日期、期限、锁定年利率和剩余本金。因此将“储户”“定期存款”“交易”分别建模：储户对象保存个人资料，并拥有存款集合和交易集合；交易通过存款编号关联具体存款，避免多笔存款的本金与利息混淆。</w:t>
            </w:r>
          </w:p>
          <w:p>
            <w:pPr>
              <w:keepNext w:val="0"/>
              <w:keepLines/>
              <w:spacing w:line="324" w:lineRule="auto" w:after="120" w:before="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银行状态对象集中管理全部储户及账号、存款号、交易号的序列。序列与业务数据一起存盘，重启后继续递增。已结清的存款和历史流水仍保留，以便查询和追溯。</w:t>
            </w:r>
          </w:p>
          <w:p>
            <w:pPr>
              <w:keepNext/>
              <w:keepLines/>
              <w:spacing w:line="324" w:lineRule="auto" w:after="120" w:before="80"/>
              <w:jc w:val="both"/>
            </w:pPr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三  关键业务约束</w:t>
            </w:r>
          </w:p>
          <w:p>
            <w:pPr>
              <w:keepNext w:val="0"/>
              <w:keepLines/>
              <w:spacing w:line="324" w:lineRule="auto" w:after="120" w:before="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开户时姓名、地址、密码不能为空，两次密码须一致；存取款金额必须为正数且最多包含两位小数；支取本金不能超过所选存款的剩余本金。挂失账户允许登录和查询，但禁止新增存款、支取、修改资料和修改密码；解除挂失需再次验证当前密码。</w:t>
            </w:r>
          </w:p>
          <w:p>
            <w:pPr>
              <w:keepNext w:val="0"/>
              <w:keepLines/>
              <w:spacing w:line="324" w:lineRule="auto" w:after="120" w:before="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定期利率按题目固定值执行。到期日当天及以后按约定期限计算单利，不追加逾期利息；提前支取按本系统设定的 0.05% 活期年利率及实际天数折算。三日备款统计从基准日次日起的连续三天，不包含基准日当天。</w:t>
            </w:r>
          </w:p>
          <w:p>
            <w:pPr>
              <w:keepNext/>
              <w:keepLines/>
              <w:spacing w:line="324" w:lineRule="auto" w:after="120" w:before="80"/>
              <w:jc w:val="both"/>
            </w:pPr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四  实现安排与运行范围</w:t>
            </w:r>
          </w:p>
          <w:p>
            <w:pPr>
              <w:keepNext w:val="0"/>
              <w:keepLines/>
              <w:spacing w:line="324" w:lineRule="auto" w:after="120" w:before="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实现顺序按数据模型、计息与金额工具、文件存储、业务服务、图形界面和测试验证展开。工程以 CMake 管理模块依赖，界面使用 Qt Designer 的 .ui 文件和信号槽连接。当前验证环境为 macOS 上的 Qt 6 桌面程序，面向单机、单进程的课程演示，不包含联网银行服务或多终端并发处理。</w:t>
            </w:r>
          </w:p>
        </w:tc>
      </w:tr>
    </w:tbl>
    <w:p>
      <w:pPr>
        <w:spacing w:after="0" w:before="0" w:line="20" w:lineRule="exact"/>
      </w:pPr>
      <w:r>
        <w:br w:type="page"/>
      </w:r>
    </w:p>
    <w:tbl>
      <w:tblPr>
        <w:tblW w:w="0" w:type="auto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1E0" w:firstRow="1" w:lastRow="1" w:firstColumn="1" w:lastColumn="1" w:noHBand="0" w:noVBand="0"/>
      </w:tblPr>
      <w:tblGrid>
        <w:gridCol w:w="1820"/>
        <w:gridCol w:w="106"/>
        <w:gridCol w:w="2051"/>
        <w:gridCol w:w="1523"/>
        <w:gridCol w:w="4092"/>
      </w:tblGrid>
      <w:tr w:rsidR="004E2E9D" w14:paraId="0D0C8DEF" w14:textId="77777777" w:rsidTr="006711BA">
        <w:trPr/>
        <w:tc>
          <w:tcPr>
            <w:tcW w:w="1820" w:type="dxa"/>
            <w:tcBorders>
              <w:top w:val="single" w:sz="4" w:space="0" w:color="auto"/>
              <w:bottom w:val="single" w:sz="4" w:space="0" w:color="auto"/>
            </w:tcBorders>
            <w:vAlign w:val="top"/>
          </w:tcPr>
          <w:p w14:paraId="2CEB2921" w14:textId="77777777" w:rsidR="004E2E9D" w:rsidRDefault="00E30BD6" w:rsidP="006F59D6">
            <w:pPr>
              <w:jc w:val="center"/>
            </w:pPr>
            <w:r>
              <w:rPr>
                <w:rFonts w:hint="eastAsia"/>
              </w:rPr>
              <w:t>设计思路</w:t>
            </w:r>
            <w:r w:rsidR="007803A8">
              <w:rPr>
                <w:rFonts w:hint="eastAsia"/>
              </w:rPr>
              <w:t>与</w:t>
            </w:r>
            <w:r w:rsidR="00015804">
              <w:rPr>
                <w:rFonts w:hint="eastAsia"/>
              </w:rPr>
              <w:t>流程</w:t>
            </w:r>
          </w:p>
        </w:tc>
        <w:tc>
          <w:tcPr>
            <w:tcW w:w="7772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top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/>
              <w:keepLines/>
              <w:spacing w:line="324" w:lineRule="auto" w:after="120" w:before="80"/>
              <w:jc w:val="both"/>
            </w:pPr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一  分层结构与调用关系</w:t>
            </w:r>
          </w:p>
          <w:p>
            <w:pPr>
              <w:keepNext w:val="0"/>
              <w:keepLines/>
              <w:spacing w:line="324" w:lineRule="auto" w:after="120" w:before="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主窗口与对话框负责接收输入、显示结果和组织页面；BankService 负责业务判断和操作顺序；领域类负责自身约束；文件与审计模块负责磁盘读写。界面通过服务层办理核心业务，减少不同按钮各自实现规则而产生的不一致。</w:t>
            </w:r>
          </w:p>
          <w:p>
            <w:pPr>
              <w:keepNext/>
              <w:keepLines/>
              <w:spacing w:line="324" w:lineRule="auto" w:after="40" w:befor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644000" cy="3060818"/>
                  <wp:docPr id="1" name="Picture 1" descr="图 1  系统模块及主要调用关系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hitectur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000" cy="30608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spacing w:line="324" w:lineRule="auto" w:after="160" w:befor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图 1  系统模块及主要调用关系</w:t>
            </w:r>
          </w:p>
          <w:p>
            <w:pPr>
              <w:keepNext/>
              <w:keepLines/>
              <w:spacing w:line="324" w:lineRule="auto" w:after="120" w:before="80"/>
              <w:jc w:val="both"/>
            </w:pPr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二  对象封装与职责分配</w:t>
            </w:r>
          </w:p>
          <w:p>
            <w:pPr>
              <w:keepNext w:val="0"/>
              <w:keepLines/>
              <w:spacing w:line="324" w:lineRule="auto" w:after="120" w:before="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Depositor、FixedDeposit 和 Transaction 将数据成员设为私有，通过受控接口更新。BankState 组织完整对象图并校验全局编号；MoneyUtils 将用户输入转换为整数分；InterestCalculator 集中完成计息，支取预览、正式支取与备款统计复用同一计算规则。</w:t>
            </w:r>
          </w:p>
          <w:p>
            <w:pPr>
              <w:keepNext w:val="0"/>
              <w:keepLines/>
              <w:spacing w:line="324" w:lineRule="auto" w:after="120" w:before="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FileManager 可注入数据目录，BankService 可注入业务时钟。正式运行使用系统数据目录和当前时间；测试使用临时目录与固定时间。DataCodec 以虚接口隔离字节编码边界，当前实际实现 PlainJsonCodec 原样读写 JSON；测试实现可注入保存故障。</w:t>
            </w:r>
          </w:p>
          <w:p>
            <w:pPr>
              <w:keepNext/>
              <w:keepLines/>
              <w:spacing w:line="324" w:lineRule="auto" w:after="120" w:before="80"/>
              <w:jc w:val="both"/>
            </w:pPr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三  数据结构选择</w:t>
            </w:r>
          </w:p>
          <w:p>
            <w:pPr>
              <w:keepNext w:val="0"/>
              <w:keepLines/>
              <w:spacing w:line="324" w:lineRule="auto" w:after="120" w:before="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储户、存款和交易采用 QVector 保存，适合课程规模下的顺序遍历与列表展示；有效营业员工号使用 QSet 检查；连续登录失败状态使用 QHash 按账号记录。查询根据账号、姓名和挂失状态筛选，再组织为界面表格。</w:t>
            </w:r>
          </w:p>
        </w:tc>
      </w:tr>
    </w:tbl>
    <w:p>
      <w:pPr>
        <w:spacing w:after="0" w:before="0" w:line="20" w:lineRule="exact"/>
      </w:pPr>
      <w:r>
        <w:br w:type="page"/>
      </w:r>
    </w:p>
    <w:tbl>
      <w:tblPr>
        <w:tblW w:w="0" w:type="auto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1E0" w:firstRow="1" w:lastRow="1" w:firstColumn="1" w:lastColumn="1" w:noHBand="0" w:noVBand="0"/>
      </w:tblPr>
      <w:tblGrid>
        <w:gridCol w:w="1820"/>
        <w:gridCol w:w="106"/>
        <w:gridCol w:w="2051"/>
        <w:gridCol w:w="1523"/>
        <w:gridCol w:w="4092"/>
      </w:tblGrid>
      <w:tr w:rsidR="004E2E9D" w14:paraId="0D0C8DEF" w14:textId="77777777" w:rsidTr="006711BA">
        <w:trPr/>
        <w:tc>
          <w:tcPr>
            <w:tcW w:w="1820" w:type="dxa"/>
            <w:tcBorders>
              <w:top w:val="single" w:sz="4" w:space="0" w:color="auto"/>
              <w:bottom w:val="single" w:sz="4" w:space="0" w:color="auto"/>
            </w:tcBorders>
            <w:vAlign w:val="top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 w:val="0"/>
              <w:keepLines/>
              <w:spacing w:line="324" w:lineRule="auto" w:after="120" w:befor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设计思路与流程（续）</w:t>
            </w:r>
          </w:p>
        </w:tc>
        <w:tc>
          <w:tcPr>
            <w:tcW w:w="7772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top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/>
              <w:keepLines/>
              <w:spacing w:line="324" w:lineRule="auto" w:after="120" w:before="80"/>
              <w:jc w:val="both"/>
            </w:pPr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四  业务提交与失败处理流程</w:t>
            </w:r>
          </w:p>
          <w:p>
            <w:pPr>
              <w:keepNext/>
              <w:keepLines/>
              <w:spacing w:line="324" w:lineRule="auto" w:after="40" w:befor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392000" cy="4092545"/>
                  <wp:docPr id="2" name="Picture 2" descr="图 2  修改类业务的保存与状态发布流程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ansaction-flo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2000" cy="4092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spacing w:line="324" w:lineRule="auto" w:after="160" w:befor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图 2  修改类业务的保存与状态发布流程</w:t>
            </w:r>
          </w:p>
          <w:p>
            <w:pPr>
              <w:keepNext w:val="0"/>
              <w:keepLines/>
              <w:spacing w:line="324" w:lineRule="auto" w:after="120" w:before="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程序先复制现有银行状态，在候选副本中完成修改和校验。只有核心数据文件保存成功后，才用副本替换正式内存状态；失败则保留原数据并提示用户。QSaveFile 采用临时写入后替换，并关闭直接覆盖回退。</w:t>
            </w:r>
          </w:p>
          <w:p>
            <w:pPr>
              <w:keepNext w:val="0"/>
              <w:keepLines/>
              <w:spacing w:line="324" w:lineRule="auto" w:after="120" w:before="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审计记录在核心业务提交后追加。若仅审计保存失败，界面显示警告，但不回滚已经成功保存的业务，避免将已完成的交易提示成失败并诱发重复操作。</w:t>
            </w:r>
          </w:p>
          <w:p>
            <w:pPr>
              <w:keepNext/>
              <w:keepLines/>
              <w:spacing w:line="324" w:lineRule="auto" w:after="120" w:before="80"/>
              <w:jc w:val="both"/>
            </w:pPr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五  计息与金额表示</w:t>
            </w:r>
          </w:p>
          <w:p>
            <w:pPr>
              <w:keepNext w:val="0"/>
              <w:keepLines/>
              <w:spacing w:line="324" w:lineRule="auto" w:after="120" w:before="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金额以 qint64 的“分”存储，利率以整数基点存储（1 基点为 0.01%）。到期利息＝支取本金×锁定年利率×存期年数；提前支取利息＝支取本金×0.05%×实际存款天数÷365；实际支付金额＝本金＋利息。每次计算四舍五入到分，并检查乘法与加法溢出。</w:t>
            </w:r>
          </w:p>
        </w:tc>
      </w:tr>
    </w:tbl>
    <w:p>
      <w:pPr>
        <w:spacing w:after="0" w:before="0" w:line="20" w:lineRule="exact"/>
      </w:pPr>
      <w:r>
        <w:br w:type="page"/>
      </w:r>
    </w:p>
    <w:tbl>
      <w:tblPr>
        <w:tblW w:w="0" w:type="auto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1E0" w:firstRow="1" w:lastRow="1" w:firstColumn="1" w:lastColumn="1" w:noHBand="0" w:noVBand="0"/>
      </w:tblPr>
      <w:tblGrid>
        <w:gridCol w:w="1820"/>
        <w:gridCol w:w="106"/>
        <w:gridCol w:w="2051"/>
        <w:gridCol w:w="1523"/>
        <w:gridCol w:w="4092"/>
      </w:tblGrid>
      <w:tr w:rsidR="00E30BD6" w14:paraId="59FFDB1C" w14:textId="77777777" w:rsidTr="006711BA">
        <w:trPr/>
        <w:tc>
          <w:tcPr>
            <w:tcW w:w="1820" w:type="dxa"/>
            <w:tcBorders>
              <w:top w:val="single" w:sz="4" w:space="0" w:color="auto"/>
              <w:bottom w:val="single" w:sz="4" w:space="0" w:color="auto"/>
            </w:tcBorders>
            <w:vAlign w:val="top"/>
          </w:tcPr>
          <w:p w14:paraId="35ADBD73" w14:textId="77777777" w:rsidR="00E30BD6" w:rsidRDefault="00E30BD6" w:rsidP="006F59D6">
            <w:pPr>
              <w:jc w:val="center"/>
            </w:pPr>
            <w:r>
              <w:rPr>
                <w:rFonts w:hint="eastAsia"/>
              </w:rPr>
              <w:t>功能</w:t>
            </w:r>
            <w:r w:rsidR="00015804">
              <w:rPr>
                <w:rFonts w:hint="eastAsia"/>
              </w:rPr>
              <w:t>介绍</w:t>
            </w:r>
          </w:p>
        </w:tc>
        <w:tc>
          <w:tcPr>
            <w:tcW w:w="7772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top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/>
              <w:keepLines/>
              <w:spacing w:line="324" w:lineRule="auto" w:after="120" w:before="80"/>
              <w:jc w:val="both"/>
            </w:pPr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一  营业员进入与储户开户</w:t>
            </w:r>
          </w:p>
          <w:p>
            <w:pPr>
              <w:keepNext w:val="0"/>
              <w:keepLines/>
              <w:spacing w:line="324" w:lineRule="auto" w:after="120" w:before="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首次运行建立 E01 至 E10 的营业员工号清单。有效工号进入工作台后，可填写姓名、地址和两次密码开户。系统生成账号并立即保存；开户与储户登录分开，成功开户不会自动取得储户会话。</w:t>
            </w:r>
          </w:p>
          <w:p>
            <w:pPr>
              <w:keepNext/>
              <w:keepLines/>
              <w:spacing w:line="324" w:lineRule="auto" w:after="120" w:before="80"/>
              <w:jc w:val="both"/>
            </w:pPr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二  账户登录与信息维护</w:t>
            </w:r>
          </w:p>
          <w:p>
            <w:pPr>
              <w:keepNext w:val="0"/>
              <w:keepLines/>
              <w:spacing w:line="324" w:lineRule="auto" w:after="120" w:before="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储户使用账号、密码登录账户中心，查看账户状态、剩余本金以及名下存款。支持修改姓名和地址；修改密码需验证旧密码并确认两次新密码一致。连续五次登录失败触发 60 秒临时锁定，锁定期内正确密码也不能绕过；成功登录清除失败计数。该计数仅保存在本次运行中。</w:t>
            </w:r>
          </w:p>
          <w:p>
            <w:pPr>
              <w:keepNext/>
              <w:keepLines/>
              <w:spacing w:line="324" w:lineRule="auto" w:after="120" w:before="80"/>
              <w:jc w:val="both"/>
            </w:pPr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三  定期存款与支取</w:t>
            </w:r>
          </w:p>
          <w:p>
            <w:pPr>
              <w:keepNext w:val="0"/>
              <w:keepLines/>
              <w:spacing w:line="324" w:lineRule="auto" w:after="120" w:before="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新增定期存款时选择期限并输入金额，每次操作创建独立存款和一条存款流水。账户中心显示编号、原始本金、剩余本金、储种、年利率、存入日、到期日和状态。选择存款后可部分或全部支取；输入金额后先预览支取类型、利息和本息合计，确认时重新校验并保存。</w:t>
            </w:r>
          </w:p>
          <w:p>
            <w:pPr>
              <w:keepNext w:val="0"/>
              <w:keepLines/>
              <w:spacing w:line="324" w:lineRule="auto" w:after="120" w:before="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全部支取后，存款变为已结清，历史数据仍保留；通过“显示已结清存款”控制列表显示。部分支取后仍保留该笔存款及剩余本金，后续利息根据实际支取本金计算。</w:t>
            </w:r>
          </w:p>
          <w:p>
            <w:pPr>
              <w:keepNext/>
              <w:keepLines/>
              <w:spacing w:line="324" w:lineRule="auto" w:after="120" w:before="80"/>
              <w:jc w:val="both"/>
            </w:pPr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四  挂失与解除挂失</w:t>
            </w:r>
          </w:p>
          <w:p>
            <w:pPr>
              <w:keepNext w:val="0"/>
              <w:keepLines/>
              <w:spacing w:line="324" w:lineRule="auto" w:after="120" w:before="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挂失操作经过确认后记录挂失状态和日期，并限制资金及资料修改操作。解除挂失要求再次输入当前密码，成功后同步清除挂失日期并恢复业务权限；错误密码不会改变状态。</w:t>
            </w:r>
          </w:p>
          <w:p>
            <w:pPr>
              <w:keepNext/>
              <w:keepLines/>
              <w:spacing w:line="324" w:lineRule="auto" w:after="120" w:before="80"/>
              <w:jc w:val="both"/>
            </w:pPr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五  查询统计与审计</w:t>
            </w:r>
          </w:p>
          <w:p>
            <w:pPr>
              <w:keepNext w:val="0"/>
              <w:keepLines/>
              <w:spacing w:line="324" w:lineRule="auto" w:after="120" w:before="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储户查询支持账号精确匹配、姓名包含匹配和挂失状态筛选，条件可以组合。已登录储户在交易页查看本人存取款记录，包括日期、业务类型、本金、利息、实际支付额及营业员工号。</w:t>
            </w:r>
          </w:p>
          <w:p>
            <w:pPr>
              <w:keepNext w:val="0"/>
              <w:keepLines/>
              <w:spacing w:line="324" w:lineRule="auto" w:after="120" w:before="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三日备款按选定基准日统计未来三天内到期且仍有本金的存款，逐日显示笔数、本金、到期利息及预计备款，并汇总总额；没有到期存款的日期也显示零值。审计页按当前营业员读取独立日志，并可按动作类型筛选登录、开户、存取款、资料变更和挂失等事件。</w:t>
            </w:r>
          </w:p>
          <w:p>
            <w:pPr>
              <w:keepNext/>
              <w:keepLines/>
              <w:spacing w:line="324" w:lineRule="auto" w:after="120" w:before="80"/>
              <w:jc w:val="both"/>
            </w:pPr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六  提示与界面一致性</w:t>
            </w:r>
          </w:p>
          <w:p>
            <w:pPr>
              <w:keepNext w:val="0"/>
              <w:keepLines/>
              <w:spacing w:line="324" w:lineRule="auto" w:after="120" w:before="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界面统一采用蓝白主题，金额保留两位小数，状态和日期使用明确标签。空输入、非法金额和失败操作提供提示；无可支取存款、输入不合法或账户挂失时限制相关按钮，并在成功操作后刷新表格。</w:t>
            </w:r>
          </w:p>
        </w:tc>
      </w:tr>
    </w:tbl>
    <w:p>
      <w:pPr>
        <w:spacing w:after="0" w:before="0" w:line="20" w:lineRule="exact"/>
      </w:pPr>
      <w:r>
        <w:br w:type="page"/>
      </w:r>
    </w:p>
    <w:tbl>
      <w:tblPr>
        <w:tblW w:w="0" w:type="auto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1E0" w:firstRow="1" w:lastRow="1" w:firstColumn="1" w:lastColumn="1" w:noHBand="0" w:noVBand="0"/>
      </w:tblPr>
      <w:tblGrid>
        <w:gridCol w:w="1820"/>
        <w:gridCol w:w="106"/>
        <w:gridCol w:w="2051"/>
        <w:gridCol w:w="1523"/>
        <w:gridCol w:w="4092"/>
      </w:tblGrid>
      <w:tr w:rsidR="00E30BD6" w14:paraId="6E5B471A" w14:textId="77777777" w:rsidTr="006711BA">
        <w:trPr/>
        <w:tc>
          <w:tcPr>
            <w:tcW w:w="1820" w:type="dxa"/>
            <w:tcBorders>
              <w:top w:val="single" w:sz="4" w:space="0" w:color="auto"/>
              <w:bottom w:val="single" w:sz="4" w:space="0" w:color="auto"/>
            </w:tcBorders>
            <w:vAlign w:val="top"/>
          </w:tcPr>
          <w:p w14:paraId="4785B682" w14:textId="77777777" w:rsidR="00E30BD6" w:rsidRDefault="00E30BD6" w:rsidP="006F59D6">
            <w:pPr>
              <w:jc w:val="center"/>
            </w:pPr>
            <w:r>
              <w:rPr>
                <w:rFonts w:hint="eastAsia"/>
              </w:rPr>
              <w:t>文件与对象描述</w:t>
            </w:r>
          </w:p>
        </w:tc>
        <w:tc>
          <w:tcPr>
            <w:tcW w:w="7772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top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/>
              <w:keepLines/>
              <w:spacing w:line="324" w:lineRule="auto" w:after="120" w:before="80"/>
              <w:jc w:val="both"/>
            </w:pPr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一  工程文件与源码组织</w:t>
            </w:r>
          </w:p>
          <w:p>
            <w:pPr>
              <w:keepNext w:val="0"/>
              <w:keepLines/>
              <w:spacing w:line="324" w:lineRule="auto" w:after="120" w:before="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工程使用 CMakeLists.txt 配置 C++17、Qt 模块、静态库、资源和五个测试目标。main.cpp 建立 QApplication、创建主窗口并进入事件循环。以下目录均参与当前工程构建。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381"/>
              <w:gridCol w:w="4932"/>
            </w:tblGrid>
            <w:tr>
              <w:trPr>
                <w:cantSplit/>
                <w:tblHeader/>
              </w:trPr>
              <w:tc>
                <w:tcPr>
                  <w:tcW w:type="dxa" w:w="2381"/>
                  <w:vAlign w:val="center"/>
                  <w:tcBorders>
                    <w:top w:val="single" w:sz="4" w:color="999999"/>
                    <w:left w:val="single" w:sz="4" w:color="999999"/>
                    <w:bottom w:val="single" w:sz="4" w:color="999999"/>
                    <w:right w:val="single" w:sz="4" w:color="999999"/>
                  </w:tcBorders>
                </w:tcPr>
                <w:p>
                  <w:pPr>
                    <w:spacing w:line="288" w:lineRule="auto" w:after="80" w:before="80"/>
                    <w:jc w:val="left"/>
                  </w:pPr>
                  <w:r>
                    <w:rPr>
                      <w:rFonts w:ascii="Times New Roman" w:hAnsi="Times New Roman" w:eastAsia="宋体"/>
                      <w:b/>
                      <w:color w:val="000000"/>
                      <w:sz w:val="19"/>
                    </w:rPr>
                    <w:t>目录或文件</w:t>
                  </w:r>
                </w:p>
              </w:tc>
              <w:tc>
                <w:tcPr>
                  <w:tcW w:type="dxa" w:w="4932"/>
                  <w:vAlign w:val="center"/>
                  <w:tcBorders>
                    <w:top w:val="single" w:sz="4" w:color="999999"/>
                    <w:left w:val="single" w:sz="4" w:color="999999"/>
                    <w:bottom w:val="single" w:sz="4" w:color="999999"/>
                    <w:right w:val="single" w:sz="4" w:color="999999"/>
                  </w:tcBorders>
                </w:tcPr>
                <w:p>
                  <w:pPr>
                    <w:spacing w:line="288" w:lineRule="auto" w:after="80" w:before="80"/>
                    <w:jc w:val="left"/>
                  </w:pPr>
                  <w:r>
                    <w:rPr>
                      <w:rFonts w:ascii="Times New Roman" w:hAnsi="Times New Roman" w:eastAsia="宋体"/>
                      <w:b/>
                      <w:color w:val="000000"/>
                      <w:sz w:val="19"/>
                    </w:rPr>
                    <w:t>主要内容与职责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81"/>
                  <w:vAlign w:val="center"/>
                  <w:tcBorders>
                    <w:top w:val="single" w:sz="4" w:color="999999"/>
                    <w:left w:val="single" w:sz="4" w:color="999999"/>
                    <w:bottom w:val="single" w:sz="4" w:color="999999"/>
                    <w:right w:val="single" w:sz="4" w:color="999999"/>
                  </w:tcBorders>
                </w:tcPr>
                <w:p>
                  <w:pPr>
                    <w:spacing w:line="288" w:lineRule="auto" w:after="80" w:before="8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9"/>
                    </w:rPr>
                    <w:t>mainwindow.h/.cpp/.ui</w:t>
                  </w:r>
                </w:p>
              </w:tc>
              <w:tc>
                <w:tcPr>
                  <w:tcW w:type="dxa" w:w="4932"/>
                  <w:vAlign w:val="center"/>
                  <w:tcBorders>
                    <w:top w:val="single" w:sz="4" w:color="999999"/>
                    <w:left w:val="single" w:sz="4" w:color="999999"/>
                    <w:bottom w:val="single" w:sz="4" w:color="999999"/>
                    <w:right w:val="single" w:sz="4" w:color="999999"/>
                  </w:tcBorders>
                </w:tcPr>
                <w:p>
                  <w:pPr>
                    <w:spacing w:line="288" w:lineRule="auto" w:after="80" w:before="8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9"/>
                    </w:rPr>
                    <w:t>MainWindow：页面切换、信号槽连接、表格与状态显示。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81"/>
                  <w:vAlign w:val="center"/>
                  <w:tcBorders>
                    <w:top w:val="single" w:sz="4" w:color="999999"/>
                    <w:left w:val="single" w:sz="4" w:color="999999"/>
                    <w:bottom w:val="single" w:sz="4" w:color="999999"/>
                    <w:right w:val="single" w:sz="4" w:color="999999"/>
                  </w:tcBorders>
                </w:tcPr>
                <w:p>
                  <w:pPr>
                    <w:spacing w:line="288" w:lineRule="auto" w:after="80" w:before="8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9"/>
                    </w:rPr>
                    <w:t>models/</w:t>
                  </w:r>
                </w:p>
              </w:tc>
              <w:tc>
                <w:tcPr>
                  <w:tcW w:type="dxa" w:w="4932"/>
                  <w:vAlign w:val="center"/>
                  <w:tcBorders>
                    <w:top w:val="single" w:sz="4" w:color="999999"/>
                    <w:left w:val="single" w:sz="4" w:color="999999"/>
                    <w:bottom w:val="single" w:sz="4" w:color="999999"/>
                    <w:right w:val="single" w:sz="4" w:color="999999"/>
                  </w:tcBorders>
                </w:tcPr>
                <w:p>
                  <w:pPr>
                    <w:spacing w:line="288" w:lineRule="auto" w:after="80" w:before="8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9"/>
                    </w:rPr>
                    <w:t>BankState、Depositor、FixedDeposit、Transaction、AuditRecord 及公共枚举，保存并校验领域数据。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81"/>
                  <w:vAlign w:val="center"/>
                  <w:tcBorders>
                    <w:top w:val="single" w:sz="4" w:color="999999"/>
                    <w:left w:val="single" w:sz="4" w:color="999999"/>
                    <w:bottom w:val="single" w:sz="4" w:color="999999"/>
                    <w:right w:val="single" w:sz="4" w:color="999999"/>
                  </w:tcBorders>
                </w:tcPr>
                <w:p>
                  <w:pPr>
                    <w:spacing w:line="288" w:lineRule="auto" w:after="80" w:before="8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9"/>
                    </w:rPr>
                    <w:t>services/</w:t>
                  </w:r>
                </w:p>
              </w:tc>
              <w:tc>
                <w:tcPr>
                  <w:tcW w:type="dxa" w:w="4932"/>
                  <w:vAlign w:val="center"/>
                  <w:tcBorders>
                    <w:top w:val="single" w:sz="4" w:color="999999"/>
                    <w:left w:val="single" w:sz="4" w:color="999999"/>
                    <w:bottom w:val="single" w:sz="4" w:color="999999"/>
                    <w:right w:val="single" w:sz="4" w:color="999999"/>
                  </w:tcBorders>
                </w:tcPr>
                <w:p>
                  <w:pPr>
                    <w:spacing w:line="288" w:lineRule="auto" w:after="80" w:before="8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9"/>
                    </w:rPr>
                    <w:t>BankService 协调账户业务、查询与保存；InterestCalculator 计算提前和到期利息。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81"/>
                  <w:vAlign w:val="center"/>
                  <w:tcBorders>
                    <w:top w:val="single" w:sz="4" w:color="999999"/>
                    <w:left w:val="single" w:sz="4" w:color="999999"/>
                    <w:bottom w:val="single" w:sz="4" w:color="999999"/>
                    <w:right w:val="single" w:sz="4" w:color="999999"/>
                  </w:tcBorders>
                </w:tcPr>
                <w:p>
                  <w:pPr>
                    <w:spacing w:line="288" w:lineRule="auto" w:after="80" w:before="8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9"/>
                    </w:rPr>
                    <w:t>persistence/</w:t>
                  </w:r>
                </w:p>
              </w:tc>
              <w:tc>
                <w:tcPr>
                  <w:tcW w:type="dxa" w:w="4932"/>
                  <w:vAlign w:val="center"/>
                  <w:tcBorders>
                    <w:top w:val="single" w:sz="4" w:color="999999"/>
                    <w:left w:val="single" w:sz="4" w:color="999999"/>
                    <w:bottom w:val="single" w:sz="4" w:color="999999"/>
                    <w:right w:val="single" w:sz="4" w:color="999999"/>
                  </w:tcBorders>
                </w:tcPr>
                <w:p>
                  <w:pPr>
                    <w:spacing w:line="288" w:lineRule="auto" w:after="80" w:before="8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9"/>
                    </w:rPr>
                    <w:t>BankStateJsonSerializer 序列化；FileManager 保存核心数据；EmployeeFileManager 管理工号文件；DataCodec 定义编码接口。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81"/>
                  <w:vAlign w:val="center"/>
                  <w:tcBorders>
                    <w:top w:val="single" w:sz="4" w:color="999999"/>
                    <w:left w:val="single" w:sz="4" w:color="999999"/>
                    <w:bottom w:val="single" w:sz="4" w:color="999999"/>
                    <w:right w:val="single" w:sz="4" w:color="999999"/>
                  </w:tcBorders>
                </w:tcPr>
                <w:p>
                  <w:pPr>
                    <w:spacing w:line="288" w:lineRule="auto" w:after="80" w:before="8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9"/>
                    </w:rPr>
                    <w:t>security/</w:t>
                  </w:r>
                </w:p>
              </w:tc>
              <w:tc>
                <w:tcPr>
                  <w:tcW w:type="dxa" w:w="4932"/>
                  <w:vAlign w:val="center"/>
                  <w:tcBorders>
                    <w:top w:val="single" w:sz="4" w:color="999999"/>
                    <w:left w:val="single" w:sz="4" w:color="999999"/>
                    <w:bottom w:val="single" w:sz="4" w:color="999999"/>
                    <w:right w:val="single" w:sz="4" w:color="999999"/>
                  </w:tcBorders>
                </w:tcPr>
                <w:p>
                  <w:pPr>
                    <w:spacing w:line="288" w:lineRule="auto" w:after="80" w:before="8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9"/>
                    </w:rPr>
                    <w:t>SecurityUtils：随机盐生成、PBKDF2 密码派生与摘要验证。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81"/>
                  <w:vAlign w:val="center"/>
                  <w:tcBorders>
                    <w:top w:val="single" w:sz="4" w:color="999999"/>
                    <w:left w:val="single" w:sz="4" w:color="999999"/>
                    <w:bottom w:val="single" w:sz="4" w:color="999999"/>
                    <w:right w:val="single" w:sz="4" w:color="999999"/>
                  </w:tcBorders>
                </w:tcPr>
                <w:p>
                  <w:pPr>
                    <w:spacing w:line="288" w:lineRule="auto" w:after="80" w:before="8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9"/>
                    </w:rPr>
                    <w:t>audit/</w:t>
                  </w:r>
                </w:p>
              </w:tc>
              <w:tc>
                <w:tcPr>
                  <w:tcW w:type="dxa" w:w="4932"/>
                  <w:vAlign w:val="center"/>
                  <w:tcBorders>
                    <w:top w:val="single" w:sz="4" w:color="999999"/>
                    <w:left w:val="single" w:sz="4" w:color="999999"/>
                    <w:bottom w:val="single" w:sz="4" w:color="999999"/>
                    <w:right w:val="single" w:sz="4" w:color="999999"/>
                  </w:tcBorders>
                </w:tcPr>
                <w:p>
                  <w:pPr>
                    <w:spacing w:line="288" w:lineRule="auto" w:after="80" w:before="8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9"/>
                    </w:rPr>
                    <w:t>AuditLogger：按营业员工号读取、追加并保存审计记录。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81"/>
                  <w:vAlign w:val="center"/>
                  <w:tcBorders>
                    <w:top w:val="single" w:sz="4" w:color="999999"/>
                    <w:left w:val="single" w:sz="4" w:color="999999"/>
                    <w:bottom w:val="single" w:sz="4" w:color="999999"/>
                    <w:right w:val="single" w:sz="4" w:color="999999"/>
                  </w:tcBorders>
                </w:tcPr>
                <w:p>
                  <w:pPr>
                    <w:spacing w:line="288" w:lineRule="auto" w:after="80" w:before="8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9"/>
                    </w:rPr>
                    <w:t>ui/</w:t>
                  </w:r>
                </w:p>
              </w:tc>
              <w:tc>
                <w:tcPr>
                  <w:tcW w:type="dxa" w:w="4932"/>
                  <w:vAlign w:val="center"/>
                  <w:tcBorders>
                    <w:top w:val="single" w:sz="4" w:color="999999"/>
                    <w:left w:val="single" w:sz="4" w:color="999999"/>
                    <w:bottom w:val="single" w:sz="4" w:color="999999"/>
                    <w:right w:val="single" w:sz="4" w:color="999999"/>
                  </w:tcBorders>
                </w:tcPr>
                <w:p>
                  <w:pPr>
                    <w:spacing w:line="288" w:lineRule="auto" w:after="80" w:before="8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9"/>
                    </w:rPr>
                    <w:t>DepositDialog、WithdrawDialog、ProfileDialog、PasswordDialog、UnfreezeDialog 及各自 .ui；theme 统一界面样式。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81"/>
                  <w:vAlign w:val="center"/>
                  <w:tcBorders>
                    <w:top w:val="single" w:sz="4" w:color="999999"/>
                    <w:left w:val="single" w:sz="4" w:color="999999"/>
                    <w:bottom w:val="single" w:sz="4" w:color="999999"/>
                    <w:right w:val="single" w:sz="4" w:color="999999"/>
                  </w:tcBorders>
                </w:tcPr>
                <w:p>
                  <w:pPr>
                    <w:spacing w:line="288" w:lineRule="auto" w:after="80" w:before="8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9"/>
                    </w:rPr>
                    <w:t>utils/ 与 assets/</w:t>
                  </w:r>
                </w:p>
              </w:tc>
              <w:tc>
                <w:tcPr>
                  <w:tcW w:type="dxa" w:w="4932"/>
                  <w:vAlign w:val="center"/>
                  <w:tcBorders>
                    <w:top w:val="single" w:sz="4" w:color="999999"/>
                    <w:left w:val="single" w:sz="4" w:color="999999"/>
                    <w:bottom w:val="single" w:sz="4" w:color="999999"/>
                    <w:right w:val="single" w:sz="4" w:color="999999"/>
                  </w:tcBorders>
                </w:tcPr>
                <w:p>
                  <w:pPr>
                    <w:spacing w:line="288" w:lineRule="auto" w:after="80" w:before="8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9"/>
                    </w:rPr>
                    <w:t>MoneyUtils 解析、格式化金额和利率；QSS 与 SVG 提供样式及控件图标。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81"/>
                  <w:vAlign w:val="center"/>
                  <w:tcBorders>
                    <w:top w:val="single" w:sz="4" w:color="999999"/>
                    <w:left w:val="single" w:sz="4" w:color="999999"/>
                    <w:bottom w:val="single" w:sz="4" w:color="999999"/>
                    <w:right w:val="single" w:sz="4" w:color="999999"/>
                  </w:tcBorders>
                </w:tcPr>
                <w:p>
                  <w:pPr>
                    <w:spacing w:line="288" w:lineRule="auto" w:after="80" w:before="8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9"/>
                    </w:rPr>
                    <w:t>tests/</w:t>
                  </w:r>
                </w:p>
              </w:tc>
              <w:tc>
                <w:tcPr>
                  <w:tcW w:type="dxa" w:w="4932"/>
                  <w:vAlign w:val="center"/>
                  <w:tcBorders>
                    <w:top w:val="single" w:sz="4" w:color="999999"/>
                    <w:left w:val="single" w:sz="4" w:color="999999"/>
                    <w:bottom w:val="single" w:sz="4" w:color="999999"/>
                    <w:right w:val="single" w:sz="4" w:color="999999"/>
                  </w:tcBorders>
                </w:tcPr>
                <w:p>
                  <w:pPr>
                    <w:spacing w:line="288" w:lineRule="auto" w:after="80" w:before="8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9"/>
                    </w:rPr>
                    <w:t>tst_domain、tst_persistence、tst_audit、tst_bankservice、tst_ui 五组自动测试。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81"/>
                  <w:vAlign w:val="center"/>
                  <w:tcBorders>
                    <w:top w:val="single" w:sz="4" w:color="999999"/>
                    <w:left w:val="single" w:sz="4" w:color="999999"/>
                    <w:bottom w:val="single" w:sz="4" w:color="999999"/>
                    <w:right w:val="single" w:sz="4" w:color="999999"/>
                  </w:tcBorders>
                </w:tcPr>
                <w:p>
                  <w:pPr>
                    <w:spacing w:line="288" w:lineRule="auto" w:after="80" w:before="8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9"/>
                    </w:rPr>
                    <w:t>README.md</w:t>
                  </w:r>
                </w:p>
              </w:tc>
              <w:tc>
                <w:tcPr>
                  <w:tcW w:type="dxa" w:w="4932"/>
                  <w:vAlign w:val="center"/>
                  <w:tcBorders>
                    <w:top w:val="single" w:sz="4" w:color="999999"/>
                    <w:left w:val="single" w:sz="4" w:color="999999"/>
                    <w:bottom w:val="single" w:sz="4" w:color="999999"/>
                    <w:right w:val="single" w:sz="4" w:color="999999"/>
                  </w:tcBorders>
                </w:tcPr>
                <w:p>
                  <w:pPr>
                    <w:spacing w:line="288" w:lineRule="auto" w:after="80" w:before="8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9"/>
                    </w:rPr>
                    <w:t>说明构建环境、运行步骤、数据目录及测试方法。</w:t>
                  </w:r>
                </w:p>
              </w:tc>
            </w:tr>
          </w:tbl>
          <w:p/>
          <w:p>
            <w:pPr>
              <w:spacing w:after="0"/>
            </w:pPr>
          </w:p>
          <w:p>
            <w:pPr>
              <w:keepNext/>
              <w:keepLines/>
              <w:spacing w:line="324" w:lineRule="auto" w:after="120" w:before="80"/>
              <w:jc w:val="both"/>
            </w:pPr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二  构建依赖</w:t>
            </w:r>
          </w:p>
          <w:p>
            <w:pPr>
              <w:keepNext w:val="0"/>
              <w:keepLines/>
              <w:spacing w:line="324" w:lineRule="auto" w:after="120" w:before="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BankDomain 提供领域与计息能力；BankPersistence、BankSecurity、BankAudit 和 BankServices 逐层组合基础能力；BankUi 汇集界面代码，最终由 BankManagementSystem 可执行目标链接。主题资源通过 qt_add_resources 编入程序，并显式初始化静态库资源。</w:t>
            </w:r>
          </w:p>
          <w:p>
            <w:pPr>
              <w:keepNext w:val="0"/>
              <w:keepLines/>
              <w:spacing w:line="324" w:lineRule="auto" w:after="120" w:before="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Qt Test 属于当前工程要求的一部分，tests 目录也被 CMake 直接引用；.ui 文件由构建工具生成对应界面头文件，生成的 ui_*.h、moc 文件和目标文件不属于手写源码。</w:t>
            </w:r>
          </w:p>
        </w:tc>
      </w:tr>
    </w:tbl>
    <w:p>
      <w:pPr>
        <w:spacing w:after="0" w:before="0" w:line="20" w:lineRule="exact"/>
      </w:pPr>
      <w:r>
        <w:br w:type="page"/>
      </w:r>
    </w:p>
    <w:tbl>
      <w:tblPr>
        <w:tblW w:w="0" w:type="auto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1E0" w:firstRow="1" w:lastRow="1" w:firstColumn="1" w:lastColumn="1" w:noHBand="0" w:noVBand="0"/>
      </w:tblPr>
      <w:tblGrid>
        <w:gridCol w:w="1820"/>
        <w:gridCol w:w="106"/>
        <w:gridCol w:w="2051"/>
        <w:gridCol w:w="1523"/>
        <w:gridCol w:w="4092"/>
      </w:tblGrid>
      <w:tr w:rsidR="00E30BD6" w14:paraId="6E5B471A" w14:textId="77777777" w:rsidTr="006711BA">
        <w:trPr/>
        <w:tc>
          <w:tcPr>
            <w:tcW w:w="1820" w:type="dxa"/>
            <w:tcBorders>
              <w:top w:val="single" w:sz="4" w:space="0" w:color="auto"/>
              <w:bottom w:val="single" w:sz="4" w:space="0" w:color="auto"/>
            </w:tcBorders>
            <w:vAlign w:val="top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 w:val="0"/>
              <w:keepLines/>
              <w:spacing w:line="324" w:lineRule="auto" w:after="120" w:befor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文件与对象描述（续）</w:t>
            </w:r>
          </w:p>
        </w:tc>
        <w:tc>
          <w:tcPr>
            <w:tcW w:w="7772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top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/>
              <w:keepLines/>
              <w:spacing w:line="324" w:lineRule="auto" w:after="120" w:before="80"/>
              <w:jc w:val="both"/>
            </w:pPr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三  主要类对象与数据关系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984"/>
              <w:gridCol w:w="5329"/>
            </w:tblGrid>
            <w:tr>
              <w:trPr>
                <w:cantSplit/>
                <w:tblHeader/>
              </w:trPr>
              <w:tc>
                <w:tcPr>
                  <w:tcW w:type="dxa" w:w="1984"/>
                  <w:vAlign w:val="center"/>
                  <w:tcBorders>
                    <w:top w:val="single" w:sz="4" w:color="999999"/>
                    <w:left w:val="single" w:sz="4" w:color="999999"/>
                    <w:bottom w:val="single" w:sz="4" w:color="999999"/>
                    <w:right w:val="single" w:sz="4" w:color="999999"/>
                  </w:tcBorders>
                </w:tcPr>
                <w:p>
                  <w:pPr>
                    <w:spacing w:line="288" w:lineRule="auto" w:after="80" w:before="80"/>
                    <w:jc w:val="left"/>
                  </w:pPr>
                  <w:r>
                    <w:rPr>
                      <w:rFonts w:ascii="Times New Roman" w:hAnsi="Times New Roman" w:eastAsia="宋体"/>
                      <w:b/>
                      <w:color w:val="000000"/>
                      <w:sz w:val="19"/>
                    </w:rPr>
                    <w:t>类对象</w:t>
                  </w:r>
                </w:p>
              </w:tc>
              <w:tc>
                <w:tcPr>
                  <w:tcW w:type="dxa" w:w="5329"/>
                  <w:vAlign w:val="center"/>
                  <w:tcBorders>
                    <w:top w:val="single" w:sz="4" w:color="999999"/>
                    <w:left w:val="single" w:sz="4" w:color="999999"/>
                    <w:bottom w:val="single" w:sz="4" w:color="999999"/>
                    <w:right w:val="single" w:sz="4" w:color="999999"/>
                  </w:tcBorders>
                </w:tcPr>
                <w:p>
                  <w:pPr>
                    <w:spacing w:line="288" w:lineRule="auto" w:after="80" w:before="80"/>
                    <w:jc w:val="left"/>
                  </w:pPr>
                  <w:r>
                    <w:rPr>
                      <w:rFonts w:ascii="Times New Roman" w:hAnsi="Times New Roman" w:eastAsia="宋体"/>
                      <w:b/>
                      <w:color w:val="000000"/>
                      <w:sz w:val="19"/>
                    </w:rPr>
                    <w:t>主要成员与作用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84"/>
                  <w:vAlign w:val="center"/>
                  <w:tcBorders>
                    <w:top w:val="single" w:sz="4" w:color="999999"/>
                    <w:left w:val="single" w:sz="4" w:color="999999"/>
                    <w:bottom w:val="single" w:sz="4" w:color="999999"/>
                    <w:right w:val="single" w:sz="4" w:color="999999"/>
                  </w:tcBorders>
                </w:tcPr>
                <w:p>
                  <w:pPr>
                    <w:spacing w:line="288" w:lineRule="auto" w:after="80" w:before="8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9"/>
                    </w:rPr>
                    <w:t>BankState</w:t>
                  </w:r>
                </w:p>
              </w:tc>
              <w:tc>
                <w:tcPr>
                  <w:tcW w:type="dxa" w:w="5329"/>
                  <w:vAlign w:val="center"/>
                  <w:tcBorders>
                    <w:top w:val="single" w:sz="4" w:color="999999"/>
                    <w:left w:val="single" w:sz="4" w:color="999999"/>
                    <w:bottom w:val="single" w:sz="4" w:color="999999"/>
                    <w:right w:val="single" w:sz="4" w:color="999999"/>
                  </w:tcBorders>
                </w:tcPr>
                <w:p>
                  <w:pPr>
                    <w:spacing w:line="288" w:lineRule="auto" w:after="80" w:before="8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9"/>
                    </w:rPr>
                    <w:t>schemaVersion、三个编号序列及储户集合；负责发号和全局数据校验。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84"/>
                  <w:vAlign w:val="center"/>
                  <w:tcBorders>
                    <w:top w:val="single" w:sz="4" w:color="999999"/>
                    <w:left w:val="single" w:sz="4" w:color="999999"/>
                    <w:bottom w:val="single" w:sz="4" w:color="999999"/>
                    <w:right w:val="single" w:sz="4" w:color="999999"/>
                  </w:tcBorders>
                </w:tcPr>
                <w:p>
                  <w:pPr>
                    <w:spacing w:line="288" w:lineRule="auto" w:after="80" w:before="8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9"/>
                    </w:rPr>
                    <w:t>Depositor</w:t>
                  </w:r>
                </w:p>
              </w:tc>
              <w:tc>
                <w:tcPr>
                  <w:tcW w:type="dxa" w:w="5329"/>
                  <w:vAlign w:val="center"/>
                  <w:tcBorders>
                    <w:top w:val="single" w:sz="4" w:color="999999"/>
                    <w:left w:val="single" w:sz="4" w:color="999999"/>
                    <w:bottom w:val="single" w:sz="4" w:color="999999"/>
                    <w:right w:val="single" w:sz="4" w:color="999999"/>
                  </w:tcBorders>
                </w:tcPr>
                <w:p>
                  <w:pPr>
                    <w:spacing w:line="288" w:lineRule="auto" w:after="80" w:before="8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9"/>
                    </w:rPr>
                    <w:t>账号、姓名、地址、密码盐及摘要、挂失状态和日期、开户工号；拥有多笔 FixedDeposit 和 Transaction。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84"/>
                  <w:vAlign w:val="center"/>
                  <w:tcBorders>
                    <w:top w:val="single" w:sz="4" w:color="999999"/>
                    <w:left w:val="single" w:sz="4" w:color="999999"/>
                    <w:bottom w:val="single" w:sz="4" w:color="999999"/>
                    <w:right w:val="single" w:sz="4" w:color="999999"/>
                  </w:tcBorders>
                </w:tcPr>
                <w:p>
                  <w:pPr>
                    <w:spacing w:line="288" w:lineRule="auto" w:after="80" w:before="8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9"/>
                    </w:rPr>
                    <w:t>FixedDeposit</w:t>
                  </w:r>
                </w:p>
              </w:tc>
              <w:tc>
                <w:tcPr>
                  <w:tcW w:type="dxa" w:w="5329"/>
                  <w:vAlign w:val="center"/>
                  <w:tcBorders>
                    <w:top w:val="single" w:sz="4" w:color="999999"/>
                    <w:left w:val="single" w:sz="4" w:color="999999"/>
                    <w:bottom w:val="single" w:sz="4" w:color="999999"/>
                    <w:right w:val="single" w:sz="4" w:color="999999"/>
                  </w:tcBorders>
                </w:tcPr>
                <w:p>
                  <w:pPr>
                    <w:spacing w:line="288" w:lineRule="auto" w:after="80" w:before="8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9"/>
                    </w:rPr>
                    <w:t>存款号、原始及剩余本金、存入日、期限、锁定利率、到期日、办理工号。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84"/>
                  <w:vAlign w:val="center"/>
                  <w:tcBorders>
                    <w:top w:val="single" w:sz="4" w:color="999999"/>
                    <w:left w:val="single" w:sz="4" w:color="999999"/>
                    <w:bottom w:val="single" w:sz="4" w:color="999999"/>
                    <w:right w:val="single" w:sz="4" w:color="999999"/>
                  </w:tcBorders>
                </w:tcPr>
                <w:p>
                  <w:pPr>
                    <w:spacing w:line="288" w:lineRule="auto" w:after="80" w:before="8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9"/>
                    </w:rPr>
                    <w:t>Transaction</w:t>
                  </w:r>
                </w:p>
              </w:tc>
              <w:tc>
                <w:tcPr>
                  <w:tcW w:type="dxa" w:w="5329"/>
                  <w:vAlign w:val="center"/>
                  <w:tcBorders>
                    <w:top w:val="single" w:sz="4" w:color="999999"/>
                    <w:left w:val="single" w:sz="4" w:color="999999"/>
                    <w:bottom w:val="single" w:sz="4" w:color="999999"/>
                    <w:right w:val="single" w:sz="4" w:color="999999"/>
                  </w:tcBorders>
                </w:tcPr>
                <w:p>
                  <w:pPr>
                    <w:spacing w:line="288" w:lineRule="auto" w:after="80" w:before="8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9"/>
                    </w:rPr>
                    <w:t>交易号、账号、存款号、时间、存取类型、提前或到期标识、本金、利息及工号。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84"/>
                  <w:vAlign w:val="center"/>
                  <w:tcBorders>
                    <w:top w:val="single" w:sz="4" w:color="999999"/>
                    <w:left w:val="single" w:sz="4" w:color="999999"/>
                    <w:bottom w:val="single" w:sz="4" w:color="999999"/>
                    <w:right w:val="single" w:sz="4" w:color="999999"/>
                  </w:tcBorders>
                </w:tcPr>
                <w:p>
                  <w:pPr>
                    <w:spacing w:line="288" w:lineRule="auto" w:after="80" w:before="8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9"/>
                    </w:rPr>
                    <w:t>AuditRecord</w:t>
                  </w:r>
                </w:p>
              </w:tc>
              <w:tc>
                <w:tcPr>
                  <w:tcW w:type="dxa" w:w="5329"/>
                  <w:vAlign w:val="center"/>
                  <w:tcBorders>
                    <w:top w:val="single" w:sz="4" w:color="999999"/>
                    <w:left w:val="single" w:sz="4" w:color="999999"/>
                    <w:bottom w:val="single" w:sz="4" w:color="999999"/>
                    <w:right w:val="single" w:sz="4" w:color="999999"/>
                  </w:tcBorders>
                </w:tcPr>
                <w:p>
                  <w:pPr>
                    <w:spacing w:line="288" w:lineRule="auto" w:after="80" w:before="8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9"/>
                    </w:rPr>
                    <w:t>时间、营业员工号、账号、动作码、金额、结果及原因码。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84"/>
                  <w:vAlign w:val="center"/>
                  <w:tcBorders>
                    <w:top w:val="single" w:sz="4" w:color="999999"/>
                    <w:left w:val="single" w:sz="4" w:color="999999"/>
                    <w:bottom w:val="single" w:sz="4" w:color="999999"/>
                    <w:right w:val="single" w:sz="4" w:color="999999"/>
                  </w:tcBorders>
                </w:tcPr>
                <w:p>
                  <w:pPr>
                    <w:spacing w:line="288" w:lineRule="auto" w:after="80" w:before="8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9"/>
                    </w:rPr>
                    <w:t>BankService</w:t>
                  </w:r>
                </w:p>
              </w:tc>
              <w:tc>
                <w:tcPr>
                  <w:tcW w:type="dxa" w:w="5329"/>
                  <w:vAlign w:val="center"/>
                  <w:tcBorders>
                    <w:top w:val="single" w:sz="4" w:color="999999"/>
                    <w:left w:val="single" w:sz="4" w:color="999999"/>
                    <w:bottom w:val="single" w:sz="4" w:color="999999"/>
                    <w:right w:val="single" w:sz="4" w:color="999999"/>
                  </w:tcBorders>
                </w:tcPr>
                <w:p>
                  <w:pPr>
                    <w:spacing w:line="288" w:lineRule="auto" w:after="80" w:before="8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9"/>
                    </w:rPr>
                    <w:t>当前营业员及储户会话、银行状态、登录失败记录、文件管理器与审计器。</w:t>
                  </w:r>
                </w:p>
              </w:tc>
            </w:tr>
          </w:tbl>
          <w:p/>
          <w:p>
            <w:pPr>
              <w:spacing w:after="0"/>
            </w:pPr>
          </w:p>
          <w:p>
            <w:pPr>
              <w:keepNext/>
              <w:keepLines/>
              <w:spacing w:line="324" w:lineRule="auto" w:after="120" w:before="80"/>
              <w:jc w:val="both"/>
            </w:pPr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四  数据文件与恢复</w:t>
            </w:r>
          </w:p>
          <w:p>
            <w:pPr>
              <w:keepNext w:val="0"/>
              <w:keepLines/>
              <w:spacing w:line="324" w:lineRule="auto" w:after="120" w:before="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bank_data.json 保存版本号、发号序列和完整储户集合，每个储户内部嵌套存款与交易；employees.dat 独立保存营业员工号；audit/&lt;工号&gt;.audit.json 按营业员保存审计记录。文件数据的版本、字段类型、编号唯一性及对象约束在读取时检查。已有文件损坏时报告错误，不静默覆盖为新文件。</w:t>
            </w:r>
          </w:p>
          <w:p>
            <w:pPr>
              <w:keepNext w:val="0"/>
              <w:keepLines/>
              <w:spacing w:line="324" w:lineRule="auto" w:after="120" w:before="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默认目录由 QStandardPaths::AppDataLocation 决定。在 macOS 上通常位于用户 Library/Application Support/BankManagementSystem。提交时附带的数据副本需放入程序实际使用的数据目录才能恢复，单独放在源码目录或程序旁边不会自动生效。</w:t>
            </w:r>
          </w:p>
          <w:p>
            <w:pPr>
              <w:keepNext/>
              <w:keepLines/>
              <w:spacing w:line="324" w:lineRule="auto" w:after="120" w:before="80"/>
              <w:jc w:val="both"/>
            </w:pPr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五  密码与文件编码</w:t>
            </w:r>
          </w:p>
          <w:p>
            <w:pPr>
              <w:keepNext w:val="0"/>
              <w:keepLines/>
              <w:spacing w:line="324" w:lineRule="auto" w:after="120" w:before="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密码使用 16 字节独立随机盐，经 PBKDF2-HMAC-SHA256 进行 210000 次迭代，得到 32 字节摘要；文件保存盐、摘要和算法参数，不保存明文密码。改密重新生成盐，验证时重新派生并逐字节比较。</w:t>
            </w:r>
          </w:p>
          <w:p>
            <w:pPr>
              <w:keepNext w:val="0"/>
              <w:keepLines/>
              <w:spacing w:line="324" w:lineRule="auto" w:after="120" w:before="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当前数据与日志采用可读 JSON，没有整文件加密。密码摘要保护与文件加密属于不同层次，JSON 中的姓名、地址和交易仍以业务字段形式保存。</w:t>
            </w:r>
          </w:p>
        </w:tc>
      </w:tr>
    </w:tbl>
    <w:p>
      <w:pPr>
        <w:spacing w:after="0" w:before="0" w:line="20" w:lineRule="exact"/>
      </w:pPr>
      <w:r>
        <w:br w:type="page"/>
      </w:r>
    </w:p>
    <w:tbl>
      <w:tblPr>
        <w:tblW w:w="0" w:type="auto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1E0" w:firstRow="1" w:lastRow="1" w:firstColumn="1" w:lastColumn="1" w:noHBand="0" w:noVBand="0"/>
      </w:tblPr>
      <w:tblGrid>
        <w:gridCol w:w="1820"/>
        <w:gridCol w:w="106"/>
        <w:gridCol w:w="2051"/>
        <w:gridCol w:w="1523"/>
        <w:gridCol w:w="4092"/>
      </w:tblGrid>
      <w:tr w:rsidR="00E30BD6" w14:paraId="1B897552" w14:textId="77777777" w:rsidTr="006711BA">
        <w:trPr/>
        <w:tc>
          <w:tcPr>
            <w:tcW w:w="1820" w:type="dxa"/>
            <w:tcBorders>
              <w:top w:val="single" w:sz="4" w:space="0" w:color="auto"/>
              <w:bottom w:val="single" w:sz="4" w:space="0" w:color="auto"/>
            </w:tcBorders>
            <w:vAlign w:val="top"/>
          </w:tcPr>
          <w:p w14:paraId="3EC39513" w14:textId="77777777" w:rsidR="00E30BD6" w:rsidRDefault="00E30BD6" w:rsidP="0096327F">
            <w:pPr>
              <w:jc w:val="center"/>
            </w:pPr>
            <w:r>
              <w:rPr>
                <w:rFonts w:hint="eastAsia"/>
              </w:rPr>
              <w:t>测试报告</w:t>
            </w:r>
          </w:p>
        </w:tc>
        <w:tc>
          <w:tcPr>
            <w:tcW w:w="7772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top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/>
              <w:keepLines/>
              <w:spacing w:line="324" w:lineRule="auto" w:after="120" w:before="80"/>
              <w:jc w:val="both"/>
            </w:pPr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一  测试环境与方法</w:t>
            </w:r>
          </w:p>
          <w:p>
            <w:pPr>
              <w:keepNext w:val="0"/>
              <w:keepLines/>
              <w:spacing w:line="324" w:lineRule="auto" w:after="120" w:before="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测试环境为 macOS 26.6.2、Apple Silicon、Qt/Qt Test 6.11.2，工程使用 C++17 与 Debug 构建。本次运行现有五个测试目标；界面测试以 offscreen 模式驱动真实 Qt 控件。业务及文件测试使用 QTemporaryDir 和可注入时钟，避免写入日常演示数据，并可稳定复现到期日和锁定期限。</w:t>
            </w:r>
          </w:p>
          <w:p>
            <w:pPr>
              <w:keepNext/>
              <w:keepLines/>
              <w:spacing w:line="324" w:lineRule="auto" w:after="120" w:before="80"/>
              <w:jc w:val="both"/>
            </w:pPr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二  自动测试结果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608"/>
              <w:gridCol w:w="3458"/>
              <w:gridCol w:w="1247"/>
            </w:tblGrid>
            <w:tr>
              <w:trPr>
                <w:cantSplit/>
                <w:tblHeader/>
              </w:trPr>
              <w:tc>
                <w:tcPr>
                  <w:tcW w:type="dxa" w:w="2608"/>
                  <w:vAlign w:val="center"/>
                  <w:tcBorders>
                    <w:top w:val="single" w:sz="4" w:color="999999"/>
                    <w:left w:val="single" w:sz="4" w:color="999999"/>
                    <w:bottom w:val="single" w:sz="4" w:color="999999"/>
                    <w:right w:val="single" w:sz="4" w:color="999999"/>
                  </w:tcBorders>
                </w:tcPr>
                <w:p>
                  <w:pPr>
                    <w:spacing w:line="288" w:lineRule="auto" w:after="80" w:before="80"/>
                    <w:jc w:val="left"/>
                  </w:pPr>
                  <w:r>
                    <w:rPr>
                      <w:rFonts w:ascii="Times New Roman" w:hAnsi="Times New Roman" w:eastAsia="宋体"/>
                      <w:b/>
                      <w:color w:val="000000"/>
                      <w:sz w:val="19"/>
                    </w:rPr>
                    <w:t>测试目标</w:t>
                  </w:r>
                </w:p>
              </w:tc>
              <w:tc>
                <w:tcPr>
                  <w:tcW w:type="dxa" w:w="3458"/>
                  <w:vAlign w:val="center"/>
                  <w:tcBorders>
                    <w:top w:val="single" w:sz="4" w:color="999999"/>
                    <w:left w:val="single" w:sz="4" w:color="999999"/>
                    <w:bottom w:val="single" w:sz="4" w:color="999999"/>
                    <w:right w:val="single" w:sz="4" w:color="999999"/>
                  </w:tcBorders>
                </w:tcPr>
                <w:p>
                  <w:pPr>
                    <w:spacing w:line="288" w:lineRule="auto" w:after="80" w:before="80"/>
                    <w:jc w:val="left"/>
                  </w:pPr>
                  <w:r>
                    <w:rPr>
                      <w:rFonts w:ascii="Times New Roman" w:hAnsi="Times New Roman" w:eastAsia="宋体"/>
                      <w:b/>
                      <w:color w:val="000000"/>
                      <w:sz w:val="19"/>
                    </w:rPr>
                    <w:t>主要覆盖内容</w:t>
                  </w:r>
                </w:p>
              </w:tc>
              <w:tc>
                <w:tcPr>
                  <w:tcW w:type="dxa" w:w="1247"/>
                  <w:vAlign w:val="center"/>
                  <w:tcBorders>
                    <w:top w:val="single" w:sz="4" w:color="999999"/>
                    <w:left w:val="single" w:sz="4" w:color="999999"/>
                    <w:bottom w:val="single" w:sz="4" w:color="999999"/>
                    <w:right w:val="single" w:sz="4" w:color="999999"/>
                  </w:tcBorders>
                </w:tcPr>
                <w:p>
                  <w:pPr>
                    <w:spacing w:line="288" w:lineRule="auto" w:after="80" w:before="80"/>
                    <w:jc w:val="left"/>
                  </w:pPr>
                  <w:r>
                    <w:rPr>
                      <w:rFonts w:ascii="Times New Roman" w:hAnsi="Times New Roman" w:eastAsia="宋体"/>
                      <w:b/>
                      <w:color w:val="000000"/>
                      <w:sz w:val="19"/>
                    </w:rPr>
                    <w:t>通过 / 失败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608"/>
                  <w:vAlign w:val="center"/>
                  <w:tcBorders>
                    <w:top w:val="single" w:sz="4" w:color="999999"/>
                    <w:left w:val="single" w:sz="4" w:color="999999"/>
                    <w:bottom w:val="single" w:sz="4" w:color="999999"/>
                    <w:right w:val="single" w:sz="4" w:color="999999"/>
                  </w:tcBorders>
                </w:tcPr>
                <w:p>
                  <w:pPr>
                    <w:spacing w:line="288" w:lineRule="auto" w:after="80" w:before="8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9"/>
                    </w:rPr>
                    <w:t>BankDomainTests</w:t>
                  </w:r>
                </w:p>
              </w:tc>
              <w:tc>
                <w:tcPr>
                  <w:tcW w:type="dxa" w:w="3458"/>
                  <w:vAlign w:val="center"/>
                  <w:tcBorders>
                    <w:top w:val="single" w:sz="4" w:color="999999"/>
                    <w:left w:val="single" w:sz="4" w:color="999999"/>
                    <w:bottom w:val="single" w:sz="4" w:color="999999"/>
                    <w:right w:val="single" w:sz="4" w:color="999999"/>
                  </w:tcBorders>
                </w:tcPr>
                <w:p>
                  <w:pPr>
                    <w:spacing w:line="288" w:lineRule="auto" w:after="80" w:before="8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9"/>
                    </w:rPr>
                    <w:t>金额、期限、计息、状态及对象约束</w:t>
                  </w:r>
                </w:p>
              </w:tc>
              <w:tc>
                <w:tcPr>
                  <w:tcW w:type="dxa" w:w="1247"/>
                  <w:vAlign w:val="center"/>
                  <w:tcBorders>
                    <w:top w:val="single" w:sz="4" w:color="999999"/>
                    <w:left w:val="single" w:sz="4" w:color="999999"/>
                    <w:bottom w:val="single" w:sz="4" w:color="999999"/>
                    <w:right w:val="single" w:sz="4" w:color="999999"/>
                  </w:tcBorders>
                </w:tcPr>
                <w:p>
                  <w:pPr>
                    <w:spacing w:line="288" w:lineRule="auto" w:after="80" w:before="8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9"/>
                    </w:rPr>
                    <w:t>33 / 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608"/>
                  <w:vAlign w:val="center"/>
                  <w:tcBorders>
                    <w:top w:val="single" w:sz="4" w:color="999999"/>
                    <w:left w:val="single" w:sz="4" w:color="999999"/>
                    <w:bottom w:val="single" w:sz="4" w:color="999999"/>
                    <w:right w:val="single" w:sz="4" w:color="999999"/>
                  </w:tcBorders>
                </w:tcPr>
                <w:p>
                  <w:pPr>
                    <w:spacing w:line="288" w:lineRule="auto" w:after="80" w:before="8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9"/>
                    </w:rPr>
                    <w:t>BankPersistenceTests</w:t>
                  </w:r>
                </w:p>
              </w:tc>
              <w:tc>
                <w:tcPr>
                  <w:tcW w:type="dxa" w:w="3458"/>
                  <w:vAlign w:val="center"/>
                  <w:tcBorders>
                    <w:top w:val="single" w:sz="4" w:color="999999"/>
                    <w:left w:val="single" w:sz="4" w:color="999999"/>
                    <w:bottom w:val="single" w:sz="4" w:color="999999"/>
                    <w:right w:val="single" w:sz="4" w:color="999999"/>
                  </w:tcBorders>
                </w:tcPr>
                <w:p>
                  <w:pPr>
                    <w:spacing w:line="288" w:lineRule="auto" w:after="80" w:before="8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9"/>
                    </w:rPr>
                    <w:t>JSON 往返、数据校验、原子保存</w:t>
                  </w:r>
                </w:p>
              </w:tc>
              <w:tc>
                <w:tcPr>
                  <w:tcW w:type="dxa" w:w="1247"/>
                  <w:vAlign w:val="center"/>
                  <w:tcBorders>
                    <w:top w:val="single" w:sz="4" w:color="999999"/>
                    <w:left w:val="single" w:sz="4" w:color="999999"/>
                    <w:bottom w:val="single" w:sz="4" w:color="999999"/>
                    <w:right w:val="single" w:sz="4" w:color="999999"/>
                  </w:tcBorders>
                </w:tcPr>
                <w:p>
                  <w:pPr>
                    <w:spacing w:line="288" w:lineRule="auto" w:after="80" w:before="8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9"/>
                    </w:rPr>
                    <w:t>19 / 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608"/>
                  <w:vAlign w:val="center"/>
                  <w:tcBorders>
                    <w:top w:val="single" w:sz="4" w:color="999999"/>
                    <w:left w:val="single" w:sz="4" w:color="999999"/>
                    <w:bottom w:val="single" w:sz="4" w:color="999999"/>
                    <w:right w:val="single" w:sz="4" w:color="999999"/>
                  </w:tcBorders>
                </w:tcPr>
                <w:p>
                  <w:pPr>
                    <w:spacing w:line="288" w:lineRule="auto" w:after="80" w:before="8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9"/>
                    </w:rPr>
                    <w:t>BankAuditTests</w:t>
                  </w:r>
                </w:p>
              </w:tc>
              <w:tc>
                <w:tcPr>
                  <w:tcW w:type="dxa" w:w="3458"/>
                  <w:vAlign w:val="center"/>
                  <w:tcBorders>
                    <w:top w:val="single" w:sz="4" w:color="999999"/>
                    <w:left w:val="single" w:sz="4" w:color="999999"/>
                    <w:bottom w:val="single" w:sz="4" w:color="999999"/>
                    <w:right w:val="single" w:sz="4" w:color="999999"/>
                  </w:tcBorders>
                </w:tcPr>
                <w:p>
                  <w:pPr>
                    <w:spacing w:line="288" w:lineRule="auto" w:after="80" w:before="8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9"/>
                    </w:rPr>
                    <w:t>工号隔离、日志恢复及损坏处理</w:t>
                  </w:r>
                </w:p>
              </w:tc>
              <w:tc>
                <w:tcPr>
                  <w:tcW w:type="dxa" w:w="1247"/>
                  <w:vAlign w:val="center"/>
                  <w:tcBorders>
                    <w:top w:val="single" w:sz="4" w:color="999999"/>
                    <w:left w:val="single" w:sz="4" w:color="999999"/>
                    <w:bottom w:val="single" w:sz="4" w:color="999999"/>
                    <w:right w:val="single" w:sz="4" w:color="999999"/>
                  </w:tcBorders>
                </w:tcPr>
                <w:p>
                  <w:pPr>
                    <w:spacing w:line="288" w:lineRule="auto" w:after="80" w:before="8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9"/>
                    </w:rPr>
                    <w:t>8 / 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608"/>
                  <w:vAlign w:val="center"/>
                  <w:tcBorders>
                    <w:top w:val="single" w:sz="4" w:color="999999"/>
                    <w:left w:val="single" w:sz="4" w:color="999999"/>
                    <w:bottom w:val="single" w:sz="4" w:color="999999"/>
                    <w:right w:val="single" w:sz="4" w:color="999999"/>
                  </w:tcBorders>
                </w:tcPr>
                <w:p>
                  <w:pPr>
                    <w:spacing w:line="288" w:lineRule="auto" w:after="80" w:before="8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9"/>
                    </w:rPr>
                    <w:t>BankServiceTests</w:t>
                  </w:r>
                </w:p>
              </w:tc>
              <w:tc>
                <w:tcPr>
                  <w:tcW w:type="dxa" w:w="3458"/>
                  <w:vAlign w:val="center"/>
                  <w:tcBorders>
                    <w:top w:val="single" w:sz="4" w:color="999999"/>
                    <w:left w:val="single" w:sz="4" w:color="999999"/>
                    <w:bottom w:val="single" w:sz="4" w:color="999999"/>
                    <w:right w:val="single" w:sz="4" w:color="999999"/>
                  </w:tcBorders>
                </w:tcPr>
                <w:p>
                  <w:pPr>
                    <w:spacing w:line="288" w:lineRule="auto" w:after="80" w:before="8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9"/>
                    </w:rPr>
                    <w:t>会话、账户业务、计息、查询及回滚</w:t>
                  </w:r>
                </w:p>
              </w:tc>
              <w:tc>
                <w:tcPr>
                  <w:tcW w:type="dxa" w:w="1247"/>
                  <w:vAlign w:val="center"/>
                  <w:tcBorders>
                    <w:top w:val="single" w:sz="4" w:color="999999"/>
                    <w:left w:val="single" w:sz="4" w:color="999999"/>
                    <w:bottom w:val="single" w:sz="4" w:color="999999"/>
                    <w:right w:val="single" w:sz="4" w:color="999999"/>
                  </w:tcBorders>
                </w:tcPr>
                <w:p>
                  <w:pPr>
                    <w:spacing w:line="288" w:lineRule="auto" w:after="80" w:before="8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9"/>
                    </w:rPr>
                    <w:t>21 / 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608"/>
                  <w:vAlign w:val="center"/>
                  <w:tcBorders>
                    <w:top w:val="single" w:sz="4" w:color="999999"/>
                    <w:left w:val="single" w:sz="4" w:color="999999"/>
                    <w:bottom w:val="single" w:sz="4" w:color="999999"/>
                    <w:right w:val="single" w:sz="4" w:color="999999"/>
                  </w:tcBorders>
                </w:tcPr>
                <w:p>
                  <w:pPr>
                    <w:spacing w:line="288" w:lineRule="auto" w:after="80" w:before="8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9"/>
                    </w:rPr>
                    <w:t>BankUiTests</w:t>
                  </w:r>
                </w:p>
              </w:tc>
              <w:tc>
                <w:tcPr>
                  <w:tcW w:type="dxa" w:w="3458"/>
                  <w:vAlign w:val="center"/>
                  <w:tcBorders>
                    <w:top w:val="single" w:sz="4" w:color="999999"/>
                    <w:left w:val="single" w:sz="4" w:color="999999"/>
                    <w:bottom w:val="single" w:sz="4" w:color="999999"/>
                    <w:right w:val="single" w:sz="4" w:color="999999"/>
                  </w:tcBorders>
                </w:tcPr>
                <w:p>
                  <w:pPr>
                    <w:spacing w:line="288" w:lineRule="auto" w:after="80" w:before="8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9"/>
                    </w:rPr>
                    <w:t>页面、输入、业务链路、选择与刷新</w:t>
                  </w:r>
                </w:p>
              </w:tc>
              <w:tc>
                <w:tcPr>
                  <w:tcW w:type="dxa" w:w="1247"/>
                  <w:vAlign w:val="center"/>
                  <w:tcBorders>
                    <w:top w:val="single" w:sz="4" w:color="999999"/>
                    <w:left w:val="single" w:sz="4" w:color="999999"/>
                    <w:bottom w:val="single" w:sz="4" w:color="999999"/>
                    <w:right w:val="single" w:sz="4" w:color="999999"/>
                  </w:tcBorders>
                </w:tcPr>
                <w:p>
                  <w:pPr>
                    <w:spacing w:line="288" w:lineRule="auto" w:after="80" w:before="8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9"/>
                    </w:rPr>
                    <w:t>17 / 0</w:t>
                  </w:r>
                </w:p>
              </w:tc>
            </w:tr>
          </w:tbl>
          <w:p/>
          <w:p>
            <w:pPr>
              <w:spacing w:after="0"/>
            </w:pPr>
          </w:p>
          <w:p>
            <w:pPr>
              <w:keepNext w:val="0"/>
              <w:keepLines/>
              <w:spacing w:line="324" w:lineRule="auto" w:after="120" w:before="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 Qt Test 输出汇总，98 项通过、0 项失败、0 项跳过。该统计包含每组的初始化与清理各一项，扣除后为 88 项测试执行结果。故障注入产生的保存失败警告属于预期输出；界面 offscreen 插件提示未导致断言失败。</w:t>
            </w:r>
          </w:p>
          <w:p>
            <w:pPr>
              <w:keepNext/>
              <w:keepLines/>
              <w:spacing w:line="324" w:lineRule="auto" w:after="120" w:before="80"/>
              <w:jc w:val="both"/>
            </w:pPr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三  账户与权限测试</w:t>
            </w:r>
          </w:p>
          <w:p>
            <w:pPr>
              <w:keepNext w:val="0"/>
              <w:keepLines/>
              <w:spacing w:line="324" w:lineRule="auto" w:after="120" w:before="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T01 工号与会话：未进入营业员会话时请求账户业务，被拒绝；输入有效工号后可操作，非法工号被拒绝。切换营业员后，原储户会话清空。结果通过。</w:t>
            </w:r>
          </w:p>
          <w:p>
            <w:pPr>
              <w:keepNext w:val="0"/>
              <w:keepLines/>
              <w:spacing w:line="324" w:lineRule="auto" w:after="120" w:before="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T02 开户与恢复：创建姓名、地址及密码合法的账户，检查账号、独立密码盐和摘要；重新建立服务对象后可读取并登录。重复使用相同密码的不同账户具有不同盐和摘要。结果通过。</w:t>
            </w:r>
          </w:p>
          <w:p>
            <w:pPr>
              <w:keepNext w:val="0"/>
              <w:keepLines/>
              <w:spacing w:line="324" w:lineRule="auto" w:after="120" w:before="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T03 登录锁定：连续输入五次错误密码，第五次触发锁定；59 秒时正确密码仍被拒绝，60 秒后可成功登录。结果通过。</w:t>
            </w:r>
          </w:p>
          <w:p>
            <w:pPr>
              <w:keepNext w:val="0"/>
              <w:keepLines/>
              <w:spacing w:line="324" w:lineRule="auto" w:after="120" w:before="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T04 挂失与解挂：挂失后存取款、资料和密码修改均被拒绝；仍可登录查询；错误密码解挂不生效，正确密码解挂后恢复操作。结果通过。</w:t>
            </w:r>
          </w:p>
        </w:tc>
      </w:tr>
    </w:tbl>
    <w:p>
      <w:pPr>
        <w:spacing w:after="0" w:before="0" w:line="20" w:lineRule="exact"/>
      </w:pPr>
      <w:r>
        <w:br w:type="page"/>
      </w:r>
    </w:p>
    <w:tbl>
      <w:tblPr>
        <w:tblW w:w="0" w:type="auto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1E0" w:firstRow="1" w:lastRow="1" w:firstColumn="1" w:lastColumn="1" w:noHBand="0" w:noVBand="0"/>
      </w:tblPr>
      <w:tblGrid>
        <w:gridCol w:w="1820"/>
        <w:gridCol w:w="106"/>
        <w:gridCol w:w="2051"/>
        <w:gridCol w:w="1523"/>
        <w:gridCol w:w="4092"/>
      </w:tblGrid>
      <w:tr w:rsidR="00E30BD6" w14:paraId="1B897552" w14:textId="77777777" w:rsidTr="006711BA">
        <w:trPr/>
        <w:tc>
          <w:tcPr>
            <w:tcW w:w="1820" w:type="dxa"/>
            <w:tcBorders>
              <w:top w:val="single" w:sz="4" w:space="0" w:color="auto"/>
              <w:bottom w:val="single" w:sz="4" w:space="0" w:color="auto"/>
            </w:tcBorders>
            <w:vAlign w:val="top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 w:val="0"/>
              <w:keepLines/>
              <w:spacing w:line="324" w:lineRule="auto" w:after="120" w:befor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测试报告（续）</w:t>
            </w:r>
          </w:p>
        </w:tc>
        <w:tc>
          <w:tcPr>
            <w:tcW w:w="7772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top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/>
              <w:keepLines/>
              <w:spacing w:line="324" w:lineRule="auto" w:after="120" w:before="80"/>
              <w:jc w:val="both"/>
            </w:pPr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四  计息与统计的具体测试数据</w:t>
            </w:r>
          </w:p>
          <w:p>
            <w:pPr>
              <w:keepNext w:val="0"/>
              <w:keepLines/>
              <w:spacing w:line="324" w:lineRule="auto" w:after="120" w:before="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T05 独立存款：2026 年 1 月 1 日分别存入 10000.00 元一年期和 25000.50 元三年期，得到 FD000001、FD000002 及对应交易编号，到期日分别为 2027 年和 2029 年的 1 月 1 日。重启后新增五年期存款取得 FD000003，未重复使用旧号。结果通过。</w:t>
            </w:r>
          </w:p>
          <w:p>
            <w:pPr>
              <w:keepNext w:val="0"/>
              <w:keepLines/>
              <w:spacing w:line="324" w:lineRule="auto" w:after="120" w:before="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T06 提前部分支取：一年期本金 10000.00 元，存入次日支取 4000.00 元。按 4000×0.0005÷365 计算，利息四舍五入为 0.01 元，实付 4000.01 元，剩余本金 6000.00 元。预览前后状态一致，正式支取后才增加流水并减少本金。结果通过。</w:t>
            </w:r>
          </w:p>
          <w:p>
            <w:pPr>
              <w:keepNext w:val="0"/>
              <w:keepLines/>
              <w:spacing w:line="324" w:lineRule="auto" w:after="120" w:before="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T07 到期与逾期支取：10000.00 元一年期到期时支取 4000.00 元，利息为 79.20 元；再过一年支取 2000.00 元，利息为 39.60 元，未额外追加逾期利息，剩余本金为 4000.00 元。结果通过。</w:t>
            </w:r>
          </w:p>
          <w:p>
            <w:pPr>
              <w:keepNext w:val="0"/>
              <w:keepLines/>
              <w:spacing w:line="324" w:lineRule="auto" w:after="120" w:before="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T08 三日备款：以 2026 年 1 月 1 日为基准日，设置 1 月 1 日至 5 日到期的存款；其中 3 日到期存款已结清，4 日到期存款部分支取后余 2000.00 元。1 日和 5 日到期存款不计入。实际结果如下。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701"/>
              <w:gridCol w:w="624"/>
              <w:gridCol w:w="1701"/>
              <w:gridCol w:w="1587"/>
              <w:gridCol w:w="1701"/>
            </w:tblGrid>
            <w:tr>
              <w:trPr>
                <w:cantSplit/>
                <w:tblHeader/>
              </w:trPr>
              <w:tc>
                <w:tcPr>
                  <w:tcW w:type="dxa" w:w="1701"/>
                  <w:vAlign w:val="center"/>
                  <w:tcBorders>
                    <w:top w:val="single" w:sz="4" w:color="999999"/>
                    <w:left w:val="single" w:sz="4" w:color="999999"/>
                    <w:bottom w:val="single" w:sz="4" w:color="999999"/>
                    <w:right w:val="single" w:sz="4" w:color="999999"/>
                  </w:tcBorders>
                </w:tcPr>
                <w:p>
                  <w:pPr>
                    <w:spacing w:line="288" w:lineRule="auto" w:after="80" w:before="80"/>
                    <w:jc w:val="left"/>
                  </w:pPr>
                  <w:r>
                    <w:rPr>
                      <w:rFonts w:ascii="Times New Roman" w:hAnsi="Times New Roman" w:eastAsia="宋体"/>
                      <w:b/>
                      <w:color w:val="000000"/>
                      <w:sz w:val="19"/>
                    </w:rPr>
                    <w:t>到期日期</w:t>
                  </w:r>
                </w:p>
              </w:tc>
              <w:tc>
                <w:tcPr>
                  <w:tcW w:type="dxa" w:w="624"/>
                  <w:vAlign w:val="center"/>
                  <w:tcBorders>
                    <w:top w:val="single" w:sz="4" w:color="999999"/>
                    <w:left w:val="single" w:sz="4" w:color="999999"/>
                    <w:bottom w:val="single" w:sz="4" w:color="999999"/>
                    <w:right w:val="single" w:sz="4" w:color="999999"/>
                  </w:tcBorders>
                </w:tcPr>
                <w:p>
                  <w:pPr>
                    <w:spacing w:line="288" w:lineRule="auto" w:after="80" w:before="80"/>
                    <w:jc w:val="left"/>
                  </w:pPr>
                  <w:r>
                    <w:rPr>
                      <w:rFonts w:ascii="Times New Roman" w:hAnsi="Times New Roman" w:eastAsia="宋体"/>
                      <w:b/>
                      <w:color w:val="000000"/>
                      <w:sz w:val="19"/>
                    </w:rPr>
                    <w:t>笔数</w:t>
                  </w:r>
                </w:p>
              </w:tc>
              <w:tc>
                <w:tcPr>
                  <w:tcW w:type="dxa" w:w="1701"/>
                  <w:vAlign w:val="center"/>
                  <w:tcBorders>
                    <w:top w:val="single" w:sz="4" w:color="999999"/>
                    <w:left w:val="single" w:sz="4" w:color="999999"/>
                    <w:bottom w:val="single" w:sz="4" w:color="999999"/>
                    <w:right w:val="single" w:sz="4" w:color="999999"/>
                  </w:tcBorders>
                </w:tcPr>
                <w:p>
                  <w:pPr>
                    <w:spacing w:line="288" w:lineRule="auto" w:after="80" w:before="80"/>
                    <w:jc w:val="left"/>
                  </w:pPr>
                  <w:r>
                    <w:rPr>
                      <w:rFonts w:ascii="Times New Roman" w:hAnsi="Times New Roman" w:eastAsia="宋体"/>
                      <w:b/>
                      <w:color w:val="000000"/>
                      <w:sz w:val="19"/>
                    </w:rPr>
                    <w:t>剩余本金</w:t>
                  </w:r>
                </w:p>
              </w:tc>
              <w:tc>
                <w:tcPr>
                  <w:tcW w:type="dxa" w:w="1587"/>
                  <w:vAlign w:val="center"/>
                  <w:tcBorders>
                    <w:top w:val="single" w:sz="4" w:color="999999"/>
                    <w:left w:val="single" w:sz="4" w:color="999999"/>
                    <w:bottom w:val="single" w:sz="4" w:color="999999"/>
                    <w:right w:val="single" w:sz="4" w:color="999999"/>
                  </w:tcBorders>
                </w:tcPr>
                <w:p>
                  <w:pPr>
                    <w:spacing w:line="288" w:lineRule="auto" w:after="80" w:before="80"/>
                    <w:jc w:val="left"/>
                  </w:pPr>
                  <w:r>
                    <w:rPr>
                      <w:rFonts w:ascii="Times New Roman" w:hAnsi="Times New Roman" w:eastAsia="宋体"/>
                      <w:b/>
                      <w:color w:val="000000"/>
                      <w:sz w:val="19"/>
                    </w:rPr>
                    <w:t>到期利息</w:t>
                  </w:r>
                </w:p>
              </w:tc>
              <w:tc>
                <w:tcPr>
                  <w:tcW w:type="dxa" w:w="1701"/>
                  <w:vAlign w:val="center"/>
                  <w:tcBorders>
                    <w:top w:val="single" w:sz="4" w:color="999999"/>
                    <w:left w:val="single" w:sz="4" w:color="999999"/>
                    <w:bottom w:val="single" w:sz="4" w:color="999999"/>
                    <w:right w:val="single" w:sz="4" w:color="999999"/>
                  </w:tcBorders>
                </w:tcPr>
                <w:p>
                  <w:pPr>
                    <w:spacing w:line="288" w:lineRule="auto" w:after="80" w:before="80"/>
                    <w:jc w:val="left"/>
                  </w:pPr>
                  <w:r>
                    <w:rPr>
                      <w:rFonts w:ascii="Times New Roman" w:hAnsi="Times New Roman" w:eastAsia="宋体"/>
                      <w:b/>
                      <w:color w:val="000000"/>
                      <w:sz w:val="19"/>
                    </w:rPr>
                    <w:t>预计备款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01"/>
                  <w:vAlign w:val="center"/>
                  <w:tcBorders>
                    <w:top w:val="single" w:sz="4" w:color="999999"/>
                    <w:left w:val="single" w:sz="4" w:color="999999"/>
                    <w:bottom w:val="single" w:sz="4" w:color="999999"/>
                    <w:right w:val="single" w:sz="4" w:color="999999"/>
                  </w:tcBorders>
                </w:tcPr>
                <w:p>
                  <w:pPr>
                    <w:spacing w:line="288" w:lineRule="auto" w:after="80" w:before="8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9"/>
                    </w:rPr>
                    <w:t>2026-01-02</w:t>
                  </w:r>
                </w:p>
              </w:tc>
              <w:tc>
                <w:tcPr>
                  <w:tcW w:type="dxa" w:w="624"/>
                  <w:vAlign w:val="center"/>
                  <w:tcBorders>
                    <w:top w:val="single" w:sz="4" w:color="999999"/>
                    <w:left w:val="single" w:sz="4" w:color="999999"/>
                    <w:bottom w:val="single" w:sz="4" w:color="999999"/>
                    <w:right w:val="single" w:sz="4" w:color="999999"/>
                  </w:tcBorders>
                </w:tcPr>
                <w:p>
                  <w:pPr>
                    <w:spacing w:line="288" w:lineRule="auto" w:after="80" w:before="8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9"/>
                    </w:rPr>
                    <w:t>1</w:t>
                  </w:r>
                </w:p>
              </w:tc>
              <w:tc>
                <w:tcPr>
                  <w:tcW w:type="dxa" w:w="1701"/>
                  <w:vAlign w:val="center"/>
                  <w:tcBorders>
                    <w:top w:val="single" w:sz="4" w:color="999999"/>
                    <w:left w:val="single" w:sz="4" w:color="999999"/>
                    <w:bottom w:val="single" w:sz="4" w:color="999999"/>
                    <w:right w:val="single" w:sz="4" w:color="999999"/>
                  </w:tcBorders>
                </w:tcPr>
                <w:p>
                  <w:pPr>
                    <w:spacing w:line="288" w:lineRule="auto" w:after="80" w:before="8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9"/>
                    </w:rPr>
                    <w:t>2000.00</w:t>
                  </w:r>
                </w:p>
              </w:tc>
              <w:tc>
                <w:tcPr>
                  <w:tcW w:type="dxa" w:w="1587"/>
                  <w:vAlign w:val="center"/>
                  <w:tcBorders>
                    <w:top w:val="single" w:sz="4" w:color="999999"/>
                    <w:left w:val="single" w:sz="4" w:color="999999"/>
                    <w:bottom w:val="single" w:sz="4" w:color="999999"/>
                    <w:right w:val="single" w:sz="4" w:color="999999"/>
                  </w:tcBorders>
                </w:tcPr>
                <w:p>
                  <w:pPr>
                    <w:spacing w:line="288" w:lineRule="auto" w:after="80" w:before="8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9"/>
                    </w:rPr>
                    <w:t>39.60</w:t>
                  </w:r>
                </w:p>
              </w:tc>
              <w:tc>
                <w:tcPr>
                  <w:tcW w:type="dxa" w:w="1701"/>
                  <w:vAlign w:val="center"/>
                  <w:tcBorders>
                    <w:top w:val="single" w:sz="4" w:color="999999"/>
                    <w:left w:val="single" w:sz="4" w:color="999999"/>
                    <w:bottom w:val="single" w:sz="4" w:color="999999"/>
                    <w:right w:val="single" w:sz="4" w:color="999999"/>
                  </w:tcBorders>
                </w:tcPr>
                <w:p>
                  <w:pPr>
                    <w:spacing w:line="288" w:lineRule="auto" w:after="80" w:before="8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9"/>
                    </w:rPr>
                    <w:t>2039.60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01"/>
                  <w:vAlign w:val="center"/>
                  <w:tcBorders>
                    <w:top w:val="single" w:sz="4" w:color="999999"/>
                    <w:left w:val="single" w:sz="4" w:color="999999"/>
                    <w:bottom w:val="single" w:sz="4" w:color="999999"/>
                    <w:right w:val="single" w:sz="4" w:color="999999"/>
                  </w:tcBorders>
                </w:tcPr>
                <w:p>
                  <w:pPr>
                    <w:spacing w:line="288" w:lineRule="auto" w:after="80" w:before="8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9"/>
                    </w:rPr>
                    <w:t>2026-01-03</w:t>
                  </w:r>
                </w:p>
              </w:tc>
              <w:tc>
                <w:tcPr>
                  <w:tcW w:type="dxa" w:w="624"/>
                  <w:vAlign w:val="center"/>
                  <w:tcBorders>
                    <w:top w:val="single" w:sz="4" w:color="999999"/>
                    <w:left w:val="single" w:sz="4" w:color="999999"/>
                    <w:bottom w:val="single" w:sz="4" w:color="999999"/>
                    <w:right w:val="single" w:sz="4" w:color="999999"/>
                  </w:tcBorders>
                </w:tcPr>
                <w:p>
                  <w:pPr>
                    <w:spacing w:line="288" w:lineRule="auto" w:after="80" w:before="8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9"/>
                    </w:rPr>
                    <w:t>0</w:t>
                  </w:r>
                </w:p>
              </w:tc>
              <w:tc>
                <w:tcPr>
                  <w:tcW w:type="dxa" w:w="1701"/>
                  <w:vAlign w:val="center"/>
                  <w:tcBorders>
                    <w:top w:val="single" w:sz="4" w:color="999999"/>
                    <w:left w:val="single" w:sz="4" w:color="999999"/>
                    <w:bottom w:val="single" w:sz="4" w:color="999999"/>
                    <w:right w:val="single" w:sz="4" w:color="999999"/>
                  </w:tcBorders>
                </w:tcPr>
                <w:p>
                  <w:pPr>
                    <w:spacing w:line="288" w:lineRule="auto" w:after="80" w:before="8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9"/>
                    </w:rPr>
                    <w:t>0.00</w:t>
                  </w:r>
                </w:p>
              </w:tc>
              <w:tc>
                <w:tcPr>
                  <w:tcW w:type="dxa" w:w="1587"/>
                  <w:vAlign w:val="center"/>
                  <w:tcBorders>
                    <w:top w:val="single" w:sz="4" w:color="999999"/>
                    <w:left w:val="single" w:sz="4" w:color="999999"/>
                    <w:bottom w:val="single" w:sz="4" w:color="999999"/>
                    <w:right w:val="single" w:sz="4" w:color="999999"/>
                  </w:tcBorders>
                </w:tcPr>
                <w:p>
                  <w:pPr>
                    <w:spacing w:line="288" w:lineRule="auto" w:after="80" w:before="8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9"/>
                    </w:rPr>
                    <w:t>0.00</w:t>
                  </w:r>
                </w:p>
              </w:tc>
              <w:tc>
                <w:tcPr>
                  <w:tcW w:type="dxa" w:w="1701"/>
                  <w:vAlign w:val="center"/>
                  <w:tcBorders>
                    <w:top w:val="single" w:sz="4" w:color="999999"/>
                    <w:left w:val="single" w:sz="4" w:color="999999"/>
                    <w:bottom w:val="single" w:sz="4" w:color="999999"/>
                    <w:right w:val="single" w:sz="4" w:color="999999"/>
                  </w:tcBorders>
                </w:tcPr>
                <w:p>
                  <w:pPr>
                    <w:spacing w:line="288" w:lineRule="auto" w:after="80" w:before="8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9"/>
                    </w:rPr>
                    <w:t>0.00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01"/>
                  <w:vAlign w:val="center"/>
                  <w:tcBorders>
                    <w:top w:val="single" w:sz="4" w:color="999999"/>
                    <w:left w:val="single" w:sz="4" w:color="999999"/>
                    <w:bottom w:val="single" w:sz="4" w:color="999999"/>
                    <w:right w:val="single" w:sz="4" w:color="999999"/>
                  </w:tcBorders>
                </w:tcPr>
                <w:p>
                  <w:pPr>
                    <w:spacing w:line="288" w:lineRule="auto" w:after="80" w:before="8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9"/>
                    </w:rPr>
                    <w:t>2026-01-04</w:t>
                  </w:r>
                </w:p>
              </w:tc>
              <w:tc>
                <w:tcPr>
                  <w:tcW w:type="dxa" w:w="624"/>
                  <w:vAlign w:val="center"/>
                  <w:tcBorders>
                    <w:top w:val="single" w:sz="4" w:color="999999"/>
                    <w:left w:val="single" w:sz="4" w:color="999999"/>
                    <w:bottom w:val="single" w:sz="4" w:color="999999"/>
                    <w:right w:val="single" w:sz="4" w:color="999999"/>
                  </w:tcBorders>
                </w:tcPr>
                <w:p>
                  <w:pPr>
                    <w:spacing w:line="288" w:lineRule="auto" w:after="80" w:before="8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9"/>
                    </w:rPr>
                    <w:t>1</w:t>
                  </w:r>
                </w:p>
              </w:tc>
              <w:tc>
                <w:tcPr>
                  <w:tcW w:type="dxa" w:w="1701"/>
                  <w:vAlign w:val="center"/>
                  <w:tcBorders>
                    <w:top w:val="single" w:sz="4" w:color="999999"/>
                    <w:left w:val="single" w:sz="4" w:color="999999"/>
                    <w:bottom w:val="single" w:sz="4" w:color="999999"/>
                    <w:right w:val="single" w:sz="4" w:color="999999"/>
                  </w:tcBorders>
                </w:tcPr>
                <w:p>
                  <w:pPr>
                    <w:spacing w:line="288" w:lineRule="auto" w:after="80" w:before="8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9"/>
                    </w:rPr>
                    <w:t>2000.00</w:t>
                  </w:r>
                </w:p>
              </w:tc>
              <w:tc>
                <w:tcPr>
                  <w:tcW w:type="dxa" w:w="1587"/>
                  <w:vAlign w:val="center"/>
                  <w:tcBorders>
                    <w:top w:val="single" w:sz="4" w:color="999999"/>
                    <w:left w:val="single" w:sz="4" w:color="999999"/>
                    <w:bottom w:val="single" w:sz="4" w:color="999999"/>
                    <w:right w:val="single" w:sz="4" w:color="999999"/>
                  </w:tcBorders>
                </w:tcPr>
                <w:p>
                  <w:pPr>
                    <w:spacing w:line="288" w:lineRule="auto" w:after="80" w:before="8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9"/>
                    </w:rPr>
                    <w:t>39.60</w:t>
                  </w:r>
                </w:p>
              </w:tc>
              <w:tc>
                <w:tcPr>
                  <w:tcW w:type="dxa" w:w="1701"/>
                  <w:vAlign w:val="center"/>
                  <w:tcBorders>
                    <w:top w:val="single" w:sz="4" w:color="999999"/>
                    <w:left w:val="single" w:sz="4" w:color="999999"/>
                    <w:bottom w:val="single" w:sz="4" w:color="999999"/>
                    <w:right w:val="single" w:sz="4" w:color="999999"/>
                  </w:tcBorders>
                </w:tcPr>
                <w:p>
                  <w:pPr>
                    <w:spacing w:line="288" w:lineRule="auto" w:after="80" w:before="8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9"/>
                    </w:rPr>
                    <w:t>2039.60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01"/>
                  <w:vAlign w:val="center"/>
                  <w:tcBorders>
                    <w:top w:val="single" w:sz="4" w:color="999999"/>
                    <w:left w:val="single" w:sz="4" w:color="999999"/>
                    <w:bottom w:val="single" w:sz="4" w:color="999999"/>
                    <w:right w:val="single" w:sz="4" w:color="999999"/>
                  </w:tcBorders>
                </w:tcPr>
                <w:p>
                  <w:pPr>
                    <w:spacing w:line="288" w:lineRule="auto" w:after="80" w:before="8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9"/>
                    </w:rPr>
                    <w:t>三日合计</w:t>
                  </w:r>
                </w:p>
              </w:tc>
              <w:tc>
                <w:tcPr>
                  <w:tcW w:type="dxa" w:w="624"/>
                  <w:vAlign w:val="center"/>
                  <w:tcBorders>
                    <w:top w:val="single" w:sz="4" w:color="999999"/>
                    <w:left w:val="single" w:sz="4" w:color="999999"/>
                    <w:bottom w:val="single" w:sz="4" w:color="999999"/>
                    <w:right w:val="single" w:sz="4" w:color="999999"/>
                  </w:tcBorders>
                </w:tcPr>
                <w:p>
                  <w:pPr>
                    <w:spacing w:line="288" w:lineRule="auto" w:after="80" w:before="8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9"/>
                    </w:rPr>
                    <w:t>2</w:t>
                  </w:r>
                </w:p>
              </w:tc>
              <w:tc>
                <w:tcPr>
                  <w:tcW w:type="dxa" w:w="1701"/>
                  <w:vAlign w:val="center"/>
                  <w:tcBorders>
                    <w:top w:val="single" w:sz="4" w:color="999999"/>
                    <w:left w:val="single" w:sz="4" w:color="999999"/>
                    <w:bottom w:val="single" w:sz="4" w:color="999999"/>
                    <w:right w:val="single" w:sz="4" w:color="999999"/>
                  </w:tcBorders>
                </w:tcPr>
                <w:p>
                  <w:pPr>
                    <w:spacing w:line="288" w:lineRule="auto" w:after="80" w:before="8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9"/>
                    </w:rPr>
                    <w:t>4000.00</w:t>
                  </w:r>
                </w:p>
              </w:tc>
              <w:tc>
                <w:tcPr>
                  <w:tcW w:type="dxa" w:w="1587"/>
                  <w:vAlign w:val="center"/>
                  <w:tcBorders>
                    <w:top w:val="single" w:sz="4" w:color="999999"/>
                    <w:left w:val="single" w:sz="4" w:color="999999"/>
                    <w:bottom w:val="single" w:sz="4" w:color="999999"/>
                    <w:right w:val="single" w:sz="4" w:color="999999"/>
                  </w:tcBorders>
                </w:tcPr>
                <w:p>
                  <w:pPr>
                    <w:spacing w:line="288" w:lineRule="auto" w:after="80" w:before="8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9"/>
                    </w:rPr>
                    <w:t>79.20</w:t>
                  </w:r>
                </w:p>
              </w:tc>
              <w:tc>
                <w:tcPr>
                  <w:tcW w:type="dxa" w:w="1701"/>
                  <w:vAlign w:val="center"/>
                  <w:tcBorders>
                    <w:top w:val="single" w:sz="4" w:color="999999"/>
                    <w:left w:val="single" w:sz="4" w:color="999999"/>
                    <w:bottom w:val="single" w:sz="4" w:color="999999"/>
                    <w:right w:val="single" w:sz="4" w:color="999999"/>
                  </w:tcBorders>
                </w:tcPr>
                <w:p>
                  <w:pPr>
                    <w:spacing w:line="288" w:lineRule="auto" w:after="80" w:before="8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9"/>
                    </w:rPr>
                    <w:t>4079.20</w:t>
                  </w:r>
                </w:p>
              </w:tc>
            </w:tr>
          </w:tbl>
          <w:p/>
          <w:p>
            <w:pPr>
              <w:spacing w:after="0"/>
            </w:pPr>
          </w:p>
          <w:p>
            <w:pPr>
              <w:keepNext w:val="0"/>
              <w:keepLines/>
              <w:spacing w:line="324" w:lineRule="auto" w:after="120" w:before="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表中金额单位为元。另以两笔各 0.25 元的一年期存款检验舍入顺序：每笔利息为 0.495 分，各自舍入到 0 分后汇总，备款为 0.50 元。结果通过。</w:t>
            </w:r>
          </w:p>
          <w:p>
            <w:pPr>
              <w:keepNext/>
              <w:keepLines/>
              <w:spacing w:line="324" w:lineRule="auto" w:after="120" w:before="80"/>
              <w:jc w:val="both"/>
            </w:pPr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五  输入边界与异常恢复</w:t>
            </w:r>
          </w:p>
          <w:p>
            <w:pPr>
              <w:keepNext w:val="0"/>
              <w:keepLines/>
              <w:spacing w:line="324" w:lineRule="auto" w:after="120" w:before="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T09 非法输入：金额为零、负数、超过两位小数，以及支取超过剩余本金、无效存款号等均被拒绝，业务数据不变。结果通过。</w:t>
            </w:r>
          </w:p>
          <w:p>
            <w:pPr>
              <w:keepNext w:val="0"/>
              <w:keepLines/>
              <w:spacing w:line="324" w:lineRule="auto" w:after="120" w:before="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T10 文件与保存故障：验证 JSON 往返、整数精度、重复编号、损坏文件和不支持的版本；注入编码或原子写入失败后，原文件与正式内存状态保持不变。审计单独失败时核心业务仍成功，返回警告。结果通过。</w:t>
            </w:r>
          </w:p>
        </w:tc>
      </w:tr>
    </w:tbl>
    <w:p>
      <w:pPr>
        <w:spacing w:after="0" w:before="0" w:line="20" w:lineRule="exact"/>
      </w:pPr>
      <w:r>
        <w:br w:type="page"/>
      </w:r>
    </w:p>
    <w:tbl>
      <w:tblPr>
        <w:tblW w:w="0" w:type="auto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1E0" w:firstRow="1" w:lastRow="1" w:firstColumn="1" w:lastColumn="1" w:noHBand="0" w:noVBand="0"/>
      </w:tblPr>
      <w:tblGrid>
        <w:gridCol w:w="1820"/>
        <w:gridCol w:w="106"/>
        <w:gridCol w:w="2051"/>
        <w:gridCol w:w="1523"/>
        <w:gridCol w:w="4092"/>
      </w:tblGrid>
      <w:tr w:rsidR="00E30BD6" w14:paraId="1B897552" w14:textId="77777777" w:rsidTr="006711BA">
        <w:trPr/>
        <w:tc>
          <w:tcPr>
            <w:tcW w:w="1820" w:type="dxa"/>
            <w:tcBorders>
              <w:top w:val="single" w:sz="4" w:space="0" w:color="auto"/>
              <w:bottom w:val="single" w:sz="4" w:space="0" w:color="auto"/>
            </w:tcBorders>
            <w:vAlign w:val="top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 w:val="0"/>
              <w:keepLines/>
              <w:spacing w:line="324" w:lineRule="auto" w:after="120" w:befor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测试报告（续）</w:t>
            </w:r>
          </w:p>
        </w:tc>
        <w:tc>
          <w:tcPr>
            <w:tcW w:w="7772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top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/>
              <w:keepLines/>
              <w:spacing w:line="324" w:lineRule="auto" w:after="120" w:before="80"/>
              <w:jc w:val="both"/>
            </w:pPr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六  运行界面与显示结果</w:t>
            </w:r>
          </w:p>
          <w:p>
            <w:pPr>
              <w:keepNext w:val="0"/>
              <w:keepLines/>
              <w:spacing w:line="324" w:lineRule="auto" w:after="120" w:before="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以下截图使用临时演示账户，营业员工号为 E03。账户包含 12000.00 元一年期、35000.00 元三年期和 8000.00 元五年期存款，总剩余本金 55000.00 元。截图用于核对界面字段与数据显示。</w:t>
            </w:r>
          </w:p>
          <w:p>
            <w:pPr>
              <w:keepNext/>
              <w:keepLines/>
              <w:spacing w:line="324" w:lineRule="auto" w:after="40" w:befor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644000" cy="3148475"/>
                  <wp:docPr id="3" name="Picture 3" descr="图 3  储户账户中心及三笔独立定期存款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account-cente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000" cy="31484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spacing w:line="324" w:lineRule="auto" w:after="160" w:befor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图 3  储户账户中心及三笔独立定期存款</w:t>
            </w:r>
          </w:p>
          <w:p>
            <w:pPr>
              <w:keepNext w:val="0"/>
              <w:keepLines/>
              <w:spacing w:line="324" w:lineRule="auto" w:after="120" w:before="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三笔存款具有独立编号、期限、利率和到期日。账户中心同时提供存取款、信息维护、挂失和退出入口。</w:t>
            </w:r>
          </w:p>
          <w:p>
            <w:pPr>
              <w:keepNext/>
              <w:keepLines/>
              <w:spacing w:line="324" w:lineRule="auto" w:after="40" w:befor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644000" cy="3222367"/>
                  <wp:docPr id="4" name="Picture 4" descr="图 4  储户交易记录列表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transactions-small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000" cy="32223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spacing w:line="324" w:lineRule="auto" w:after="160" w:befor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图 4  储户交易记录列表</w:t>
            </w:r>
          </w:p>
          <w:p>
            <w:pPr>
              <w:keepNext w:val="0"/>
              <w:keepLines/>
              <w:spacing w:line="324" w:lineRule="auto" w:after="120" w:before="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交易页记录三次存款操作，保留交易编号、关联存款和办理工号；存款记录利息及实际支取金额为零，与存款业务含义一致。</w:t>
            </w:r>
          </w:p>
        </w:tc>
      </w:tr>
    </w:tbl>
    <w:p>
      <w:pPr>
        <w:spacing w:after="0" w:before="0" w:line="20" w:lineRule="exact"/>
      </w:pPr>
      <w:r>
        <w:br w:type="page"/>
      </w:r>
    </w:p>
    <w:tbl>
      <w:tblPr>
        <w:tblW w:w="0" w:type="auto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1E0" w:firstRow="1" w:lastRow="1" w:firstColumn="1" w:lastColumn="1" w:noHBand="0" w:noVBand="0"/>
      </w:tblPr>
      <w:tblGrid>
        <w:gridCol w:w="1820"/>
        <w:gridCol w:w="106"/>
        <w:gridCol w:w="2051"/>
        <w:gridCol w:w="1523"/>
        <w:gridCol w:w="4092"/>
      </w:tblGrid>
      <w:tr w:rsidR="00E30BD6" w14:paraId="1B897552" w14:textId="77777777" w:rsidTr="006711BA">
        <w:trPr/>
        <w:tc>
          <w:tcPr>
            <w:tcW w:w="1820" w:type="dxa"/>
            <w:tcBorders>
              <w:top w:val="single" w:sz="4" w:space="0" w:color="auto"/>
              <w:bottom w:val="single" w:sz="4" w:space="0" w:color="auto"/>
            </w:tcBorders>
            <w:vAlign w:val="top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 w:val="0"/>
              <w:keepLines/>
              <w:spacing w:line="324" w:lineRule="auto" w:after="120" w:befor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测试报告（续）</w:t>
            </w:r>
          </w:p>
        </w:tc>
        <w:tc>
          <w:tcPr>
            <w:tcW w:w="7772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top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/>
              <w:keepLines/>
              <w:spacing w:line="324" w:lineRule="auto" w:after="120" w:before="80"/>
              <w:jc w:val="both"/>
            </w:pPr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七  查询与审计界面</w:t>
            </w:r>
          </w:p>
          <w:p>
            <w:pPr>
              <w:keepNext/>
              <w:keepLines/>
              <w:spacing w:line="324" w:lineRule="auto" w:after="40" w:befor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644000" cy="3148475"/>
                  <wp:docPr id="5" name="Picture 5" descr="图 5  储户查询及账户汇总显示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depositor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000" cy="31484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spacing w:line="324" w:lineRule="auto" w:after="160" w:befor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图 5  储户查询及账户汇总显示</w:t>
            </w:r>
          </w:p>
          <w:p>
            <w:pPr>
              <w:keepNext w:val="0"/>
              <w:keepLines/>
              <w:spacing w:line="324" w:lineRule="auto" w:after="120" w:before="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查询界面提供账号、姓名和状态条件，结果显示储户基本资料及本金汇总，不显示密码盐、摘要等凭据字段。</w:t>
            </w:r>
          </w:p>
          <w:p>
            <w:pPr>
              <w:keepNext/>
              <w:keepLines/>
              <w:spacing w:line="324" w:lineRule="auto" w:after="40" w:befor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644000" cy="3148475"/>
                  <wp:docPr id="6" name="Picture 6" descr="图 6  当前营业员审计日志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-audi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000" cy="31484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spacing w:line="324" w:lineRule="auto" w:after="160" w:befor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图 6  当前营业员审计日志</w:t>
            </w:r>
          </w:p>
          <w:p>
            <w:pPr>
              <w:keepNext w:val="0"/>
              <w:keepLines/>
              <w:spacing w:line="324" w:lineRule="auto" w:after="120" w:before="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审计界面显示 E03 办理的开户、登录和存款记录，并提供动作筛选。日志使用稳定动作码存盘，界面转换为中文业务名称。工号隔离及动作筛选由自动测试验证。</w:t>
            </w:r>
          </w:p>
        </w:tc>
      </w:tr>
    </w:tbl>
    <w:p>
      <w:pPr>
        <w:spacing w:after="0" w:before="0" w:line="20" w:lineRule="exact"/>
      </w:pPr>
      <w:r>
        <w:br w:type="page"/>
      </w:r>
    </w:p>
    <w:tbl>
      <w:tblPr>
        <w:tblW w:w="0" w:type="auto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1E0" w:firstRow="1" w:lastRow="1" w:firstColumn="1" w:lastColumn="1" w:noHBand="0" w:noVBand="0"/>
      </w:tblPr>
      <w:tblGrid>
        <w:gridCol w:w="1820"/>
        <w:gridCol w:w="106"/>
        <w:gridCol w:w="2051"/>
        <w:gridCol w:w="1523"/>
        <w:gridCol w:w="4092"/>
      </w:tblGrid>
      <w:tr w:rsidR="00E30BD6" w14:paraId="1B897552" w14:textId="77777777" w:rsidTr="006711BA">
        <w:trPr/>
        <w:tc>
          <w:tcPr>
            <w:tcW w:w="1820" w:type="dxa"/>
            <w:tcBorders>
              <w:top w:val="single" w:sz="4" w:space="0" w:color="auto"/>
              <w:bottom w:val="single" w:sz="4" w:space="0" w:color="auto"/>
            </w:tcBorders>
            <w:vAlign w:val="top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 w:val="0"/>
              <w:keepLines/>
              <w:spacing w:line="324" w:lineRule="auto" w:after="120" w:befor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测试报告（续）</w:t>
            </w:r>
          </w:p>
        </w:tc>
        <w:tc>
          <w:tcPr>
            <w:tcW w:w="7772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top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/>
              <w:keepLines/>
              <w:spacing w:line="324" w:lineRule="auto" w:after="120" w:before="80"/>
              <w:jc w:val="both"/>
            </w:pPr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八  备款显示及输入校验</w:t>
            </w:r>
          </w:p>
          <w:p>
            <w:pPr>
              <w:keepNext/>
              <w:keepLines/>
              <w:spacing w:line="324" w:lineRule="auto" w:after="40" w:befor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644000" cy="3148475"/>
                  <wp:docPr id="7" name="Picture 7" descr="图 7  三日备款界面在无到期存款时显示零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forecast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000" cy="31484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spacing w:line="324" w:lineRule="auto" w:after="160" w:befor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图 7  三日备款界面在无到期存款时显示零值</w:t>
            </w:r>
          </w:p>
          <w:p>
            <w:pPr>
              <w:keepNext w:val="0"/>
              <w:keepLines/>
              <w:spacing w:line="324" w:lineRule="auto" w:after="120" w:before="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截图基准日为 2026 年 9 月 15 日，演示存款均未在随后三天到期，因此三行及合计为零。非零备款与部分支取场景见 T08 的实际测试结果。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600"/>
              <w:gridCol w:w="3600"/>
            </w:tblGrid>
            <w:tr>
              <w:tc>
                <w:tcPr>
                  <w:tcW w:type="dxa" w:w="3600"/>
                  <w:vAlign w:val="top"/>
                  <w:tcMar>
                    <w:top w:w="100" w:type="dxa"/>
                    <w:bottom w:w="100" w:type="dxa"/>
                    <w:left w:w="105" w:type="dxa"/>
                    <w:right w:w="105" w:type="dxa"/>
                  </w:tcMar>
                </w:tcPr>
                <w:p>
                  <w:pPr>
                    <w:keepNext/>
                    <w:keepLines/>
                    <w:spacing w:line="324" w:lineRule="auto" w:after="40" w:before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1"/>
                    </w:rPr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2106000" cy="2393550"/>
                        <wp:docPr id="8" name="Picture 8" descr="图 8  空金额存款校验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9-deposit-invalid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6000" cy="23935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keepNext w:val="0"/>
                    <w:keepLines/>
                    <w:spacing w:line="324" w:lineRule="auto" w:after="160" w:before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8"/>
                    </w:rPr>
                    <w:t>图 8  空金额存款校验</w:t>
                  </w:r>
                </w:p>
              </w:tc>
              <w:tc>
                <w:tcPr>
                  <w:tcW w:type="dxa" w:w="3600"/>
                  <w:vAlign w:val="top"/>
                  <w:tcMar>
                    <w:top w:w="100" w:type="dxa"/>
                    <w:bottom w:w="100" w:type="dxa"/>
                    <w:left w:w="105" w:type="dxa"/>
                    <w:right w:w="105" w:type="dxa"/>
                  </w:tcMar>
                </w:tcPr>
                <w:p>
                  <w:pPr>
                    <w:keepNext/>
                    <w:keepLines/>
                    <w:spacing w:line="324" w:lineRule="auto" w:after="40" w:before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1"/>
                    </w:rPr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2106000" cy="2045829"/>
                        <wp:docPr id="9" name="Picture 9" descr="图 9  支取本金与利息预览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0-withdraw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6000" cy="204582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keepNext w:val="0"/>
                    <w:keepLines/>
                    <w:spacing w:line="324" w:lineRule="auto" w:after="160" w:before="0"/>
                    <w:jc w:val="center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18"/>
                    </w:rPr>
                    <w:t>图 9  支取本金与利息预览</w:t>
                  </w:r>
                </w:p>
              </w:tc>
            </w:tr>
          </w:tbl>
          <w:p/>
          <w:p>
            <w:pPr>
              <w:keepNext w:val="0"/>
              <w:keepLines/>
              <w:spacing w:line="324" w:lineRule="auto" w:after="120" w:before="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图 8 中未输入合法金额时给出提示。图 9 中输入支取本金 1000.00 元，可查看提前支取、本金、利息和实付金额；该截图为存入当天的预览，计息天数为零，因此利息为零。</w:t>
            </w:r>
          </w:p>
          <w:p>
            <w:pPr>
              <w:keepNext/>
              <w:keepLines/>
              <w:spacing w:line="324" w:lineRule="auto" w:after="120" w:before="80"/>
              <w:jc w:val="both"/>
            </w:pPr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九  测试结论与适用范围</w:t>
            </w:r>
          </w:p>
          <w:p>
            <w:pPr>
              <w:keepNext w:val="0"/>
              <w:keepLines/>
              <w:spacing w:line="324" w:lineRule="auto" w:after="120" w:before="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本次测试覆盖主要业务链路、边界输入、时间边界和文件故障，所有测试断言通过。界面测试还验证部分支取后的选中行保留、业务失败后的显示状态及重启恢复。上述结果对应当前 macOS 环境，未进行 Windows 实机运行、多进程并发或大规模性能测试。</w:t>
            </w:r>
          </w:p>
        </w:tc>
      </w:tr>
    </w:tbl>
    <w:p>
      <w:pPr>
        <w:spacing w:after="0" w:before="0" w:line="20" w:lineRule="exact"/>
      </w:pPr>
      <w:r>
        <w:br w:type="page"/>
      </w:r>
    </w:p>
    <w:tbl>
      <w:tblPr>
        <w:tblW w:w="0" w:type="auto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1E0" w:firstRow="1" w:lastRow="1" w:firstColumn="1" w:lastColumn="1" w:noHBand="0" w:noVBand="0"/>
      </w:tblPr>
      <w:tblGrid>
        <w:gridCol w:w="1820"/>
        <w:gridCol w:w="106"/>
        <w:gridCol w:w="2051"/>
        <w:gridCol w:w="1523"/>
        <w:gridCol w:w="4092"/>
      </w:tblGrid>
      <w:tr w:rsidR="004739F4" w14:paraId="029DA746" w14:textId="77777777" w:rsidTr="006711BA">
        <w:trPr/>
        <w:tc>
          <w:tcPr>
            <w:tcW w:w="18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C0A1A1" w14:textId="3AA24105" w:rsidR="004739F4" w:rsidRDefault="004739F4" w:rsidP="0096327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项目链接（</w:t>
            </w:r>
            <w:r>
              <w:t>Git</w:t>
            </w:r>
            <w:r>
              <w:rPr>
                <w:rFonts w:hint="eastAsia"/>
              </w:rPr>
              <w:t>）</w:t>
            </w:r>
          </w:p>
        </w:tc>
        <w:tc>
          <w:tcPr>
            <w:tcW w:w="7772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top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 w:val="0"/>
              <w:keepLines/>
              <w:spacing w:line="324" w:lineRule="auto" w:after="120" w:before="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</w:tr>
      <w:tr w:rsidR="0005278F" w14:paraId="1294B57E" w14:textId="77777777" w:rsidTr="006711BA">
        <w:trPr/>
        <w:tc>
          <w:tcPr>
            <w:tcW w:w="18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196724" w14:textId="7EF67923" w:rsidR="0005278F" w:rsidRDefault="00C92C65" w:rsidP="0096327F">
            <w:pPr>
              <w:jc w:val="center"/>
            </w:pPr>
            <w:r>
              <w:rPr>
                <w:rFonts w:hint="eastAsia"/>
              </w:rPr>
              <w:t>申请优秀</w:t>
            </w:r>
            <w:r w:rsidR="00FF5569">
              <w:rPr>
                <w:rFonts w:hint="eastAsia"/>
              </w:rPr>
              <w:t>成绩</w:t>
            </w:r>
          </w:p>
        </w:tc>
        <w:tc>
          <w:tcPr>
            <w:tcW w:w="7772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13969311" w14:textId="04D8392F" w:rsidR="0005278F" w:rsidRDefault="0005278F" w:rsidP="00EA62FA">
            <w:r>
              <w:rPr>
                <w:rFonts w:hint="eastAsia"/>
              </w:rPr>
              <w:t>是</w:t>
            </w:r>
            <w:r w:rsidR="00605781">
              <w:rPr>
                <w:rFonts w:hint="eastAsia"/>
              </w:rPr>
              <w:t xml:space="preserve"> </w:t>
            </w:r>
            <w:r>
              <w:t>/</w:t>
            </w:r>
            <w:r w:rsidR="00605781">
              <w:t xml:space="preserve"> </w:t>
            </w:r>
            <w:r>
              <w:rPr>
                <w:rFonts w:hint="eastAsia"/>
              </w:rPr>
              <w:t>否</w:t>
            </w:r>
            <w:r w:rsidR="00605781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</w:p>
        </w:tc>
      </w:tr>
      <w:tr w:rsidR="00DF5F51" w14:paraId="619E86D6" w14:textId="77777777" w:rsidTr="006711BA">
        <w:trPr/>
        <w:tc>
          <w:tcPr>
            <w:tcW w:w="18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FD02CF" w14:textId="635BCA5D" w:rsidR="00DF5F51" w:rsidRDefault="00DF5F51" w:rsidP="0096327F">
            <w:pPr>
              <w:jc w:val="center"/>
            </w:pPr>
            <w:r>
              <w:rPr>
                <w:rFonts w:hint="eastAsia"/>
              </w:rPr>
              <w:t>项目亮点</w:t>
            </w:r>
          </w:p>
        </w:tc>
        <w:tc>
          <w:tcPr>
            <w:tcW w:w="7772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top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/>
              <w:keepLines/>
              <w:spacing w:line="324" w:lineRule="auto" w:after="120" w:before="80"/>
              <w:jc w:val="both"/>
            </w:pPr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一  项目亮点</w:t>
            </w:r>
          </w:p>
          <w:p>
            <w:pPr>
              <w:keepNext w:val="0"/>
              <w:keepLines/>
              <w:spacing w:line="324" w:lineRule="auto" w:after="120" w:before="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1．业务对象划分清楚。储户聚合多笔独立定期存款与交易，通过持续递增的编号保持跨重启关联，支持部分支取与结清历史保留。</w:t>
            </w:r>
          </w:p>
          <w:p>
            <w:pPr>
              <w:keepNext w:val="0"/>
              <w:keepLines/>
              <w:spacing w:line="324" w:lineRule="auto" w:after="120" w:before="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2．金额规则统一。全程以整数分和基点计算，支取预览、正式支取和备款复用计息逻辑，覆盖四舍五入及溢出边界。</w:t>
            </w:r>
          </w:p>
          <w:p>
            <w:pPr>
              <w:keepNext w:val="0"/>
              <w:keepLines/>
              <w:spacing w:line="324" w:lineRule="auto" w:after="120" w:before="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3．关注失败后的状态。候选副本配合原子保存，避免保存失败时界面已显示成功；审计失败单独警告，区分核心业务与附加日志结果。</w:t>
            </w:r>
          </w:p>
          <w:p>
            <w:pPr>
              <w:keepNext w:val="0"/>
              <w:keepLines/>
              <w:spacing w:line="324" w:lineRule="auto" w:after="120" w:before="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4．验证覆盖多层。通过领域、存储、审计、服务与界面五组测试，使用固定时钟和临时目录验证到期、锁定及异常恢复；界面统一展示账户、存款、流水和审计信息。</w:t>
            </w:r>
          </w:p>
        </w:tc>
      </w:tr>
      <w:tr w:rsidR="00E30BD6" w14:paraId="3541E444" w14:textId="77777777" w:rsidTr="006711BA">
        <w:trPr/>
        <w:tc>
          <w:tcPr>
            <w:tcW w:w="1820" w:type="dxa"/>
            <w:tcBorders>
              <w:top w:val="single" w:sz="4" w:space="0" w:color="auto"/>
            </w:tcBorders>
            <w:vAlign w:val="center"/>
          </w:tcPr>
          <w:p w14:paraId="03667E45" w14:textId="77777777" w:rsidR="00E30BD6" w:rsidRDefault="00E30BD6" w:rsidP="006F59D6">
            <w:pPr>
              <w:jc w:val="center"/>
            </w:pPr>
            <w:r>
              <w:rPr>
                <w:rFonts w:hint="eastAsia"/>
              </w:rPr>
              <w:t>总结</w:t>
            </w:r>
          </w:p>
        </w:tc>
        <w:tc>
          <w:tcPr>
            <w:tcW w:w="7772" w:type="dxa"/>
            <w:gridSpan w:val="4"/>
            <w:tcBorders>
              <w:top w:val="single" w:sz="4" w:space="0" w:color="auto"/>
            </w:tcBorders>
            <w:vAlign w:val="top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keepNext/>
              <w:keepLines/>
              <w:spacing w:line="324" w:lineRule="auto" w:after="120" w:before="80"/>
              <w:jc w:val="both"/>
            </w:pPr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一  课程设计总结</w:t>
            </w:r>
          </w:p>
          <w:p>
            <w:pPr>
              <w:keepNext w:val="0"/>
              <w:keepLines/>
              <w:spacing w:line="324" w:lineRule="auto" w:after="120" w:before="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本项目完成了银行储蓄管理的主要业务，将 C++ 类与对象、容器、枚举、智能指针、文件读写和 Qt 图形界面结合起来。通过储户、存款和交易之间的组合关系，可以把同一账户的多次业务组织成可查询、可保存、可恢复的数据。</w:t>
            </w:r>
          </w:p>
          <w:p>
            <w:pPr>
              <w:keepNext/>
              <w:keepLines/>
              <w:spacing w:line="324" w:lineRule="auto" w:after="120" w:before="80"/>
              <w:jc w:val="both"/>
            </w:pPr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二  设计体会</w:t>
            </w:r>
          </w:p>
          <w:p>
            <w:pPr>
              <w:keepNext w:val="0"/>
              <w:keepLines/>
              <w:spacing w:line="324" w:lineRule="auto" w:after="120" w:before="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从这个系统的设计可以看出，界面完成一次操作后，内存状态、磁盘文件和显示结果必须保持一致。先修改副本、保存成功后再发布状态，使失败路径与正常路径一样明确；这比只关注按钮点击后的成功提示更有利于保证结果可靠。</w:t>
            </w:r>
          </w:p>
          <w:p>
            <w:pPr>
              <w:keepNext w:val="0"/>
              <w:keepLines/>
              <w:spacing w:line="324" w:lineRule="auto" w:after="120" w:before="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金额和日期也需要明确规则。整数分避免了浮点金额误差，而提前支取、到期日当天、部分支取后的剩余本金和逐笔舍入都需要独立考虑。把计算封装为可测试函数，可以使业务解释、程序实现和预期结果相互对应。</w:t>
            </w:r>
          </w:p>
          <w:p>
            <w:pPr>
              <w:keepNext/>
              <w:keepLines/>
              <w:spacing w:line="324" w:lineRule="auto" w:after="120" w:before="80"/>
              <w:jc w:val="both"/>
            </w:pPr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三  不足与改进方向</w:t>
            </w:r>
          </w:p>
          <w:p>
            <w:pPr>
              <w:keepNext w:val="0"/>
              <w:keepLines/>
              <w:spacing w:line="324" w:lineRule="auto" w:after="120" w:before="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当前版本采用全量 JSON 保存，适合课程演示规模；多进程同时写入、数据量较大时的检索与保存效率仍需改进。营业员目前仅以工号进入，后续可增加独立身份验证和权限控制；也可加入数据导入导出、备份恢复向导及跨平台发布验证，降低迁移与演示成本。</w:t>
            </w:r>
          </w:p>
        </w:tc>
      </w:tr>
    </w:tbl>
    <w:sectPr w:rsidR="007803A8" w:rsidRPr="00632555" w:rsidSect="00EA62FA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D1F7C" w14:textId="77777777" w:rsidR="00A91165" w:rsidRDefault="00A91165" w:rsidP="00170D7C">
      <w:r>
        <w:separator/>
      </w:r>
    </w:p>
  </w:endnote>
  <w:endnote w:type="continuationSeparator" w:id="0">
    <w:p w14:paraId="303E590D" w14:textId="77777777" w:rsidR="00A91165" w:rsidRDefault="00A91165" w:rsidP="00170D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F4204" w14:textId="77777777" w:rsidR="00A91165" w:rsidRDefault="00A91165" w:rsidP="00170D7C">
      <w:r>
        <w:separator/>
      </w:r>
    </w:p>
  </w:footnote>
  <w:footnote w:type="continuationSeparator" w:id="0">
    <w:p w14:paraId="1E354EE3" w14:textId="77777777" w:rsidR="00A91165" w:rsidRDefault="00A91165" w:rsidP="00170D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C6C90"/>
    <w:multiLevelType w:val="hybridMultilevel"/>
    <w:tmpl w:val="78C6E730"/>
    <w:lvl w:ilvl="0" w:tplc="F02A1ACC">
      <w:start w:val="1"/>
      <w:numFmt w:val="decimal"/>
      <w:lvlText w:val="%1）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409957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oNotDisplayPageBoundarie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zS1NDU1NTAztjQyMTdR0lEKTi0uzszPAykwrAUAPoEekiwAAAA="/>
  </w:docVars>
  <w:rsids>
    <w:rsidRoot w:val="00EA62FA"/>
    <w:rsid w:val="00015804"/>
    <w:rsid w:val="0005278F"/>
    <w:rsid w:val="00170D7C"/>
    <w:rsid w:val="001F6186"/>
    <w:rsid w:val="00207A71"/>
    <w:rsid w:val="00223CFF"/>
    <w:rsid w:val="00251E03"/>
    <w:rsid w:val="002A2222"/>
    <w:rsid w:val="002F2050"/>
    <w:rsid w:val="00411770"/>
    <w:rsid w:val="004521FB"/>
    <w:rsid w:val="00465E61"/>
    <w:rsid w:val="004739F4"/>
    <w:rsid w:val="004E2E9D"/>
    <w:rsid w:val="004F3277"/>
    <w:rsid w:val="005956AE"/>
    <w:rsid w:val="00605781"/>
    <w:rsid w:val="00632555"/>
    <w:rsid w:val="006711BA"/>
    <w:rsid w:val="006B23E4"/>
    <w:rsid w:val="006F59D6"/>
    <w:rsid w:val="007803A8"/>
    <w:rsid w:val="007A57D6"/>
    <w:rsid w:val="00802245"/>
    <w:rsid w:val="008A1011"/>
    <w:rsid w:val="00900802"/>
    <w:rsid w:val="0096327F"/>
    <w:rsid w:val="009F27A8"/>
    <w:rsid w:val="00A91165"/>
    <w:rsid w:val="00BF4FAA"/>
    <w:rsid w:val="00C92C65"/>
    <w:rsid w:val="00D01B0A"/>
    <w:rsid w:val="00D45463"/>
    <w:rsid w:val="00D83E52"/>
    <w:rsid w:val="00DF4083"/>
    <w:rsid w:val="00DF5F51"/>
    <w:rsid w:val="00E0526B"/>
    <w:rsid w:val="00E30BD6"/>
    <w:rsid w:val="00E71F0C"/>
    <w:rsid w:val="00EA62FA"/>
    <w:rsid w:val="00F01C78"/>
    <w:rsid w:val="00F96226"/>
    <w:rsid w:val="00FF5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59AA62"/>
  <w15:chartTrackingRefBased/>
  <w15:docId w15:val="{1999935A-8C09-4BB9-9A1B-F3641C5A6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EA62F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Elegant"/>
    <w:basedOn w:val="a1"/>
    <w:rsid w:val="00EA62FA"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4">
    <w:name w:val="header"/>
    <w:basedOn w:val="a"/>
    <w:link w:val="a5"/>
    <w:rsid w:val="00170D7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170D7C"/>
    <w:rPr>
      <w:kern w:val="2"/>
      <w:sz w:val="18"/>
      <w:szCs w:val="18"/>
    </w:rPr>
  </w:style>
  <w:style w:type="paragraph" w:styleId="a6">
    <w:name w:val="footer"/>
    <w:basedOn w:val="a"/>
    <w:link w:val="a7"/>
    <w:rsid w:val="00170D7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rsid w:val="00170D7C"/>
    <w:rPr>
      <w:kern w:val="2"/>
      <w:sz w:val="18"/>
      <w:szCs w:val="18"/>
    </w:rPr>
  </w:style>
  <w:style w:type="paragraph" w:customStyle="1" w:styleId="Title">
    <w:name w:val="Title"/>
    <w:basedOn w:val="1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251</Words>
  <Characters>269</Characters>
  <Application>Microsoft Office Word</Application>
  <DocSecurity>0</DocSecurity>
  <Lines>38</Lines>
  <Paragraphs>47</Paragraphs>
  <ScaleCrop>false</ScaleCrop>
  <Company>IT</Company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“C++课程设计”报告</dc:title>
  <dc:subject/>
  <dc:creator>Ywx</dc:creator>
  <cp:keywords/>
  <dc:description/>
  <cp:lastModifiedBy>Hantao Zhao</cp:lastModifiedBy>
  <cp:revision>14</cp:revision>
  <dcterms:created xsi:type="dcterms:W3CDTF">2022-09-07T02:11:00Z</dcterms:created>
  <dcterms:modified xsi:type="dcterms:W3CDTF">2026-08-20T23:48:00Z</dcterms:modified>
</cp:coreProperties>
</file>