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407A"/>
          <w:sz w:val="34"/>
        </w:rPr>
        <w:t>Privacy Policy Analyzer — Version 2 Update</w:t>
      </w:r>
    </w:p>
    <w:p>
      <w:pPr>
        <w:spacing w:after="280"/>
        <w:jc w:val="center"/>
      </w:pPr>
      <w:r>
        <w:rPr>
          <w:rFonts w:ascii="Calibri" w:hAnsi="Calibri"/>
          <w:i/>
          <w:color w:val="464650"/>
          <w:sz w:val="20"/>
        </w:rPr>
        <w:t>BYU K-12 EdTech Privacy Research  |  March 2026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We significantly upgraded the automated privacy policy analyzer ahead of the full 1,694-app re-analysis. Below is a summary of what changed and what we found when we tested it on 10 policies.</w:t>
      </w:r>
    </w:p>
    <w:p>
      <w:pPr>
        <w:spacing w:before="280" w:after="80"/>
        <w:pBdr>
          <w:bottom w:val="single" w:sz="6" w:space="1" w:color="1A407A"/>
        </w:pBdr>
      </w:pPr>
      <w:r>
        <w:rPr>
          <w:rFonts w:ascii="Calibri" w:hAnsi="Calibri"/>
          <w:b/>
          <w:color w:val="1A407A"/>
          <w:sz w:val="26"/>
        </w:rPr>
        <w:t>1.  What Changed</w:t>
      </w:r>
    </w:p>
    <w:p>
      <w:pPr>
        <w:spacing w:before="0" w:after="160"/>
      </w:pPr>
      <w:r>
        <w:rPr>
          <w:rFonts w:ascii="Calibri" w:hAnsi="Calibri"/>
          <w:b/>
          <w:i w:val="0"/>
          <w:color w:val="1A407A"/>
          <w:sz w:val="22"/>
        </w:rPr>
        <w:t xml:space="preserve">From 9 indicators to 35. </w:t>
      </w:r>
      <w:r>
        <w:rPr>
          <w:rFonts w:ascii="Calibri" w:hAnsi="Calibri"/>
          <w:b w:val="0"/>
          <w:i w:val="0"/>
          <w:color w:val="000000"/>
          <w:sz w:val="22"/>
        </w:rPr>
        <w:t>The original analyzer used 9 broad boolean fields. The new version has 35 indicators that map 1:1 to every row in Table 1 of the paper, covering all 14 GDPR and COPPA regulatory categories. Each indicator is precisely defined — for example, 'user rights' is no longer a single field but eight separate GDPR rights (access, rectification, erasure, restriction, portability, objection, consent withdrawal, supervisory complaint) plus three COPPA parental rights (review, deletion, refusal).</w:t>
      </w:r>
    </w:p>
    <w:p>
      <w:pPr>
        <w:spacing w:before="0" w:after="160"/>
      </w:pPr>
      <w:r>
        <w:rPr>
          <w:rFonts w:ascii="Calibri" w:hAnsi="Calibri"/>
          <w:b/>
          <w:i w:val="0"/>
          <w:color w:val="1A407A"/>
          <w:sz w:val="22"/>
        </w:rPr>
        <w:t xml:space="preserve">Evidence strings on every indicator. </w:t>
      </w:r>
      <w:r>
        <w:rPr>
          <w:rFonts w:ascii="Calibri" w:hAnsi="Calibri"/>
          <w:b w:val="0"/>
          <w:i w:val="0"/>
          <w:color w:val="000000"/>
          <w:sz w:val="22"/>
        </w:rPr>
        <w:t>Every boolean now has a companion evidence field containing the exact quote or paraphrase from the policy the model used to reach its conclusion. When a field is FALSE, the model explains what language would be needed to satisfy the requirement. This makes every data point auditable.</w:t>
      </w:r>
    </w:p>
    <w:p>
      <w:pPr>
        <w:spacing w:before="0" w:after="60"/>
      </w:pPr>
      <w:r>
        <w:rPr>
          <w:rFonts w:ascii="Calibri" w:hAnsi="Calibri"/>
          <w:b/>
          <w:i w:val="0"/>
          <w:color w:val="1A407A"/>
          <w:sz w:val="22"/>
        </w:rPr>
        <w:t xml:space="preserve">Nuance fields for key disclosures. </w:t>
      </w:r>
      <w:r>
        <w:rPr>
          <w:rFonts w:ascii="Calibri" w:hAnsi="Calibri"/>
          <w:b w:val="0"/>
          <w:i w:val="0"/>
          <w:color w:val="000000"/>
          <w:sz w:val="22"/>
        </w:rPr>
        <w:t>Rather than just TRUE/FALSE on complex indicators, the analyzer now captures: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A407A"/>
          <w:sz w:val="22"/>
        </w:rPr>
        <w:t xml:space="preserve">Sharing direction: </w:t>
      </w:r>
      <w:r>
        <w:rPr>
          <w:rFonts w:ascii="Calibri" w:hAnsi="Calibri"/>
          <w:b w:val="0"/>
          <w:i/>
          <w:color w:val="464650"/>
          <w:sz w:val="22"/>
        </w:rPr>
        <w:t>shares / does_not_share / conditional / vague_or_silent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A407A"/>
          <w:sz w:val="22"/>
        </w:rPr>
        <w:t xml:space="preserve">Retention specificity: </w:t>
      </w:r>
      <w:r>
        <w:rPr>
          <w:rFonts w:ascii="Calibri" w:hAnsi="Calibri"/>
          <w:b w:val="0"/>
          <w:i/>
          <w:color w:val="464650"/>
          <w:sz w:val="22"/>
        </w:rPr>
        <w:t>specific_timeframe / until_deleted / as_long_as_necessary / indefinite_or_silent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A407A"/>
          <w:sz w:val="22"/>
        </w:rPr>
        <w:t xml:space="preserve">Retention stated period: </w:t>
      </w:r>
      <w:r>
        <w:rPr>
          <w:rFonts w:ascii="Calibri" w:hAnsi="Calibri"/>
          <w:b w:val="0"/>
          <w:i/>
          <w:color w:val="464650"/>
          <w:sz w:val="22"/>
        </w:rPr>
        <w:t>the literal phrase extracted from the policy (e.g., '14 months', 'Not stated')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A407A"/>
          <w:sz w:val="22"/>
        </w:rPr>
        <w:t xml:space="preserve">Security specificity: </w:t>
      </w:r>
      <w:r>
        <w:rPr>
          <w:rFonts w:ascii="Calibri" w:hAnsi="Calibri"/>
          <w:b w:val="0"/>
          <w:i/>
          <w:color w:val="464650"/>
          <w:sz w:val="22"/>
        </w:rPr>
        <w:t>specific_measures / general_language / silent — plus a list of named technologies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1A407A"/>
          <w:sz w:val="22"/>
        </w:rPr>
        <w:t xml:space="preserve">Consent specificity: </w:t>
      </w:r>
      <w:r>
        <w:rPr>
          <w:rFonts w:ascii="Calibri" w:hAnsi="Calibri"/>
          <w:b w:val="0"/>
          <w:i/>
          <w:color w:val="464650"/>
          <w:sz w:val="22"/>
        </w:rPr>
        <w:t>method_described / mentioned_no_method / not_applicable</w:t>
      </w:r>
    </w:p>
    <w:p>
      <w:pPr>
        <w:spacing w:before="160" w:after="160"/>
      </w:pPr>
      <w:r>
        <w:rPr>
          <w:rFonts w:ascii="Calibri" w:hAnsi="Calibri"/>
          <w:b/>
          <w:i w:val="0"/>
          <w:color w:val="1A407A"/>
          <w:sz w:val="22"/>
        </w:rPr>
        <w:t xml:space="preserve">Composite regulatory scores. </w:t>
      </w:r>
      <w:r>
        <w:rPr>
          <w:rFonts w:ascii="Calibri" w:hAnsi="Calibri"/>
          <w:b w:val="0"/>
          <w:i w:val="0"/>
          <w:color w:val="000000"/>
          <w:sz w:val="22"/>
        </w:rPr>
        <w:t>GDPR composite, COPPA composite, and overall composite percentages are automatically computed from the 35 indicators — one score per regulatory framework.</w:t>
      </w:r>
    </w:p>
    <w:p>
      <w:pPr>
        <w:spacing w:before="0" w:after="200"/>
      </w:pPr>
      <w:r>
        <w:rPr>
          <w:rFonts w:ascii="Calibri" w:hAnsi="Calibri"/>
          <w:b/>
          <w:i w:val="0"/>
          <w:color w:val="1A407A"/>
          <w:sz w:val="22"/>
        </w:rPr>
        <w:t xml:space="preserve">Upgraded to GPT-5.1. </w:t>
      </w:r>
      <w:r>
        <w:rPr>
          <w:rFonts w:ascii="Calibri" w:hAnsi="Calibri"/>
          <w:b w:val="0"/>
          <w:i w:val="0"/>
          <w:color w:val="000000"/>
          <w:sz w:val="22"/>
        </w:rPr>
        <w:t>The model was upgraded from gpt-4o/gpt-5-nano to GPT-5.1 (OpenAI's latest), with temperature set to 0 for deterministic, reproducible outputs. Policy text is now constructed at runtime from the ppCompany and ppPlatform columns in Master Data.csv rather than requiring a pre-processed text file.</w:t>
      </w:r>
    </w:p>
    <w:p>
      <w:pPr>
        <w:spacing w:before="280" w:after="80"/>
        <w:pBdr>
          <w:bottom w:val="single" w:sz="6" w:space="1" w:color="1A407A"/>
        </w:pBdr>
      </w:pPr>
      <w:r>
        <w:rPr>
          <w:rFonts w:ascii="Calibri" w:hAnsi="Calibri"/>
          <w:b/>
          <w:color w:val="1A407A"/>
          <w:sz w:val="26"/>
        </w:rPr>
        <w:t>2.  Validation Test — 10 Policies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Before running the full dataset we tested 10 policies selected to cover the full range of compliance levels, regulatory frameworks, and policy lengths. All 10 analyzed successfully at a cost of approximately $0.39 using GPT-5.1.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2016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</w:t>
            </w:r>
          </w:p>
        </w:tc>
        <w:tc>
          <w:tcPr>
            <w:tcW w:type="dxa" w:w="936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Overall</w:t>
            </w:r>
          </w:p>
        </w:tc>
        <w:tc>
          <w:tcPr>
            <w:tcW w:type="dxa" w:w="864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GDPR</w:t>
            </w:r>
          </w:p>
        </w:tc>
        <w:tc>
          <w:tcPr>
            <w:tcW w:type="dxa" w:w="936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COPPA</w:t>
            </w:r>
          </w:p>
        </w:tc>
        <w:tc>
          <w:tcPr>
            <w:tcW w:type="dxa" w:w="4464"/>
            <w:shd w:val="clear" w:color="auto" w:fill="1A407A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Notable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Sumdog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77.1%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90.5%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60.0%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Strongest overall; explicit adaptive-learning profiling disclosure found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Artsonia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68.6%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76.2%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60.0%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Defers children's sections to a separate Children's Privacy Policy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Calm Harm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45.7%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66.7%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20.0%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Retention stated as exactly '14 months' — extracted verbatim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ABCya! Games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40.0%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66.7%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6.7%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Strong GDPR rights language; near-zero COPPA child-specific provisions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Helper Helper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40.0%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52.4%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26.7%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COPPA duties explicitly delegated to subscribing schools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Aura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31.4%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42.9%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20.0%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Lawful basis correctly identified; thin rights suite otherwise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Be Strong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28.6%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42.9%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13.3%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 retention period; conservative bias applied correctly throughout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Durham Bus Tracker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11.4%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14.3%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6.7%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DPO email (National Express) correctly extracted from 1,294-char policy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Sprigeo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245-char policy; all FALSE; 'does_not_share' correctly inferred</w:t>
            </w:r>
          </w:p>
        </w:tc>
      </w:tr>
      <w:tr>
        <w:tc>
          <w:tcPr>
            <w:tcW w:type="dxa" w:w="201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Johnston Schools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8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936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  <w:tc>
          <w:tcPr>
            <w:tcW w:type="dxa" w:w="4464"/>
            <w:shd w:val="clear" w:color="auto" w:fill="EEF3FB"/>
          </w:tcPr>
          <w:p>
            <w:r>
              <w:rPr>
                <w:rFonts w:ascii="Calibri" w:hAnsi="Calibri"/>
                <w:sz w:val="20"/>
              </w:rPr>
              <w:t>421-char policy; correctly scored zero across all 35 indicators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1" w:color="1A407A"/>
        </w:pBdr>
      </w:pPr>
      <w:r>
        <w:rPr>
          <w:rFonts w:ascii="Calibri" w:hAnsi="Calibri"/>
          <w:b/>
          <w:color w:val="1A407A"/>
          <w:sz w:val="26"/>
        </w:rPr>
        <w:t>3.  What the Scores Tell Us</w:t>
      </w:r>
    </w:p>
    <w:p>
      <w:pPr>
        <w:spacing w:before="0" w:after="140"/>
      </w:pPr>
      <w:r>
        <w:rPr>
          <w:rFonts w:ascii="Calibri" w:hAnsi="Calibri"/>
          <w:b/>
          <w:i w:val="0"/>
          <w:color w:val="1A407A"/>
          <w:sz w:val="22"/>
        </w:rPr>
        <w:t xml:space="preserve">Lower scores reflect stricter measurement, not worse policies. </w:t>
      </w:r>
      <w:r>
        <w:rPr>
          <w:rFonts w:ascii="Calibri" w:hAnsi="Calibri"/>
          <w:b w:val="0"/>
          <w:i w:val="0"/>
          <w:color w:val="000000"/>
          <w:sz w:val="22"/>
        </w:rPr>
        <w:t>Scores are substantially lower than v1. This is correct: v2 measures 35 specific sub-requirements rather than 9 aggregated fields. A policy that scored TRUE on 'user rights' in v1 might now satisfy only 3 of the 11 individual rights indicators.</w:t>
      </w:r>
    </w:p>
    <w:p>
      <w:pPr>
        <w:spacing w:before="0" w:after="140"/>
      </w:pPr>
      <w:r>
        <w:rPr>
          <w:rFonts w:ascii="Calibri" w:hAnsi="Calibri"/>
          <w:b/>
          <w:i w:val="0"/>
          <w:color w:val="1A407A"/>
          <w:sz w:val="22"/>
        </w:rPr>
        <w:t xml:space="preserve">Conservative bias is working. </w:t>
      </w:r>
      <w:r>
        <w:rPr>
          <w:rFonts w:ascii="Calibri" w:hAnsi="Calibri"/>
          <w:b w:val="0"/>
          <w:i w:val="0"/>
          <w:color w:val="000000"/>
          <w:sz w:val="22"/>
        </w:rPr>
        <w:t>Sprigeo (245 chars) and Johnston Schools (421 chars) both returned 0.0% on everything. The model did not hallucinate compliance for short texts.</w:t>
      </w:r>
    </w:p>
    <w:p>
      <w:pPr>
        <w:spacing w:before="0" w:after="140"/>
      </w:pPr>
      <w:r>
        <w:rPr>
          <w:rFonts w:ascii="Calibri" w:hAnsi="Calibri"/>
          <w:b/>
          <w:i w:val="0"/>
          <w:color w:val="1A407A"/>
          <w:sz w:val="22"/>
        </w:rPr>
        <w:t xml:space="preserve">Evidence quality is high. </w:t>
      </w:r>
      <w:r>
        <w:rPr>
          <w:rFonts w:ascii="Calibri" w:hAnsi="Calibri"/>
          <w:b w:val="0"/>
          <w:i w:val="0"/>
          <w:color w:val="000000"/>
          <w:sz w:val="22"/>
        </w:rPr>
        <w:t>Every spot-checked evidence string contained specific, accurate text from the source policy. For FALSE indicators the model explained exactly what was missing rather than returning a blank field.</w:t>
      </w:r>
    </w:p>
    <w:p>
      <w:pPr>
        <w:spacing w:before="0" w:after="200"/>
      </w:pPr>
      <w:r>
        <w:rPr>
          <w:rFonts w:ascii="Calibri" w:hAnsi="Calibri"/>
          <w:b/>
          <w:i w:val="0"/>
          <w:color w:val="1A407A"/>
          <w:sz w:val="22"/>
        </w:rPr>
        <w:t xml:space="preserve">Policy delegation is handled correctly. </w:t>
      </w:r>
      <w:r>
        <w:rPr>
          <w:rFonts w:ascii="Calibri" w:hAnsi="Calibri"/>
          <w:b w:val="0"/>
          <w:i w:val="0"/>
          <w:color w:val="000000"/>
          <w:sz w:val="22"/>
        </w:rPr>
        <w:t>When a policy defers children's disclosures to a separate document (Artsonia) or delegates COPPA compliance to schools (Helper Helper), the model correctly scores those indicators FALSE in the analyzed document.</w:t>
      </w:r>
    </w:p>
    <w:p>
      <w:pPr>
        <w:spacing w:before="320"/>
        <w:pBdr>
          <w:top w:val="single" w:sz="4" w:space="1" w:color="AAAAAA"/>
        </w:pBdr>
      </w:pPr>
      <w:r>
        <w:rPr>
          <w:rFonts w:ascii="Calibri" w:hAnsi="Calibri"/>
          <w:i/>
          <w:color w:val="969696"/>
          <w:sz w:val="18"/>
        </w:rPr>
        <w:t>Privacy Policy Analyzer v2  |  BYU K-12 EdTech Privacy Research Group  |  March 2026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