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1F497D"/>
          <w:sz w:val="48"/>
        </w:rPr>
        <w:t>Privacy Policy Analyzer</w:t>
      </w:r>
    </w:p>
    <w:p>
      <w:pPr>
        <w:jc w:val="center"/>
      </w:pPr>
      <w:r>
        <w:rPr>
          <w:rFonts w:ascii="Arial" w:hAnsi="Arial"/>
          <w:color w:val="2E75B6"/>
          <w:sz w:val="28"/>
        </w:rPr>
        <w:t>Model Refinement — Implementation Spec v2.0</w:t>
      </w:r>
    </w:p>
    <w:p>
      <w:pPr>
        <w:jc w:val="center"/>
      </w:pPr>
      <w:r>
        <w:rPr>
          <w:rFonts w:ascii="Arial" w:hAnsi="Arial"/>
          <w:color w:val="606060"/>
          <w:sz w:val="20"/>
        </w:rPr>
        <w:t>BYU K-12 EdTech Privacy Research Group  ·  AMCIS 2026  ·  March 2026</w:t>
      </w:r>
    </w:p>
    <w:p/>
    <w:p>
      <w:pPr>
        <w:spacing w:before="120" w:after="120"/>
        <w:pBdr>
          <w:bottom w:val="single" w:sz="4" w:space="1" w:color="2E75B6"/>
        </w:pBdr>
      </w:pP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F497D"/>
          </w:tcPr>
          <w:p>
            <w:r>
              <w:rPr>
                <w:rFonts w:ascii="Arial" w:hAnsi="Arial"/>
                <w:b/>
                <w:color w:val="FFFFFF"/>
                <w:sz w:val="18"/>
              </w:rPr>
              <w:t>Item</w:t>
            </w:r>
          </w:p>
        </w:tc>
        <w:tc>
          <w:tcPr>
            <w:tcW w:type="dxa" w:w="8064"/>
            <w:shd w:val="clear" w:color="auto" w:fill="1F497D"/>
          </w:tcPr>
          <w:p>
            <w:r>
              <w:rPr>
                <w:rFonts w:ascii="Arial" w:hAnsi="Arial"/>
                <w:b/>
                <w:color w:val="FFFFFF"/>
                <w:sz w:val="18"/>
              </w:rPr>
              <w:t>Detail</w:t>
            </w:r>
          </w:p>
        </w:tc>
      </w:tr>
      <w:tr>
        <w:tc>
          <w:tcPr>
            <w:tcW w:type="dxa" w:w="2016"/>
            <w:shd w:val="clear" w:color="auto" w:fill="EDF2FA"/>
            <w:vAlign w:val="center"/>
          </w:tcPr>
          <w:p>
            <w:r>
              <w:rPr>
                <w:rFonts w:ascii="Arial" w:hAnsi="Arial"/>
                <w:sz w:val="18"/>
              </w:rPr>
              <w:t>Model</w:t>
            </w:r>
          </w:p>
        </w:tc>
        <w:tc>
          <w:tcPr>
            <w:tcW w:type="dxa" w:w="8064"/>
            <w:shd w:val="clear" w:color="auto" w:fill="EDF2FA"/>
            <w:vAlign w:val="center"/>
          </w:tcPr>
          <w:p>
            <w:r>
              <w:rPr>
                <w:rFonts w:ascii="Arial" w:hAnsi="Arial"/>
                <w:sz w:val="18"/>
              </w:rPr>
              <w:t>GPT-5.1 (default) — latest available OpenAI model</w:t>
            </w:r>
          </w:p>
        </w:tc>
      </w:tr>
      <w:tr>
        <w:tc>
          <w:tcPr>
            <w:tcW w:type="dxa" w:w="2016"/>
            <w:shd w:val="clear" w:color="auto" w:fill="FFFFFF"/>
            <w:vAlign w:val="center"/>
          </w:tcPr>
          <w:p>
            <w:r>
              <w:rPr>
                <w:rFonts w:ascii="Arial" w:hAnsi="Arial"/>
                <w:sz w:val="18"/>
              </w:rPr>
              <w:t>Source Data</w:t>
            </w:r>
          </w:p>
        </w:tc>
        <w:tc>
          <w:tcPr>
            <w:tcW w:type="dxa" w:w="8064"/>
            <w:shd w:val="clear" w:color="auto" w:fill="FFFFFF"/>
            <w:vAlign w:val="center"/>
          </w:tcPr>
          <w:p>
            <w:r>
              <w:rPr>
                <w:rFonts w:ascii="Arial" w:hAnsi="Arial"/>
                <w:sz w:val="18"/>
              </w:rPr>
              <w:t>Master Data.csv — 1,694 unique apps, policy text from ppCompany / ppPlatform</w:t>
            </w:r>
          </w:p>
        </w:tc>
      </w:tr>
      <w:tr>
        <w:tc>
          <w:tcPr>
            <w:tcW w:type="dxa" w:w="2016"/>
            <w:shd w:val="clear" w:color="auto" w:fill="EDF2FA"/>
            <w:vAlign w:val="center"/>
          </w:tcPr>
          <w:p>
            <w:r>
              <w:rPr>
                <w:rFonts w:ascii="Arial" w:hAnsi="Arial"/>
                <w:sz w:val="18"/>
              </w:rPr>
              <w:t>Output</w:t>
            </w:r>
          </w:p>
        </w:tc>
        <w:tc>
          <w:tcPr>
            <w:tcW w:type="dxa" w:w="8064"/>
            <w:shd w:val="clear" w:color="auto" w:fill="EDF2FA"/>
            <w:vAlign w:val="center"/>
          </w:tcPr>
          <w:p>
            <w:r>
              <w:rPr>
                <w:rFonts w:ascii="Arial" w:hAnsi="Arial"/>
                <w:sz w:val="18"/>
              </w:rPr>
              <w:t>Analyzed_Policies_v2.csv — ~95 columns</w:t>
            </w:r>
          </w:p>
        </w:tc>
      </w:tr>
      <w:tr>
        <w:tc>
          <w:tcPr>
            <w:tcW w:type="dxa" w:w="2016"/>
            <w:shd w:val="clear" w:color="auto" w:fill="FFFFFF"/>
            <w:vAlign w:val="center"/>
          </w:tcPr>
          <w:p>
            <w:r>
              <w:rPr>
                <w:rFonts w:ascii="Arial" w:hAnsi="Arial"/>
                <w:sz w:val="18"/>
              </w:rPr>
              <w:t>Files Changed</w:t>
            </w:r>
          </w:p>
        </w:tc>
        <w:tc>
          <w:tcPr>
            <w:tcW w:type="dxa" w:w="8064"/>
            <w:shd w:val="clear" w:color="auto" w:fill="FFFFFF"/>
            <w:vAlign w:val="center"/>
          </w:tcPr>
          <w:p>
            <w:r>
              <w:rPr>
                <w:rFonts w:ascii="Arial" w:hAnsi="Arial"/>
                <w:sz w:val="18"/>
              </w:rPr>
              <w:t>src/models.py · src/prompts.py · src/analyzer.py · src/main.py · cluster_analysis.py</w:t>
            </w:r>
          </w:p>
        </w:tc>
      </w:tr>
      <w:tr>
        <w:tc>
          <w:tcPr>
            <w:tcW w:type="dxa" w:w="2016"/>
            <w:shd w:val="clear" w:color="auto" w:fill="EDF2FA"/>
            <w:vAlign w:val="center"/>
          </w:tcPr>
          <w:p>
            <w:r>
              <w:rPr>
                <w:rFonts w:ascii="Arial" w:hAnsi="Arial"/>
                <w:sz w:val="18"/>
              </w:rPr>
              <w:t>Implementation File</w:t>
            </w:r>
          </w:p>
        </w:tc>
        <w:tc>
          <w:tcPr>
            <w:tcW w:type="dxa" w:w="8064"/>
            <w:shd w:val="clear" w:color="auto" w:fill="EDF2FA"/>
            <w:vAlign w:val="center"/>
          </w:tcPr>
          <w:p>
            <w:r>
              <w:rPr>
                <w:rFonts w:ascii="Arial" w:hAnsi="Arial"/>
                <w:sz w:val="18"/>
              </w:rPr>
              <w:t>IMPLEMENTATION_SPEC.md — feed directly to Claude Code</w:t>
            </w:r>
          </w:p>
        </w:tc>
      </w:tr>
    </w:tbl>
    <w:p/>
    <w:p>
      <w:r>
        <w:br w:type="page"/>
      </w:r>
    </w:p>
    <w:p>
      <w:pPr>
        <w:spacing w:before="400" w:after="120"/>
      </w:pPr>
      <w:r>
        <w:rPr>
          <w:rFonts w:ascii="Arial" w:hAnsi="Arial"/>
          <w:b/>
          <w:color w:val="1F497D"/>
          <w:sz w:val="30"/>
        </w:rPr>
        <w:t>1. What We're Changing and Why</w:t>
      </w:r>
    </w:p>
    <w:p>
      <w:pPr>
        <w:spacing w:after="100"/>
      </w:pPr>
      <w:r>
        <w:rPr>
          <w:rFonts w:ascii="Arial" w:hAnsi="Arial"/>
          <w:sz w:val="20"/>
        </w:rPr>
        <w:t>The current analyzer produces 9 generic boolean indicators. These loosely approximate the paper's regulatory framework but do not map to it with enough precision for the AMCIS Results section to be methodologically defensible. We are replacing the 9 indicators with 35 specific indicators that correspond exactly to every row in Table 1, adding evidence strings so the model's reasoning is auditable, adding directionality fields so we can distinguish 'discloses they share' from 'discloses they don't share,' adding free-text extraction for retention periods and security measures, and upgrading the model to GPT-5.1 for research-quality legal reasoning.</w:t>
      </w:r>
    </w:p>
    <w:tbl>
      <w:tblPr>
        <w:tblStyle w:val="TableGrid"/>
        <w:tblW w:type="auto" w:w="0"/>
        <w:tblLook w:firstColumn="1" w:firstRow="1" w:lastColumn="0" w:lastRow="0" w:noHBand="0" w:noVBand="1" w:val="04A0"/>
      </w:tblPr>
      <w:tblGrid>
        <w:gridCol w:w="9360"/>
      </w:tblGrid>
      <w:tr>
        <w:tc>
          <w:tcPr>
            <w:tcW w:type="dxa" w:w="9360"/>
            <w:shd w:val="clear" w:color="auto" w:fill="FFF8E1"/>
          </w:tcPr>
          <w:p>
            <w:r>
              <w:rPr>
                <w:rFonts w:ascii="Arial" w:hAnsi="Arial"/>
                <w:b/>
                <w:color w:val="7B5B00"/>
                <w:sz w:val="20"/>
              </w:rPr>
              <w:t xml:space="preserve">Data source resolved  </w:t>
            </w:r>
            <w:r>
              <w:rPr>
                <w:rFonts w:ascii="Arial" w:hAnsi="Arial"/>
                <w:sz w:val="20"/>
              </w:rPr>
              <w:t>Master Data.csv is the correct source — 1,694 rows, all valid app_ids, no NaN issues. The 2,826-row figure was a misread: the other 1,132 rows are company-level metadata with null app_ids and no policy text. The analysis covers all analyzable apps.</w:t>
            </w:r>
          </w:p>
        </w:tc>
      </w:tr>
    </w:tbl>
    <w:p/>
    <w:p>
      <w:pPr>
        <w:spacing w:before="120" w:after="120"/>
        <w:pBdr>
          <w:bottom w:val="single" w:sz="4" w:space="1" w:color="2E75B6"/>
        </w:pBdr>
      </w:pPr>
    </w:p>
    <w:p>
      <w:pPr>
        <w:spacing w:before="400" w:after="120"/>
      </w:pPr>
      <w:r>
        <w:rPr>
          <w:rFonts w:ascii="Arial" w:hAnsi="Arial"/>
          <w:b/>
          <w:color w:val="1F497D"/>
          <w:sz w:val="30"/>
        </w:rPr>
        <w:t>2. The Five Changes</w:t>
      </w:r>
    </w:p>
    <w:p>
      <w:pPr>
        <w:spacing w:before="240" w:after="80"/>
      </w:pPr>
      <w:r>
        <w:rPr>
          <w:rFonts w:ascii="Arial" w:hAnsi="Arial"/>
          <w:b/>
          <w:color w:val="2E75B6"/>
          <w:sz w:val="24"/>
        </w:rPr>
        <w:t>Change 1 — src/models.py: Replace PolicyAnalysisResult</w:t>
      </w:r>
    </w:p>
    <w:p>
      <w:pPr>
        <w:spacing w:after="100"/>
      </w:pPr>
      <w:r>
        <w:rPr>
          <w:rFonts w:ascii="Arial" w:hAnsi="Arial"/>
          <w:sz w:val="20"/>
        </w:rPr>
        <w:t>The 9 old boolean fields are removed entirely. PolicyAnalysisResult is replaced with 35 indicator fields organized across 14 regulatory categories that match Table 1 exactly. Every boolean has a companion _evidence string field the model must populate.</w:t>
      </w:r>
    </w:p>
    <w:p>
      <w:pPr>
        <w:spacing w:after="100"/>
      </w:pPr>
      <w:r>
        <w:rPr>
          <w:rFonts w:ascii="Arial" w:hAnsi="Arial"/>
          <w:sz w:val="20"/>
        </w:rPr>
        <w:t>Four new enum types are added:</w:t>
      </w:r>
    </w:p>
    <w:p>
      <w:pPr>
        <w:pStyle w:val="ListBullet"/>
        <w:spacing w:after="40"/>
        <w:ind w:left="360"/>
      </w:pPr>
      <w:r>
        <w:rPr>
          <w:rFonts w:ascii="Arial" w:hAnsi="Arial"/>
          <w:sz w:val="20"/>
        </w:rPr>
        <w:t>SharingDirectionEnum: shares | does_not_share | conditional | vague_or_silent</w:t>
      </w:r>
    </w:p>
    <w:p>
      <w:pPr>
        <w:pStyle w:val="ListBullet"/>
        <w:spacing w:after="40"/>
        <w:ind w:left="360"/>
      </w:pPr>
      <w:r>
        <w:rPr>
          <w:rFonts w:ascii="Arial" w:hAnsi="Arial"/>
          <w:sz w:val="20"/>
        </w:rPr>
        <w:t>RetentionSpecificityEnum: specific_timeframe | until_deleted | as_long_as_necessary | indefinite_or_silent</w:t>
      </w:r>
    </w:p>
    <w:p>
      <w:pPr>
        <w:pStyle w:val="ListBullet"/>
        <w:spacing w:after="40"/>
        <w:ind w:left="360"/>
      </w:pPr>
      <w:r>
        <w:rPr>
          <w:rFonts w:ascii="Arial" w:hAnsi="Arial"/>
          <w:sz w:val="20"/>
        </w:rPr>
        <w:t>SecuritySpecificityEnum: specific_measures | general_language | silent</w:t>
      </w:r>
    </w:p>
    <w:p>
      <w:pPr>
        <w:pStyle w:val="ListBullet"/>
        <w:spacing w:after="40"/>
        <w:ind w:left="360"/>
      </w:pPr>
      <w:r>
        <w:rPr>
          <w:rFonts w:ascii="Arial" w:hAnsi="Arial"/>
          <w:sz w:val="20"/>
        </w:rPr>
        <w:t>ConsentSpecificityEnum: method_described | mentioned_no_method | not_applicable</w:t>
      </w:r>
    </w:p>
    <w:p>
      <w:pPr>
        <w:spacing w:after="100"/>
      </w:pPr>
      <w:r>
        <w:rPr>
          <w:rFonts w:ascii="Arial" w:hAnsi="Arial"/>
          <w:sz w:val="20"/>
        </w:rPr>
        <w:t>Free-text extraction fields added: re_retention_stated_period (literal retention phrase), sec_measures_listed (comma-separated list of named security measures).</w:t>
      </w:r>
    </w:p>
    <w:p>
      <w:pPr>
        <w:spacing w:after="100"/>
      </w:pPr>
      <w:r>
        <w:rPr>
          <w:rFonts w:ascii="Arial" w:hAnsi="Arial"/>
          <w:sz w:val="20"/>
        </w:rPr>
        <w:t>COPPAAnalysis, GDPRAnalysis, and ThirdPartyDetail models are kept exactly as-is.</w:t>
      </w:r>
    </w:p>
    <w:p>
      <w:pPr>
        <w:spacing w:before="240" w:after="80"/>
      </w:pPr>
      <w:r>
        <w:rPr>
          <w:rFonts w:ascii="Arial" w:hAnsi="Arial"/>
          <w:b/>
          <w:color w:val="2E75B6"/>
          <w:sz w:val="24"/>
        </w:rPr>
        <w:t>Change 2 — src/prompts.py: Rewrite SYSTEM_PROMPT</w:t>
      </w:r>
    </w:p>
    <w:p>
      <w:pPr>
        <w:spacing w:after="100"/>
      </w:pPr>
      <w:r>
        <w:rPr>
          <w:rFonts w:ascii="Arial" w:hAnsi="Arial"/>
          <w:sz w:val="20"/>
        </w:rPr>
        <w:t>The prompt grows from ~800 to ~2,500 tokens. It is structured around the 14 Table 1 categories, with detailed TRUE/FALSE criteria for every indicator. Key design decisions:</w:t>
      </w:r>
    </w:p>
    <w:p>
      <w:pPr>
        <w:pStyle w:val="ListBullet"/>
        <w:spacing w:after="40"/>
        <w:ind w:left="360"/>
      </w:pPr>
      <w:r>
        <w:rPr>
          <w:rFonts w:ascii="Arial" w:hAnsi="Arial"/>
          <w:sz w:val="20"/>
        </w:rPr>
        <w:t>Conservative bias instruction: 'When in doubt, return FALSE. Vague, generic, or boilerplate language does not satisfy a requirement.'</w:t>
      </w:r>
    </w:p>
    <w:p>
      <w:pPr>
        <w:pStyle w:val="ListBullet"/>
        <w:spacing w:after="40"/>
        <w:ind w:left="360"/>
      </w:pPr>
      <w:r>
        <w:rPr>
          <w:rFonts w:ascii="Arial" w:hAnsi="Arial"/>
          <w:sz w:val="20"/>
        </w:rPr>
        <w:t>Evidence requirement: for every boolean the model must return a quoted or paraphrased excerpt, or 'Not found' if FALSE.</w:t>
      </w:r>
    </w:p>
    <w:p>
      <w:pPr>
        <w:pStyle w:val="ListBullet"/>
        <w:spacing w:after="40"/>
        <w:ind w:left="360"/>
      </w:pPr>
      <w:r>
        <w:rPr>
          <w:rFonts w:ascii="Arial" w:hAnsi="Arial"/>
          <w:sz w:val="20"/>
        </w:rPr>
        <w:t>Two-pass instruction for the User Rights section: find the rights section first, then evaluate all 11 rights against it independently.</w:t>
      </w:r>
    </w:p>
    <w:p>
      <w:pPr>
        <w:pStyle w:val="ListBullet"/>
        <w:spacing w:after="40"/>
        <w:ind w:left="360"/>
      </w:pPr>
      <w:r>
        <w:rPr>
          <w:rFonts w:ascii="Arial" w:hAnsi="Arial"/>
          <w:sz w:val="20"/>
        </w:rPr>
        <w:t>Explicit FALSE definitions: the prompt names exactly what kinds of language are insufficient for each indicator.</w:t>
      </w:r>
    </w:p>
    <w:p>
      <w:pPr>
        <w:pStyle w:val="ListBullet"/>
        <w:spacing w:after="40"/>
        <w:ind w:left="360"/>
      </w:pPr>
      <w:r>
        <w:rPr>
          <w:rFonts w:ascii="Arial" w:hAnsi="Arial"/>
          <w:sz w:val="20"/>
        </w:rPr>
        <w:t>Temperature set to 0 everywhere for full determinism and reproducibility.</w:t>
      </w:r>
    </w:p>
    <w:p>
      <w:pPr>
        <w:spacing w:before="240" w:after="80"/>
      </w:pPr>
      <w:r>
        <w:rPr>
          <w:rFonts w:ascii="Arial" w:hAnsi="Arial"/>
          <w:b/>
          <w:color w:val="2E75B6"/>
          <w:sz w:val="24"/>
        </w:rPr>
        <w:t>Change 3 — src/analyzer.py: Policy builder, new helpers, composite scores</w:t>
      </w:r>
    </w:p>
    <w:p>
      <w:pPr>
        <w:spacing w:after="100"/>
      </w:pPr>
      <w:r>
        <w:rPr>
          <w:rFonts w:ascii="Arial" w:hAnsi="Arial"/>
          <w:sz w:val="20"/>
        </w:rPr>
        <w:t>Four additions to analyzer.py:</w:t>
      </w:r>
    </w:p>
    <w:p>
      <w:pPr>
        <w:pStyle w:val="ListBullet"/>
        <w:spacing w:after="40"/>
        <w:ind w:left="360"/>
      </w:pPr>
      <w:r>
        <w:rPr>
          <w:rFonts w:ascii="Arial" w:hAnsi="Arial"/>
          <w:b/>
          <w:sz w:val="20"/>
        </w:rPr>
        <w:t xml:space="preserve">Policy text builder — </w:t>
      </w:r>
      <w:r>
        <w:rPr>
          <w:rFonts w:ascii="Arial" w:hAnsi="Arial"/>
          <w:sz w:val="20"/>
        </w:rPr>
        <w:t>build_policy_text(row): constructs policy text at runtime from ppCompany (preferred, avg 13,500 chars) and ppPlatform (fallback). Concatenates both if both are substantive.</w:t>
      </w:r>
    </w:p>
    <w:p>
      <w:pPr>
        <w:pStyle w:val="ListBullet"/>
        <w:spacing w:after="40"/>
        <w:ind w:left="360"/>
      </w:pPr>
      <w:r>
        <w:rPr>
          <w:rFonts w:ascii="Arial" w:hAnsi="Arial"/>
          <w:b/>
          <w:sz w:val="20"/>
        </w:rPr>
        <w:t xml:space="preserve">New field helpers — </w:t>
      </w:r>
      <w:r>
        <w:rPr>
          <w:rFonts w:ascii="Arial" w:hAnsi="Arial"/>
          <w:sz w:val="20"/>
        </w:rPr>
        <w:t>_extract_table1_fields() and _get_empty_table1_fields(): handle the new 35 booleans + 35 evidence strings + 7 enum/free-text fields for both success and error cases.</w:t>
      </w:r>
    </w:p>
    <w:p>
      <w:pPr>
        <w:pStyle w:val="ListBullet"/>
        <w:spacing w:after="40"/>
        <w:ind w:left="360"/>
      </w:pPr>
      <w:r>
        <w:rPr>
          <w:rFonts w:ascii="Arial" w:hAnsi="Arial"/>
          <w:b/>
          <w:sz w:val="20"/>
        </w:rPr>
        <w:t xml:space="preserve">Composite scores — </w:t>
      </w:r>
      <w:r>
        <w:rPr>
          <w:rFonts w:ascii="Arial" w:hAnsi="Arial"/>
          <w:sz w:val="20"/>
        </w:rPr>
        <w:t>_compute_composite_scores(): Python-side computation of gdpr_composite_pct, coppa_composite_pct, overall_composite_pct from the indicator dict. Deterministic — not asked of the model.</w:t>
      </w:r>
    </w:p>
    <w:p>
      <w:pPr>
        <w:pStyle w:val="ListBullet"/>
        <w:spacing w:after="40"/>
        <w:ind w:left="360"/>
      </w:pPr>
      <w:r>
        <w:rPr>
          <w:rFonts w:ascii="Arial" w:hAnsi="Arial"/>
          <w:b/>
          <w:sz w:val="20"/>
        </w:rPr>
        <w:t xml:space="preserve">Model settings — </w:t>
      </w:r>
      <w:r>
        <w:rPr>
          <w:rFonts w:ascii="Arial" w:hAnsi="Arial"/>
          <w:sz w:val="20"/>
        </w:rPr>
        <w:t>Model default updated to gpt-5.1. MODEL_PRICING dict updated with current pricing. Temperature set to 0 across all models.</w:t>
      </w:r>
    </w:p>
    <w:p>
      <w:pPr>
        <w:spacing w:before="240" w:after="80"/>
      </w:pPr>
      <w:r>
        <w:rPr>
          <w:rFonts w:ascii="Arial" w:hAnsi="Arial"/>
          <w:b/>
          <w:color w:val="2E75B6"/>
          <w:sz w:val="24"/>
        </w:rPr>
        <w:t>Change 4 — src/main.py: Model choices and column flags</w:t>
      </w:r>
    </w:p>
    <w:p>
      <w:pPr>
        <w:spacing w:after="100"/>
      </w:pPr>
      <w:r>
        <w:rPr>
          <w:rFonts w:ascii="Arial" w:hAnsi="Arial"/>
          <w:sz w:val="20"/>
        </w:rPr>
        <w:t>--model choices updated to include gpt-5.1 and gpt-4.1 family. Default changed to gpt-5.1. Two new optional flags added: --policy-column-primary and --policy-column-fallback to support running directly from Master Data.csv with ppCompany/ppPlatform.</w:t>
      </w:r>
    </w:p>
    <w:p>
      <w:pPr>
        <w:spacing w:before="240" w:after="80"/>
      </w:pPr>
      <w:r>
        <w:rPr>
          <w:rFonts w:ascii="Arial" w:hAnsi="Arial"/>
          <w:b/>
          <w:color w:val="2E75B6"/>
          <w:sz w:val="24"/>
        </w:rPr>
        <w:t>Change 5 — cluster_analysis.py: Updated column lists</w:t>
      </w:r>
    </w:p>
    <w:p>
      <w:pPr>
        <w:spacing w:after="100"/>
      </w:pPr>
      <w:r>
        <w:rPr>
          <w:rFonts w:ascii="Arial" w:hAnsi="Arial"/>
          <w:sz w:val="20"/>
        </w:rPr>
        <w:t>CLUSTERING_COLUMNS updated to use 14 interpretable indicators from the new schema. SCORING_COLUMNS updated to use all 35 Table 1 boolean fields. compute_compliance_score updated to use the pre-computed overall_composite_pct from analyzer output when available.</w:t>
      </w:r>
    </w:p>
    <w:p>
      <w:pPr>
        <w:spacing w:before="120" w:after="120"/>
        <w:pBdr>
          <w:bottom w:val="single" w:sz="4" w:space="1" w:color="2E75B6"/>
        </w:pBdr>
      </w:pPr>
    </w:p>
    <w:p>
      <w:pPr>
        <w:spacing w:before="400" w:after="120"/>
      </w:pPr>
      <w:r>
        <w:rPr>
          <w:rFonts w:ascii="Arial" w:hAnsi="Arial"/>
          <w:b/>
          <w:color w:val="1F497D"/>
          <w:sz w:val="30"/>
        </w:rPr>
        <w:t>3. New Indicator Schema — Table 1 Mapping</w:t>
      </w:r>
    </w:p>
    <w:p>
      <w:pPr>
        <w:spacing w:after="100"/>
      </w:pPr>
      <w:r>
        <w:rPr>
          <w:rFonts w:ascii="Arial" w:hAnsi="Arial"/>
          <w:sz w:val="20"/>
        </w:rPr>
        <w:t>All 35 boolean indicators with their regulatory citations and companion field names: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584"/>
            <w:shd w:val="clear" w:color="auto" w:fill="1F497D"/>
          </w:tcPr>
          <w:p>
            <w:r>
              <w:rPr>
                <w:rFonts w:ascii="Arial" w:hAnsi="Arial"/>
                <w:b/>
                <w:color w:val="FFFFFF"/>
                <w:sz w:val="18"/>
              </w:rPr>
              <w:t>Category</w:t>
            </w:r>
          </w:p>
        </w:tc>
        <w:tc>
          <w:tcPr>
            <w:tcW w:type="dxa" w:w="2520"/>
            <w:shd w:val="clear" w:color="auto" w:fill="1F497D"/>
          </w:tcPr>
          <w:p>
            <w:r>
              <w:rPr>
                <w:rFonts w:ascii="Arial" w:hAnsi="Arial"/>
                <w:b/>
                <w:color w:val="FFFFFF"/>
                <w:sz w:val="18"/>
              </w:rPr>
              <w:t>Field Name</w:t>
            </w:r>
          </w:p>
        </w:tc>
        <w:tc>
          <w:tcPr>
            <w:tcW w:type="dxa" w:w="3816"/>
            <w:shd w:val="clear" w:color="auto" w:fill="1F497D"/>
          </w:tcPr>
          <w:p>
            <w:r>
              <w:rPr>
                <w:rFonts w:ascii="Arial" w:hAnsi="Arial"/>
                <w:b/>
                <w:color w:val="FFFFFF"/>
                <w:sz w:val="18"/>
              </w:rPr>
              <w:t>What TRUE Requires</w:t>
            </w:r>
          </w:p>
        </w:tc>
        <w:tc>
          <w:tcPr>
            <w:tcW w:type="dxa" w:w="2160"/>
            <w:shd w:val="clear" w:color="auto" w:fill="1F497D"/>
          </w:tcPr>
          <w:p>
            <w:r>
              <w:rPr>
                <w:rFonts w:ascii="Arial" w:hAnsi="Arial"/>
                <w:b/>
                <w:color w:val="FFFFFF"/>
                <w:sz w:val="18"/>
              </w:rPr>
              <w:t>Regulation</w:t>
            </w:r>
          </w:p>
        </w:tc>
      </w:tr>
      <w:tr>
        <w:tc>
          <w:tcPr>
            <w:tcW w:type="dxa" w:w="1584"/>
            <w:shd w:val="clear" w:color="auto" w:fill="EDF2FA"/>
            <w:vAlign w:val="center"/>
          </w:tcPr>
          <w:p>
            <w:r>
              <w:rPr>
                <w:rFonts w:ascii="Arial" w:hAnsi="Arial"/>
                <w:sz w:val="18"/>
              </w:rPr>
              <w:t>Company Identity</w:t>
            </w:r>
          </w:p>
        </w:tc>
        <w:tc>
          <w:tcPr>
            <w:tcW w:type="dxa" w:w="2520"/>
            <w:shd w:val="clear" w:color="auto" w:fill="EDF2FA"/>
            <w:vAlign w:val="center"/>
          </w:tcPr>
          <w:p>
            <w:r>
              <w:rPr>
                <w:rFonts w:ascii="Arial" w:hAnsi="Arial"/>
                <w:sz w:val="18"/>
              </w:rPr>
              <w:t>ci_controller_identity</w:t>
            </w:r>
          </w:p>
        </w:tc>
        <w:tc>
          <w:tcPr>
            <w:tcW w:type="dxa" w:w="3816"/>
            <w:shd w:val="clear" w:color="auto" w:fill="EDF2FA"/>
            <w:vAlign w:val="center"/>
          </w:tcPr>
          <w:p>
            <w:r>
              <w:rPr>
                <w:rFonts w:ascii="Arial" w:hAnsi="Arial"/>
                <w:sz w:val="18"/>
              </w:rPr>
              <w:t>Controller name + contact details</w:t>
            </w:r>
          </w:p>
        </w:tc>
        <w:tc>
          <w:tcPr>
            <w:tcW w:type="dxa" w:w="2160"/>
            <w:shd w:val="clear" w:color="auto" w:fill="EDF2FA"/>
            <w:vAlign w:val="center"/>
          </w:tcPr>
          <w:p>
            <w:r>
              <w:rPr>
                <w:rFonts w:ascii="Arial" w:hAnsi="Arial"/>
                <w:sz w:val="18"/>
              </w:rPr>
              <w:t>GDPR Art. 13(1)(a), 14(1)(a); COPPA §312.4(d)(1)</w:t>
            </w:r>
          </w:p>
        </w:tc>
      </w:tr>
      <w:tr>
        <w:tc>
          <w:tcPr>
            <w:tcW w:type="dxa" w:w="1584"/>
            <w:shd w:val="clear" w:color="auto" w:fill="FFFFFF"/>
            <w:vAlign w:val="center"/>
          </w:tcPr>
          <w:p>
            <w:r>
              <w:rPr>
                <w:rFonts w:ascii="Arial" w:hAnsi="Arial"/>
                <w:sz w:val="18"/>
              </w:rPr>
              <w:t>Company Identity</w:t>
            </w:r>
          </w:p>
        </w:tc>
        <w:tc>
          <w:tcPr>
            <w:tcW w:type="dxa" w:w="2520"/>
            <w:shd w:val="clear" w:color="auto" w:fill="FFFFFF"/>
            <w:vAlign w:val="center"/>
          </w:tcPr>
          <w:p>
            <w:r>
              <w:rPr>
                <w:rFonts w:ascii="Arial" w:hAnsi="Arial"/>
                <w:sz w:val="18"/>
              </w:rPr>
              <w:t>ci_dpo_contact</w:t>
            </w:r>
          </w:p>
        </w:tc>
        <w:tc>
          <w:tcPr>
            <w:tcW w:type="dxa" w:w="3816"/>
            <w:shd w:val="clear" w:color="auto" w:fill="FFFFFF"/>
            <w:vAlign w:val="center"/>
          </w:tcPr>
          <w:p>
            <w:r>
              <w:rPr>
                <w:rFonts w:ascii="Arial" w:hAnsi="Arial"/>
                <w:sz w:val="18"/>
              </w:rPr>
              <w:t>DPO contact details</w:t>
            </w:r>
          </w:p>
        </w:tc>
        <w:tc>
          <w:tcPr>
            <w:tcW w:type="dxa" w:w="2160"/>
            <w:shd w:val="clear" w:color="auto" w:fill="FFFFFF"/>
            <w:vAlign w:val="center"/>
          </w:tcPr>
          <w:p>
            <w:r>
              <w:rPr>
                <w:rFonts w:ascii="Arial" w:hAnsi="Arial"/>
                <w:sz w:val="18"/>
              </w:rPr>
              <w:t>GDPR Art. 13(1)(b), 14(1)(b)</w:t>
            </w:r>
          </w:p>
        </w:tc>
      </w:tr>
      <w:tr>
        <w:tc>
          <w:tcPr>
            <w:tcW w:type="dxa" w:w="1584"/>
            <w:shd w:val="clear" w:color="auto" w:fill="EDF2FA"/>
            <w:vAlign w:val="center"/>
          </w:tcPr>
          <w:p>
            <w:r>
              <w:rPr>
                <w:rFonts w:ascii="Arial" w:hAnsi="Arial"/>
                <w:sz w:val="18"/>
              </w:rPr>
              <w:t>Company Identity</w:t>
            </w:r>
          </w:p>
        </w:tc>
        <w:tc>
          <w:tcPr>
            <w:tcW w:type="dxa" w:w="2520"/>
            <w:shd w:val="clear" w:color="auto" w:fill="EDF2FA"/>
            <w:vAlign w:val="center"/>
          </w:tcPr>
          <w:p>
            <w:r>
              <w:rPr>
                <w:rFonts w:ascii="Arial" w:hAnsi="Arial"/>
                <w:sz w:val="18"/>
              </w:rPr>
              <w:t>ci_operator_list</w:t>
            </w:r>
          </w:p>
        </w:tc>
        <w:tc>
          <w:tcPr>
            <w:tcW w:type="dxa" w:w="3816"/>
            <w:shd w:val="clear" w:color="auto" w:fill="EDF2FA"/>
            <w:vAlign w:val="center"/>
          </w:tcPr>
          <w:p>
            <w:r>
              <w:rPr>
                <w:rFonts w:ascii="Arial" w:hAnsi="Arial"/>
                <w:sz w:val="18"/>
              </w:rPr>
              <w:t>All operators listed with full contact info</w:t>
            </w:r>
          </w:p>
        </w:tc>
        <w:tc>
          <w:tcPr>
            <w:tcW w:type="dxa" w:w="2160"/>
            <w:shd w:val="clear" w:color="auto" w:fill="EDF2FA"/>
            <w:vAlign w:val="center"/>
          </w:tcPr>
          <w:p>
            <w:r>
              <w:rPr>
                <w:rFonts w:ascii="Arial" w:hAnsi="Arial"/>
                <w:sz w:val="18"/>
              </w:rPr>
              <w:t>COPPA §312.4(d)(1)</w:t>
            </w:r>
          </w:p>
        </w:tc>
      </w:tr>
      <w:tr>
        <w:tc>
          <w:tcPr>
            <w:tcW w:type="dxa" w:w="1584"/>
            <w:shd w:val="clear" w:color="auto" w:fill="FFFFFF"/>
            <w:vAlign w:val="center"/>
          </w:tcPr>
          <w:p>
            <w:r>
              <w:rPr>
                <w:rFonts w:ascii="Arial" w:hAnsi="Arial"/>
                <w:sz w:val="18"/>
              </w:rPr>
              <w:t>Types of Data</w:t>
            </w:r>
          </w:p>
        </w:tc>
        <w:tc>
          <w:tcPr>
            <w:tcW w:type="dxa" w:w="2520"/>
            <w:shd w:val="clear" w:color="auto" w:fill="FFFFFF"/>
            <w:vAlign w:val="center"/>
          </w:tcPr>
          <w:p>
            <w:r>
              <w:rPr>
                <w:rFonts w:ascii="Arial" w:hAnsi="Arial"/>
                <w:sz w:val="18"/>
              </w:rPr>
              <w:t>td_categories_disclosed</w:t>
            </w:r>
          </w:p>
        </w:tc>
        <w:tc>
          <w:tcPr>
            <w:tcW w:type="dxa" w:w="3816"/>
            <w:shd w:val="clear" w:color="auto" w:fill="FFFFFF"/>
            <w:vAlign w:val="center"/>
          </w:tcPr>
          <w:p>
            <w:r>
              <w:rPr>
                <w:rFonts w:ascii="Arial" w:hAnsi="Arial"/>
                <w:sz w:val="18"/>
              </w:rPr>
              <w:t>Specific categories of personal data listed</w:t>
            </w:r>
          </w:p>
        </w:tc>
        <w:tc>
          <w:tcPr>
            <w:tcW w:type="dxa" w:w="2160"/>
            <w:shd w:val="clear" w:color="auto" w:fill="FFFFFF"/>
            <w:vAlign w:val="center"/>
          </w:tcPr>
          <w:p>
            <w:r>
              <w:rPr>
                <w:rFonts w:ascii="Arial" w:hAnsi="Arial"/>
                <w:sz w:val="18"/>
              </w:rPr>
              <w:t>GDPR Art. 13(1)(c), 14(1)(d)</w:t>
            </w:r>
          </w:p>
        </w:tc>
      </w:tr>
      <w:tr>
        <w:tc>
          <w:tcPr>
            <w:tcW w:type="dxa" w:w="1584"/>
            <w:shd w:val="clear" w:color="auto" w:fill="EDF2FA"/>
            <w:vAlign w:val="center"/>
          </w:tcPr>
          <w:p>
            <w:r>
              <w:rPr>
                <w:rFonts w:ascii="Arial" w:hAnsi="Arial"/>
                <w:sz w:val="18"/>
              </w:rPr>
              <w:t>Types of Data</w:t>
            </w:r>
          </w:p>
        </w:tc>
        <w:tc>
          <w:tcPr>
            <w:tcW w:type="dxa" w:w="2520"/>
            <w:shd w:val="clear" w:color="auto" w:fill="EDF2FA"/>
            <w:vAlign w:val="center"/>
          </w:tcPr>
          <w:p>
            <w:r>
              <w:rPr>
                <w:rFonts w:ascii="Arial" w:hAnsi="Arial"/>
                <w:sz w:val="18"/>
              </w:rPr>
              <w:t>td_children_data_types</w:t>
            </w:r>
          </w:p>
        </w:tc>
        <w:tc>
          <w:tcPr>
            <w:tcW w:type="dxa" w:w="3816"/>
            <w:shd w:val="clear" w:color="auto" w:fill="EDF2FA"/>
            <w:vAlign w:val="center"/>
          </w:tcPr>
          <w:p>
            <w:r>
              <w:rPr>
                <w:rFonts w:ascii="Arial" w:hAnsi="Arial"/>
                <w:sz w:val="18"/>
              </w:rPr>
              <w:t>Data types from children specifically</w:t>
            </w:r>
          </w:p>
        </w:tc>
        <w:tc>
          <w:tcPr>
            <w:tcW w:type="dxa" w:w="2160"/>
            <w:shd w:val="clear" w:color="auto" w:fill="EDF2FA"/>
            <w:vAlign w:val="center"/>
          </w:tcPr>
          <w:p>
            <w:r>
              <w:rPr>
                <w:rFonts w:ascii="Arial" w:hAnsi="Arial"/>
                <w:sz w:val="18"/>
              </w:rPr>
              <w:t>COPPA §312.4(d)(2)</w:t>
            </w:r>
          </w:p>
        </w:tc>
      </w:tr>
      <w:tr>
        <w:tc>
          <w:tcPr>
            <w:tcW w:type="dxa" w:w="1584"/>
            <w:shd w:val="clear" w:color="auto" w:fill="FFFFFF"/>
            <w:vAlign w:val="center"/>
          </w:tcPr>
          <w:p>
            <w:r>
              <w:rPr>
                <w:rFonts w:ascii="Arial" w:hAnsi="Arial"/>
                <w:sz w:val="18"/>
              </w:rPr>
              <w:t>Types of Data</w:t>
            </w:r>
          </w:p>
        </w:tc>
        <w:tc>
          <w:tcPr>
            <w:tcW w:type="dxa" w:w="2520"/>
            <w:shd w:val="clear" w:color="auto" w:fill="FFFFFF"/>
            <w:vAlign w:val="center"/>
          </w:tcPr>
          <w:p>
            <w:r>
              <w:rPr>
                <w:rFonts w:ascii="Arial" w:hAnsi="Arial"/>
                <w:sz w:val="18"/>
              </w:rPr>
              <w:t>td_persistent_identifiers</w:t>
            </w:r>
          </w:p>
        </w:tc>
        <w:tc>
          <w:tcPr>
            <w:tcW w:type="dxa" w:w="3816"/>
            <w:shd w:val="clear" w:color="auto" w:fill="FFFFFF"/>
            <w:vAlign w:val="center"/>
          </w:tcPr>
          <w:p>
            <w:r>
              <w:rPr>
                <w:rFonts w:ascii="Arial" w:hAnsi="Arial"/>
                <w:sz w:val="18"/>
              </w:rPr>
              <w:t>Cookies, device IDs, advertising IDs disclosed</w:t>
            </w:r>
          </w:p>
        </w:tc>
        <w:tc>
          <w:tcPr>
            <w:tcW w:type="dxa" w:w="2160"/>
            <w:shd w:val="clear" w:color="auto" w:fill="FFFFFF"/>
            <w:vAlign w:val="center"/>
          </w:tcPr>
          <w:p>
            <w:r>
              <w:rPr>
                <w:rFonts w:ascii="Arial" w:hAnsi="Arial"/>
                <w:sz w:val="18"/>
              </w:rPr>
              <w:t>COPPA §312.2; §312.4(d)(2)</w:t>
            </w:r>
          </w:p>
        </w:tc>
      </w:tr>
      <w:tr>
        <w:tc>
          <w:tcPr>
            <w:tcW w:type="dxa" w:w="1584"/>
            <w:shd w:val="clear" w:color="auto" w:fill="EDF2FA"/>
            <w:vAlign w:val="center"/>
          </w:tcPr>
          <w:p>
            <w:r>
              <w:rPr>
                <w:rFonts w:ascii="Arial" w:hAnsi="Arial"/>
                <w:sz w:val="18"/>
              </w:rPr>
              <w:t>Purpose</w:t>
            </w:r>
          </w:p>
        </w:tc>
        <w:tc>
          <w:tcPr>
            <w:tcW w:type="dxa" w:w="2520"/>
            <w:shd w:val="clear" w:color="auto" w:fill="EDF2FA"/>
            <w:vAlign w:val="center"/>
          </w:tcPr>
          <w:p>
            <w:r>
              <w:rPr>
                <w:rFonts w:ascii="Arial" w:hAnsi="Arial"/>
                <w:sz w:val="18"/>
              </w:rPr>
              <w:t>pu_purposes_stated</w:t>
            </w:r>
          </w:p>
        </w:tc>
        <w:tc>
          <w:tcPr>
            <w:tcW w:type="dxa" w:w="3816"/>
            <w:shd w:val="clear" w:color="auto" w:fill="EDF2FA"/>
            <w:vAlign w:val="center"/>
          </w:tcPr>
          <w:p>
            <w:r>
              <w:rPr>
                <w:rFonts w:ascii="Arial" w:hAnsi="Arial"/>
                <w:sz w:val="18"/>
              </w:rPr>
              <w:t>Specific processing purposes listed</w:t>
            </w:r>
          </w:p>
        </w:tc>
        <w:tc>
          <w:tcPr>
            <w:tcW w:type="dxa" w:w="2160"/>
            <w:shd w:val="clear" w:color="auto" w:fill="EDF2FA"/>
            <w:vAlign w:val="center"/>
          </w:tcPr>
          <w:p>
            <w:r>
              <w:rPr>
                <w:rFonts w:ascii="Arial" w:hAnsi="Arial"/>
                <w:sz w:val="18"/>
              </w:rPr>
              <w:t>GDPR Art. 13(1)(c)</w:t>
            </w:r>
          </w:p>
        </w:tc>
      </w:tr>
      <w:tr>
        <w:tc>
          <w:tcPr>
            <w:tcW w:type="dxa" w:w="1584"/>
            <w:shd w:val="clear" w:color="auto" w:fill="FFFFFF"/>
            <w:vAlign w:val="center"/>
          </w:tcPr>
          <w:p>
            <w:r>
              <w:rPr>
                <w:rFonts w:ascii="Arial" w:hAnsi="Arial"/>
                <w:sz w:val="18"/>
              </w:rPr>
              <w:t>Purpose</w:t>
            </w:r>
          </w:p>
        </w:tc>
        <w:tc>
          <w:tcPr>
            <w:tcW w:type="dxa" w:w="2520"/>
            <w:shd w:val="clear" w:color="auto" w:fill="FFFFFF"/>
            <w:vAlign w:val="center"/>
          </w:tcPr>
          <w:p>
            <w:r>
              <w:rPr>
                <w:rFonts w:ascii="Arial" w:hAnsi="Arial"/>
                <w:sz w:val="18"/>
              </w:rPr>
              <w:t>pu_legal_basis</w:t>
            </w:r>
          </w:p>
        </w:tc>
        <w:tc>
          <w:tcPr>
            <w:tcW w:type="dxa" w:w="3816"/>
            <w:shd w:val="clear" w:color="auto" w:fill="FFFFFF"/>
            <w:vAlign w:val="center"/>
          </w:tcPr>
          <w:p>
            <w:r>
              <w:rPr>
                <w:rFonts w:ascii="Arial" w:hAnsi="Arial"/>
                <w:sz w:val="18"/>
              </w:rPr>
              <w:t>GDPR lawful basis named explicitly</w:t>
            </w:r>
          </w:p>
        </w:tc>
        <w:tc>
          <w:tcPr>
            <w:tcW w:type="dxa" w:w="2160"/>
            <w:shd w:val="clear" w:color="auto" w:fill="FFFFFF"/>
            <w:vAlign w:val="center"/>
          </w:tcPr>
          <w:p>
            <w:r>
              <w:rPr>
                <w:rFonts w:ascii="Arial" w:hAnsi="Arial"/>
                <w:sz w:val="18"/>
              </w:rPr>
              <w:t>GDPR Art. 6; Art. 13(1)(c)</w:t>
            </w:r>
          </w:p>
        </w:tc>
      </w:tr>
      <w:tr>
        <w:tc>
          <w:tcPr>
            <w:tcW w:type="dxa" w:w="1584"/>
            <w:shd w:val="clear" w:color="auto" w:fill="EDF2FA"/>
            <w:vAlign w:val="center"/>
          </w:tcPr>
          <w:p>
            <w:r>
              <w:rPr>
                <w:rFonts w:ascii="Arial" w:hAnsi="Arial"/>
                <w:sz w:val="18"/>
              </w:rPr>
              <w:t>Purpose</w:t>
            </w:r>
          </w:p>
        </w:tc>
        <w:tc>
          <w:tcPr>
            <w:tcW w:type="dxa" w:w="2520"/>
            <w:shd w:val="clear" w:color="auto" w:fill="EDF2FA"/>
            <w:vAlign w:val="center"/>
          </w:tcPr>
          <w:p>
            <w:r>
              <w:rPr>
                <w:rFonts w:ascii="Arial" w:hAnsi="Arial"/>
                <w:sz w:val="18"/>
              </w:rPr>
              <w:t>pu_children_data_use</w:t>
            </w:r>
          </w:p>
        </w:tc>
        <w:tc>
          <w:tcPr>
            <w:tcW w:type="dxa" w:w="3816"/>
            <w:shd w:val="clear" w:color="auto" w:fill="EDF2FA"/>
            <w:vAlign w:val="center"/>
          </w:tcPr>
          <w:p>
            <w:r>
              <w:rPr>
                <w:rFonts w:ascii="Arial" w:hAnsi="Arial"/>
                <w:sz w:val="18"/>
              </w:rPr>
              <w:t>How children's data is used, specifically</w:t>
            </w:r>
          </w:p>
        </w:tc>
        <w:tc>
          <w:tcPr>
            <w:tcW w:type="dxa" w:w="2160"/>
            <w:shd w:val="clear" w:color="auto" w:fill="EDF2FA"/>
            <w:vAlign w:val="center"/>
          </w:tcPr>
          <w:p>
            <w:r>
              <w:rPr>
                <w:rFonts w:ascii="Arial" w:hAnsi="Arial"/>
                <w:sz w:val="18"/>
              </w:rPr>
              <w:t>COPPA §312.4(d)(2)</w:t>
            </w:r>
          </w:p>
        </w:tc>
      </w:tr>
      <w:tr>
        <w:tc>
          <w:tcPr>
            <w:tcW w:type="dxa" w:w="1584"/>
            <w:shd w:val="clear" w:color="auto" w:fill="FFFFFF"/>
            <w:vAlign w:val="center"/>
          </w:tcPr>
          <w:p>
            <w:r>
              <w:rPr>
                <w:rFonts w:ascii="Arial" w:hAnsi="Arial"/>
                <w:sz w:val="18"/>
              </w:rPr>
              <w:t>Third-Party Sharing</w:t>
            </w:r>
          </w:p>
        </w:tc>
        <w:tc>
          <w:tcPr>
            <w:tcW w:type="dxa" w:w="2520"/>
            <w:shd w:val="clear" w:color="auto" w:fill="FFFFFF"/>
            <w:vAlign w:val="center"/>
          </w:tcPr>
          <w:p>
            <w:r>
              <w:rPr>
                <w:rFonts w:ascii="Arial" w:hAnsi="Arial"/>
                <w:sz w:val="18"/>
              </w:rPr>
              <w:t>ts_recipients_disclosed</w:t>
            </w:r>
          </w:p>
        </w:tc>
        <w:tc>
          <w:tcPr>
            <w:tcW w:type="dxa" w:w="3816"/>
            <w:shd w:val="clear" w:color="auto" w:fill="FFFFFF"/>
            <w:vAlign w:val="center"/>
          </w:tcPr>
          <w:p>
            <w:r>
              <w:rPr>
                <w:rFonts w:ascii="Arial" w:hAnsi="Arial"/>
                <w:sz w:val="18"/>
              </w:rPr>
              <w:t>Recipients or categories named</w:t>
            </w:r>
          </w:p>
        </w:tc>
        <w:tc>
          <w:tcPr>
            <w:tcW w:type="dxa" w:w="2160"/>
            <w:shd w:val="clear" w:color="auto" w:fill="FFFFFF"/>
            <w:vAlign w:val="center"/>
          </w:tcPr>
          <w:p>
            <w:r>
              <w:rPr>
                <w:rFonts w:ascii="Arial" w:hAnsi="Arial"/>
                <w:sz w:val="18"/>
              </w:rPr>
              <w:t>GDPR Art. 13(1)(e), 14(1)(e)</w:t>
            </w:r>
          </w:p>
        </w:tc>
      </w:tr>
      <w:tr>
        <w:tc>
          <w:tcPr>
            <w:tcW w:type="dxa" w:w="1584"/>
            <w:shd w:val="clear" w:color="auto" w:fill="EDF2FA"/>
            <w:vAlign w:val="center"/>
          </w:tcPr>
          <w:p>
            <w:r>
              <w:rPr>
                <w:rFonts w:ascii="Arial" w:hAnsi="Arial"/>
                <w:sz w:val="18"/>
              </w:rPr>
              <w:t>Third-Party Sharing</w:t>
            </w:r>
          </w:p>
        </w:tc>
        <w:tc>
          <w:tcPr>
            <w:tcW w:type="dxa" w:w="2520"/>
            <w:shd w:val="clear" w:color="auto" w:fill="EDF2FA"/>
            <w:vAlign w:val="center"/>
          </w:tcPr>
          <w:p>
            <w:r>
              <w:rPr>
                <w:rFonts w:ascii="Arial" w:hAnsi="Arial"/>
                <w:sz w:val="18"/>
              </w:rPr>
              <w:t>ts_children_data_recipients</w:t>
            </w:r>
          </w:p>
        </w:tc>
        <w:tc>
          <w:tcPr>
            <w:tcW w:type="dxa" w:w="3816"/>
            <w:shd w:val="clear" w:color="auto" w:fill="EDF2FA"/>
            <w:vAlign w:val="center"/>
          </w:tcPr>
          <w:p>
            <w:r>
              <w:rPr>
                <w:rFonts w:ascii="Arial" w:hAnsi="Arial"/>
                <w:sz w:val="18"/>
              </w:rPr>
              <w:t>Who receives children's data specifically</w:t>
            </w:r>
          </w:p>
        </w:tc>
        <w:tc>
          <w:tcPr>
            <w:tcW w:type="dxa" w:w="2160"/>
            <w:shd w:val="clear" w:color="auto" w:fill="EDF2FA"/>
            <w:vAlign w:val="center"/>
          </w:tcPr>
          <w:p>
            <w:r>
              <w:rPr>
                <w:rFonts w:ascii="Arial" w:hAnsi="Arial"/>
                <w:sz w:val="18"/>
              </w:rPr>
              <w:t>COPPA §312.4(d)(3)</w:t>
            </w:r>
          </w:p>
        </w:tc>
      </w:tr>
      <w:tr>
        <w:tc>
          <w:tcPr>
            <w:tcW w:type="dxa" w:w="1584"/>
            <w:shd w:val="clear" w:color="auto" w:fill="FFFFFF"/>
            <w:vAlign w:val="center"/>
          </w:tcPr>
          <w:p>
            <w:r>
              <w:rPr>
                <w:rFonts w:ascii="Arial" w:hAnsi="Arial"/>
                <w:sz w:val="18"/>
              </w:rPr>
              <w:t>Third-Party Sharing</w:t>
            </w:r>
          </w:p>
        </w:tc>
        <w:tc>
          <w:tcPr>
            <w:tcW w:type="dxa" w:w="2520"/>
            <w:shd w:val="clear" w:color="auto" w:fill="FFFFFF"/>
            <w:vAlign w:val="center"/>
          </w:tcPr>
          <w:p>
            <w:r>
              <w:rPr>
                <w:rFonts w:ascii="Arial" w:hAnsi="Arial"/>
                <w:sz w:val="18"/>
              </w:rPr>
              <w:t>ts_third_party_purpose</w:t>
            </w:r>
          </w:p>
        </w:tc>
        <w:tc>
          <w:tcPr>
            <w:tcW w:type="dxa" w:w="3816"/>
            <w:shd w:val="clear" w:color="auto" w:fill="FFFFFF"/>
            <w:vAlign w:val="center"/>
          </w:tcPr>
          <w:p>
            <w:r>
              <w:rPr>
                <w:rFonts w:ascii="Arial" w:hAnsi="Arial"/>
                <w:sz w:val="18"/>
              </w:rPr>
              <w:t>Why children's data is shared with each party</w:t>
            </w:r>
          </w:p>
        </w:tc>
        <w:tc>
          <w:tcPr>
            <w:tcW w:type="dxa" w:w="2160"/>
            <w:shd w:val="clear" w:color="auto" w:fill="FFFFFF"/>
            <w:vAlign w:val="center"/>
          </w:tcPr>
          <w:p>
            <w:r>
              <w:rPr>
                <w:rFonts w:ascii="Arial" w:hAnsi="Arial"/>
                <w:sz w:val="18"/>
              </w:rPr>
              <w:t>COPPA §312.4(d)(3)</w:t>
            </w:r>
          </w:p>
        </w:tc>
      </w:tr>
      <w:tr>
        <w:tc>
          <w:tcPr>
            <w:tcW w:type="dxa" w:w="1584"/>
            <w:shd w:val="clear" w:color="auto" w:fill="EDF2FA"/>
            <w:vAlign w:val="center"/>
          </w:tcPr>
          <w:p>
            <w:r>
              <w:rPr>
                <w:rFonts w:ascii="Arial" w:hAnsi="Arial"/>
                <w:sz w:val="18"/>
              </w:rPr>
              <w:t>Int'l Transfers</w:t>
            </w:r>
          </w:p>
        </w:tc>
        <w:tc>
          <w:tcPr>
            <w:tcW w:type="dxa" w:w="2520"/>
            <w:shd w:val="clear" w:color="auto" w:fill="EDF2FA"/>
            <w:vAlign w:val="center"/>
          </w:tcPr>
          <w:p>
            <w:r>
              <w:rPr>
                <w:rFonts w:ascii="Arial" w:hAnsi="Arial"/>
                <w:sz w:val="18"/>
              </w:rPr>
              <w:t>it_eu_transfers</w:t>
            </w:r>
          </w:p>
        </w:tc>
        <w:tc>
          <w:tcPr>
            <w:tcW w:type="dxa" w:w="3816"/>
            <w:shd w:val="clear" w:color="auto" w:fill="EDF2FA"/>
            <w:vAlign w:val="center"/>
          </w:tcPr>
          <w:p>
            <w:r>
              <w:rPr>
                <w:rFonts w:ascii="Arial" w:hAnsi="Arial"/>
                <w:sz w:val="18"/>
              </w:rPr>
              <w:t>EU transfers + safeguards disclosed</w:t>
            </w:r>
          </w:p>
        </w:tc>
        <w:tc>
          <w:tcPr>
            <w:tcW w:type="dxa" w:w="2160"/>
            <w:shd w:val="clear" w:color="auto" w:fill="EDF2FA"/>
            <w:vAlign w:val="center"/>
          </w:tcPr>
          <w:p>
            <w:r>
              <w:rPr>
                <w:rFonts w:ascii="Arial" w:hAnsi="Arial"/>
                <w:sz w:val="18"/>
              </w:rPr>
              <w:t>GDPR Art. 13(1)(f)</w:t>
            </w:r>
          </w:p>
        </w:tc>
      </w:tr>
      <w:tr>
        <w:tc>
          <w:tcPr>
            <w:tcW w:type="dxa" w:w="1584"/>
            <w:shd w:val="clear" w:color="auto" w:fill="FFFFFF"/>
            <w:vAlign w:val="center"/>
          </w:tcPr>
          <w:p>
            <w:r>
              <w:rPr>
                <w:rFonts w:ascii="Arial" w:hAnsi="Arial"/>
                <w:sz w:val="18"/>
              </w:rPr>
              <w:t>Retention</w:t>
            </w:r>
          </w:p>
        </w:tc>
        <w:tc>
          <w:tcPr>
            <w:tcW w:type="dxa" w:w="2520"/>
            <w:shd w:val="clear" w:color="auto" w:fill="FFFFFF"/>
            <w:vAlign w:val="center"/>
          </w:tcPr>
          <w:p>
            <w:r>
              <w:rPr>
                <w:rFonts w:ascii="Arial" w:hAnsi="Arial"/>
                <w:sz w:val="18"/>
              </w:rPr>
              <w:t>re_retention_period</w:t>
            </w:r>
          </w:p>
        </w:tc>
        <w:tc>
          <w:tcPr>
            <w:tcW w:type="dxa" w:w="3816"/>
            <w:shd w:val="clear" w:color="auto" w:fill="FFFFFF"/>
            <w:vAlign w:val="center"/>
          </w:tcPr>
          <w:p>
            <w:r>
              <w:rPr>
                <w:rFonts w:ascii="Arial" w:hAnsi="Arial"/>
                <w:sz w:val="18"/>
              </w:rPr>
              <w:t>Retention period or criteria stated</w:t>
            </w:r>
          </w:p>
        </w:tc>
        <w:tc>
          <w:tcPr>
            <w:tcW w:type="dxa" w:w="2160"/>
            <w:shd w:val="clear" w:color="auto" w:fill="FFFFFF"/>
            <w:vAlign w:val="center"/>
          </w:tcPr>
          <w:p>
            <w:r>
              <w:rPr>
                <w:rFonts w:ascii="Arial" w:hAnsi="Arial"/>
                <w:sz w:val="18"/>
              </w:rPr>
              <w:t>GDPR Art. 13(2)(a)</w:t>
            </w:r>
          </w:p>
        </w:tc>
      </w:tr>
      <w:tr>
        <w:tc>
          <w:tcPr>
            <w:tcW w:type="dxa" w:w="1584"/>
            <w:shd w:val="clear" w:color="auto" w:fill="EDF2FA"/>
            <w:vAlign w:val="center"/>
          </w:tcPr>
          <w:p>
            <w:r>
              <w:rPr>
                <w:rFonts w:ascii="Arial" w:hAnsi="Arial"/>
                <w:sz w:val="18"/>
              </w:rPr>
              <w:t>Retention</w:t>
            </w:r>
          </w:p>
        </w:tc>
        <w:tc>
          <w:tcPr>
            <w:tcW w:type="dxa" w:w="2520"/>
            <w:shd w:val="clear" w:color="auto" w:fill="EDF2FA"/>
            <w:vAlign w:val="center"/>
          </w:tcPr>
          <w:p>
            <w:r>
              <w:rPr>
                <w:rFonts w:ascii="Arial" w:hAnsi="Arial"/>
                <w:sz w:val="18"/>
              </w:rPr>
              <w:t>re_children_retention</w:t>
            </w:r>
          </w:p>
        </w:tc>
        <w:tc>
          <w:tcPr>
            <w:tcW w:type="dxa" w:w="3816"/>
            <w:shd w:val="clear" w:color="auto" w:fill="EDF2FA"/>
            <w:vAlign w:val="center"/>
          </w:tcPr>
          <w:p>
            <w:r>
              <w:rPr>
                <w:rFonts w:ascii="Arial" w:hAnsi="Arial"/>
                <w:sz w:val="18"/>
              </w:rPr>
              <w:t>Children's data kept only as long as necessary</w:t>
            </w:r>
          </w:p>
        </w:tc>
        <w:tc>
          <w:tcPr>
            <w:tcW w:type="dxa" w:w="2160"/>
            <w:shd w:val="clear" w:color="auto" w:fill="EDF2FA"/>
            <w:vAlign w:val="center"/>
          </w:tcPr>
          <w:p>
            <w:r>
              <w:rPr>
                <w:rFonts w:ascii="Arial" w:hAnsi="Arial"/>
                <w:sz w:val="18"/>
              </w:rPr>
              <w:t>COPPA §312.10</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ur_right_access</w:t>
            </w:r>
          </w:p>
        </w:tc>
        <w:tc>
          <w:tcPr>
            <w:tcW w:type="dxa" w:w="3816"/>
            <w:shd w:val="clear" w:color="auto" w:fill="FFFFFF"/>
            <w:vAlign w:val="center"/>
          </w:tcPr>
          <w:p>
            <w:r>
              <w:rPr>
                <w:rFonts w:ascii="Arial" w:hAnsi="Arial"/>
                <w:sz w:val="18"/>
              </w:rPr>
              <w:t>Right to access data (GDPR)</w:t>
            </w:r>
          </w:p>
        </w:tc>
        <w:tc>
          <w:tcPr>
            <w:tcW w:type="dxa" w:w="2160"/>
            <w:shd w:val="clear" w:color="auto" w:fill="FFFFFF"/>
            <w:vAlign w:val="center"/>
          </w:tcPr>
          <w:p>
            <w:r>
              <w:rPr>
                <w:rFonts w:ascii="Arial" w:hAnsi="Arial"/>
                <w:sz w:val="18"/>
              </w:rPr>
              <w:t>GDPR Art. 15</w:t>
            </w:r>
          </w:p>
        </w:tc>
      </w:tr>
      <w:tr>
        <w:tc>
          <w:tcPr>
            <w:tcW w:type="dxa" w:w="1584"/>
            <w:shd w:val="clear" w:color="auto" w:fill="EDF2FA"/>
            <w:vAlign w:val="center"/>
          </w:tcPr>
          <w:p>
            <w:r>
              <w:rPr>
                <w:rFonts w:ascii="Arial" w:hAnsi="Arial"/>
                <w:sz w:val="18"/>
              </w:rPr>
              <w:t>User/Parent Rights</w:t>
            </w:r>
          </w:p>
        </w:tc>
        <w:tc>
          <w:tcPr>
            <w:tcW w:type="dxa" w:w="2520"/>
            <w:shd w:val="clear" w:color="auto" w:fill="EDF2FA"/>
            <w:vAlign w:val="center"/>
          </w:tcPr>
          <w:p>
            <w:r>
              <w:rPr>
                <w:rFonts w:ascii="Arial" w:hAnsi="Arial"/>
                <w:sz w:val="18"/>
              </w:rPr>
              <w:t>ur_right_rectification</w:t>
            </w:r>
          </w:p>
        </w:tc>
        <w:tc>
          <w:tcPr>
            <w:tcW w:type="dxa" w:w="3816"/>
            <w:shd w:val="clear" w:color="auto" w:fill="EDF2FA"/>
            <w:vAlign w:val="center"/>
          </w:tcPr>
          <w:p>
            <w:r>
              <w:rPr>
                <w:rFonts w:ascii="Arial" w:hAnsi="Arial"/>
                <w:sz w:val="18"/>
              </w:rPr>
              <w:t>Right to correct data (GDPR)</w:t>
            </w:r>
          </w:p>
        </w:tc>
        <w:tc>
          <w:tcPr>
            <w:tcW w:type="dxa" w:w="2160"/>
            <w:shd w:val="clear" w:color="auto" w:fill="EDF2FA"/>
            <w:vAlign w:val="center"/>
          </w:tcPr>
          <w:p>
            <w:r>
              <w:rPr>
                <w:rFonts w:ascii="Arial" w:hAnsi="Arial"/>
                <w:sz w:val="18"/>
              </w:rPr>
              <w:t>GDPR Art. 16</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ur_right_erasure</w:t>
            </w:r>
          </w:p>
        </w:tc>
        <w:tc>
          <w:tcPr>
            <w:tcW w:type="dxa" w:w="3816"/>
            <w:shd w:val="clear" w:color="auto" w:fill="FFFFFF"/>
            <w:vAlign w:val="center"/>
          </w:tcPr>
          <w:p>
            <w:r>
              <w:rPr>
                <w:rFonts w:ascii="Arial" w:hAnsi="Arial"/>
                <w:sz w:val="18"/>
              </w:rPr>
              <w:t>Right to delete data (GDPR)</w:t>
            </w:r>
          </w:p>
        </w:tc>
        <w:tc>
          <w:tcPr>
            <w:tcW w:type="dxa" w:w="2160"/>
            <w:shd w:val="clear" w:color="auto" w:fill="FFFFFF"/>
            <w:vAlign w:val="center"/>
          </w:tcPr>
          <w:p>
            <w:r>
              <w:rPr>
                <w:rFonts w:ascii="Arial" w:hAnsi="Arial"/>
                <w:sz w:val="18"/>
              </w:rPr>
              <w:t>GDPR Art. 17</w:t>
            </w:r>
          </w:p>
        </w:tc>
      </w:tr>
      <w:tr>
        <w:tc>
          <w:tcPr>
            <w:tcW w:type="dxa" w:w="1584"/>
            <w:shd w:val="clear" w:color="auto" w:fill="EDF2FA"/>
            <w:vAlign w:val="center"/>
          </w:tcPr>
          <w:p>
            <w:r>
              <w:rPr>
                <w:rFonts w:ascii="Arial" w:hAnsi="Arial"/>
                <w:sz w:val="18"/>
              </w:rPr>
              <w:t>User/Parent Rights</w:t>
            </w:r>
          </w:p>
        </w:tc>
        <w:tc>
          <w:tcPr>
            <w:tcW w:type="dxa" w:w="2520"/>
            <w:shd w:val="clear" w:color="auto" w:fill="EDF2FA"/>
            <w:vAlign w:val="center"/>
          </w:tcPr>
          <w:p>
            <w:r>
              <w:rPr>
                <w:rFonts w:ascii="Arial" w:hAnsi="Arial"/>
                <w:sz w:val="18"/>
              </w:rPr>
              <w:t>ur_right_restrict</w:t>
            </w:r>
          </w:p>
        </w:tc>
        <w:tc>
          <w:tcPr>
            <w:tcW w:type="dxa" w:w="3816"/>
            <w:shd w:val="clear" w:color="auto" w:fill="EDF2FA"/>
            <w:vAlign w:val="center"/>
          </w:tcPr>
          <w:p>
            <w:r>
              <w:rPr>
                <w:rFonts w:ascii="Arial" w:hAnsi="Arial"/>
                <w:sz w:val="18"/>
              </w:rPr>
              <w:t>Right to restrict processing (GDPR)</w:t>
            </w:r>
          </w:p>
        </w:tc>
        <w:tc>
          <w:tcPr>
            <w:tcW w:type="dxa" w:w="2160"/>
            <w:shd w:val="clear" w:color="auto" w:fill="EDF2FA"/>
            <w:vAlign w:val="center"/>
          </w:tcPr>
          <w:p>
            <w:r>
              <w:rPr>
                <w:rFonts w:ascii="Arial" w:hAnsi="Arial"/>
                <w:sz w:val="18"/>
              </w:rPr>
              <w:t>GDPR Art. 18</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ur_right_portability</w:t>
            </w:r>
          </w:p>
        </w:tc>
        <w:tc>
          <w:tcPr>
            <w:tcW w:type="dxa" w:w="3816"/>
            <w:shd w:val="clear" w:color="auto" w:fill="FFFFFF"/>
            <w:vAlign w:val="center"/>
          </w:tcPr>
          <w:p>
            <w:r>
              <w:rPr>
                <w:rFonts w:ascii="Arial" w:hAnsi="Arial"/>
                <w:sz w:val="18"/>
              </w:rPr>
              <w:t>Right to data portability (GDPR)</w:t>
            </w:r>
          </w:p>
        </w:tc>
        <w:tc>
          <w:tcPr>
            <w:tcW w:type="dxa" w:w="2160"/>
            <w:shd w:val="clear" w:color="auto" w:fill="FFFFFF"/>
            <w:vAlign w:val="center"/>
          </w:tcPr>
          <w:p>
            <w:r>
              <w:rPr>
                <w:rFonts w:ascii="Arial" w:hAnsi="Arial"/>
                <w:sz w:val="18"/>
              </w:rPr>
              <w:t>GDPR Art. 20</w:t>
            </w:r>
          </w:p>
        </w:tc>
      </w:tr>
      <w:tr>
        <w:tc>
          <w:tcPr>
            <w:tcW w:type="dxa" w:w="1584"/>
            <w:shd w:val="clear" w:color="auto" w:fill="EDF2FA"/>
            <w:vAlign w:val="center"/>
          </w:tcPr>
          <w:p>
            <w:r>
              <w:rPr>
                <w:rFonts w:ascii="Arial" w:hAnsi="Arial"/>
                <w:sz w:val="18"/>
              </w:rPr>
              <w:t>User/Parent Rights</w:t>
            </w:r>
          </w:p>
        </w:tc>
        <w:tc>
          <w:tcPr>
            <w:tcW w:type="dxa" w:w="2520"/>
            <w:shd w:val="clear" w:color="auto" w:fill="EDF2FA"/>
            <w:vAlign w:val="center"/>
          </w:tcPr>
          <w:p>
            <w:r>
              <w:rPr>
                <w:rFonts w:ascii="Arial" w:hAnsi="Arial"/>
                <w:sz w:val="18"/>
              </w:rPr>
              <w:t>ur_right_object</w:t>
            </w:r>
          </w:p>
        </w:tc>
        <w:tc>
          <w:tcPr>
            <w:tcW w:type="dxa" w:w="3816"/>
            <w:shd w:val="clear" w:color="auto" w:fill="EDF2FA"/>
            <w:vAlign w:val="center"/>
          </w:tcPr>
          <w:p>
            <w:r>
              <w:rPr>
                <w:rFonts w:ascii="Arial" w:hAnsi="Arial"/>
                <w:sz w:val="18"/>
              </w:rPr>
              <w:t>Right to object to processing (GDPR)</w:t>
            </w:r>
          </w:p>
        </w:tc>
        <w:tc>
          <w:tcPr>
            <w:tcW w:type="dxa" w:w="2160"/>
            <w:shd w:val="clear" w:color="auto" w:fill="EDF2FA"/>
            <w:vAlign w:val="center"/>
          </w:tcPr>
          <w:p>
            <w:r>
              <w:rPr>
                <w:rFonts w:ascii="Arial" w:hAnsi="Arial"/>
                <w:sz w:val="18"/>
              </w:rPr>
              <w:t>GDPR Art. 21</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ur_right_withdraw_consent</w:t>
            </w:r>
          </w:p>
        </w:tc>
        <w:tc>
          <w:tcPr>
            <w:tcW w:type="dxa" w:w="3816"/>
            <w:shd w:val="clear" w:color="auto" w:fill="FFFFFF"/>
            <w:vAlign w:val="center"/>
          </w:tcPr>
          <w:p>
            <w:r>
              <w:rPr>
                <w:rFonts w:ascii="Arial" w:hAnsi="Arial"/>
                <w:sz w:val="18"/>
              </w:rPr>
              <w:t>Right to withdraw consent (GDPR)</w:t>
            </w:r>
          </w:p>
        </w:tc>
        <w:tc>
          <w:tcPr>
            <w:tcW w:type="dxa" w:w="2160"/>
            <w:shd w:val="clear" w:color="auto" w:fill="FFFFFF"/>
            <w:vAlign w:val="center"/>
          </w:tcPr>
          <w:p>
            <w:r>
              <w:rPr>
                <w:rFonts w:ascii="Arial" w:hAnsi="Arial"/>
                <w:sz w:val="18"/>
              </w:rPr>
              <w:t>GDPR Art. 13(2)(c)</w:t>
            </w:r>
          </w:p>
        </w:tc>
      </w:tr>
      <w:tr>
        <w:tc>
          <w:tcPr>
            <w:tcW w:type="dxa" w:w="1584"/>
            <w:shd w:val="clear" w:color="auto" w:fill="EDF2FA"/>
            <w:vAlign w:val="center"/>
          </w:tcPr>
          <w:p>
            <w:r>
              <w:rPr>
                <w:rFonts w:ascii="Arial" w:hAnsi="Arial"/>
                <w:sz w:val="18"/>
              </w:rPr>
              <w:t>User/Parent Rights</w:t>
            </w:r>
          </w:p>
        </w:tc>
        <w:tc>
          <w:tcPr>
            <w:tcW w:type="dxa" w:w="2520"/>
            <w:shd w:val="clear" w:color="auto" w:fill="EDF2FA"/>
            <w:vAlign w:val="center"/>
          </w:tcPr>
          <w:p>
            <w:r>
              <w:rPr>
                <w:rFonts w:ascii="Arial" w:hAnsi="Arial"/>
                <w:sz w:val="18"/>
              </w:rPr>
              <w:t>ur_right_supervisory_complaint</w:t>
            </w:r>
          </w:p>
        </w:tc>
        <w:tc>
          <w:tcPr>
            <w:tcW w:type="dxa" w:w="3816"/>
            <w:shd w:val="clear" w:color="auto" w:fill="EDF2FA"/>
            <w:vAlign w:val="center"/>
          </w:tcPr>
          <w:p>
            <w:r>
              <w:rPr>
                <w:rFonts w:ascii="Arial" w:hAnsi="Arial"/>
                <w:sz w:val="18"/>
              </w:rPr>
              <w:t>Right to complain to supervisory authority</w:t>
            </w:r>
          </w:p>
        </w:tc>
        <w:tc>
          <w:tcPr>
            <w:tcW w:type="dxa" w:w="2160"/>
            <w:shd w:val="clear" w:color="auto" w:fill="EDF2FA"/>
            <w:vAlign w:val="center"/>
          </w:tcPr>
          <w:p>
            <w:r>
              <w:rPr>
                <w:rFonts w:ascii="Arial" w:hAnsi="Arial"/>
                <w:sz w:val="18"/>
              </w:rPr>
              <w:t>GDPR Art. 13(2)(d)</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ur_parent_review_right</w:t>
            </w:r>
          </w:p>
        </w:tc>
        <w:tc>
          <w:tcPr>
            <w:tcW w:type="dxa" w:w="3816"/>
            <w:shd w:val="clear" w:color="auto" w:fill="FFFFFF"/>
            <w:vAlign w:val="center"/>
          </w:tcPr>
          <w:p>
            <w:r>
              <w:rPr>
                <w:rFonts w:ascii="Arial" w:hAnsi="Arial"/>
                <w:sz w:val="18"/>
              </w:rPr>
              <w:t>Parent right to review child's data (COPPA)</w:t>
            </w:r>
          </w:p>
        </w:tc>
        <w:tc>
          <w:tcPr>
            <w:tcW w:type="dxa" w:w="2160"/>
            <w:shd w:val="clear" w:color="auto" w:fill="FFFFFF"/>
            <w:vAlign w:val="center"/>
          </w:tcPr>
          <w:p>
            <w:r>
              <w:rPr>
                <w:rFonts w:ascii="Arial" w:hAnsi="Arial"/>
                <w:sz w:val="18"/>
              </w:rPr>
              <w:t>COPPA §312.6</w:t>
            </w:r>
          </w:p>
        </w:tc>
      </w:tr>
      <w:tr>
        <w:tc>
          <w:tcPr>
            <w:tcW w:type="dxa" w:w="1584"/>
            <w:shd w:val="clear" w:color="auto" w:fill="EDF2FA"/>
            <w:vAlign w:val="center"/>
          </w:tcPr>
          <w:p>
            <w:r>
              <w:rPr>
                <w:rFonts w:ascii="Arial" w:hAnsi="Arial"/>
                <w:sz w:val="18"/>
              </w:rPr>
              <w:t>User/Parent Rights</w:t>
            </w:r>
          </w:p>
        </w:tc>
        <w:tc>
          <w:tcPr>
            <w:tcW w:type="dxa" w:w="2520"/>
            <w:shd w:val="clear" w:color="auto" w:fill="EDF2FA"/>
            <w:vAlign w:val="center"/>
          </w:tcPr>
          <w:p>
            <w:r>
              <w:rPr>
                <w:rFonts w:ascii="Arial" w:hAnsi="Arial"/>
                <w:sz w:val="18"/>
              </w:rPr>
              <w:t>ur_parent_delete_right</w:t>
            </w:r>
          </w:p>
        </w:tc>
        <w:tc>
          <w:tcPr>
            <w:tcW w:type="dxa" w:w="3816"/>
            <w:shd w:val="clear" w:color="auto" w:fill="EDF2FA"/>
            <w:vAlign w:val="center"/>
          </w:tcPr>
          <w:p>
            <w:r>
              <w:rPr>
                <w:rFonts w:ascii="Arial" w:hAnsi="Arial"/>
                <w:sz w:val="18"/>
              </w:rPr>
              <w:t>Parent right to delete child's data (COPPA)</w:t>
            </w:r>
          </w:p>
        </w:tc>
        <w:tc>
          <w:tcPr>
            <w:tcW w:type="dxa" w:w="2160"/>
            <w:shd w:val="clear" w:color="auto" w:fill="EDF2FA"/>
            <w:vAlign w:val="center"/>
          </w:tcPr>
          <w:p>
            <w:r>
              <w:rPr>
                <w:rFonts w:ascii="Arial" w:hAnsi="Arial"/>
                <w:sz w:val="18"/>
              </w:rPr>
              <w:t>COPPA §312.6(a)(2)</w:t>
            </w:r>
          </w:p>
        </w:tc>
      </w:tr>
      <w:tr>
        <w:tc>
          <w:tcPr>
            <w:tcW w:type="dxa" w:w="1584"/>
            <w:shd w:val="clear" w:color="auto" w:fill="FFFFFF"/>
            <w:vAlign w:val="center"/>
          </w:tcPr>
          <w:p>
            <w:r>
              <w:rPr>
                <w:rFonts w:ascii="Arial" w:hAnsi="Arial"/>
                <w:sz w:val="18"/>
              </w:rPr>
              <w:t>User/Parent Rights</w:t>
            </w:r>
          </w:p>
        </w:tc>
        <w:tc>
          <w:tcPr>
            <w:tcW w:type="dxa" w:w="2520"/>
            <w:shd w:val="clear" w:color="auto" w:fill="FFFFFF"/>
            <w:vAlign w:val="center"/>
          </w:tcPr>
          <w:p>
            <w:r>
              <w:rPr>
                <w:rFonts w:ascii="Arial" w:hAnsi="Arial"/>
                <w:sz w:val="18"/>
              </w:rPr>
              <w:t>ur_parent_refuse_right</w:t>
            </w:r>
          </w:p>
        </w:tc>
        <w:tc>
          <w:tcPr>
            <w:tcW w:type="dxa" w:w="3816"/>
            <w:shd w:val="clear" w:color="auto" w:fill="FFFFFF"/>
            <w:vAlign w:val="center"/>
          </w:tcPr>
          <w:p>
            <w:r>
              <w:rPr>
                <w:rFonts w:ascii="Arial" w:hAnsi="Arial"/>
                <w:sz w:val="18"/>
              </w:rPr>
              <w:t>Parent right to refuse further collection</w:t>
            </w:r>
          </w:p>
        </w:tc>
        <w:tc>
          <w:tcPr>
            <w:tcW w:type="dxa" w:w="2160"/>
            <w:shd w:val="clear" w:color="auto" w:fill="FFFFFF"/>
            <w:vAlign w:val="center"/>
          </w:tcPr>
          <w:p>
            <w:r>
              <w:rPr>
                <w:rFonts w:ascii="Arial" w:hAnsi="Arial"/>
                <w:sz w:val="18"/>
              </w:rPr>
              <w:t>COPPA §312.6(a)(1)</w:t>
            </w:r>
          </w:p>
        </w:tc>
      </w:tr>
      <w:tr>
        <w:tc>
          <w:tcPr>
            <w:tcW w:type="dxa" w:w="1584"/>
            <w:shd w:val="clear" w:color="auto" w:fill="EDF2FA"/>
            <w:vAlign w:val="center"/>
          </w:tcPr>
          <w:p>
            <w:r>
              <w:rPr>
                <w:rFonts w:ascii="Arial" w:hAnsi="Arial"/>
                <w:sz w:val="18"/>
              </w:rPr>
              <w:t>Automated DM</w:t>
            </w:r>
          </w:p>
        </w:tc>
        <w:tc>
          <w:tcPr>
            <w:tcW w:type="dxa" w:w="2520"/>
            <w:shd w:val="clear" w:color="auto" w:fill="EDF2FA"/>
            <w:vAlign w:val="center"/>
          </w:tcPr>
          <w:p>
            <w:r>
              <w:rPr>
                <w:rFonts w:ascii="Arial" w:hAnsi="Arial"/>
                <w:sz w:val="18"/>
              </w:rPr>
              <w:t>adm_profiling_disclosure</w:t>
            </w:r>
          </w:p>
        </w:tc>
        <w:tc>
          <w:tcPr>
            <w:tcW w:type="dxa" w:w="3816"/>
            <w:shd w:val="clear" w:color="auto" w:fill="EDF2FA"/>
            <w:vAlign w:val="center"/>
          </w:tcPr>
          <w:p>
            <w:r>
              <w:rPr>
                <w:rFonts w:ascii="Arial" w:hAnsi="Arial"/>
                <w:sz w:val="18"/>
              </w:rPr>
              <w:t>Profiling / automated decisions disclosed</w:t>
            </w:r>
          </w:p>
        </w:tc>
        <w:tc>
          <w:tcPr>
            <w:tcW w:type="dxa" w:w="2160"/>
            <w:shd w:val="clear" w:color="auto" w:fill="EDF2FA"/>
            <w:vAlign w:val="center"/>
          </w:tcPr>
          <w:p>
            <w:r>
              <w:rPr>
                <w:rFonts w:ascii="Arial" w:hAnsi="Arial"/>
                <w:sz w:val="18"/>
              </w:rPr>
              <w:t>GDPR Art. 13(2)(f); Art. 22</w:t>
            </w:r>
          </w:p>
        </w:tc>
      </w:tr>
      <w:tr>
        <w:tc>
          <w:tcPr>
            <w:tcW w:type="dxa" w:w="1584"/>
            <w:shd w:val="clear" w:color="auto" w:fill="FFFFFF"/>
            <w:vAlign w:val="center"/>
          </w:tcPr>
          <w:p>
            <w:r>
              <w:rPr>
                <w:rFonts w:ascii="Arial" w:hAnsi="Arial"/>
                <w:sz w:val="18"/>
              </w:rPr>
              <w:t>Data Provision</w:t>
            </w:r>
          </w:p>
        </w:tc>
        <w:tc>
          <w:tcPr>
            <w:tcW w:type="dxa" w:w="2520"/>
            <w:shd w:val="clear" w:color="auto" w:fill="FFFFFF"/>
            <w:vAlign w:val="center"/>
          </w:tcPr>
          <w:p>
            <w:r>
              <w:rPr>
                <w:rFonts w:ascii="Arial" w:hAnsi="Arial"/>
                <w:sz w:val="18"/>
              </w:rPr>
              <w:t>dp_mandatory_disclosure</w:t>
            </w:r>
          </w:p>
        </w:tc>
        <w:tc>
          <w:tcPr>
            <w:tcW w:type="dxa" w:w="3816"/>
            <w:shd w:val="clear" w:color="auto" w:fill="FFFFFF"/>
            <w:vAlign w:val="center"/>
          </w:tcPr>
          <w:p>
            <w:r>
              <w:rPr>
                <w:rFonts w:ascii="Arial" w:hAnsi="Arial"/>
                <w:sz w:val="18"/>
              </w:rPr>
              <w:t>Mandatory vs voluntary + consequences</w:t>
            </w:r>
          </w:p>
        </w:tc>
        <w:tc>
          <w:tcPr>
            <w:tcW w:type="dxa" w:w="2160"/>
            <w:shd w:val="clear" w:color="auto" w:fill="FFFFFF"/>
            <w:vAlign w:val="center"/>
          </w:tcPr>
          <w:p>
            <w:r>
              <w:rPr>
                <w:rFonts w:ascii="Arial" w:hAnsi="Arial"/>
                <w:sz w:val="18"/>
              </w:rPr>
              <w:t>GDPR Art. 13(2)(e)</w:t>
            </w:r>
          </w:p>
        </w:tc>
      </w:tr>
      <w:tr>
        <w:tc>
          <w:tcPr>
            <w:tcW w:type="dxa" w:w="1584"/>
            <w:shd w:val="clear" w:color="auto" w:fill="EDF2FA"/>
            <w:vAlign w:val="center"/>
          </w:tcPr>
          <w:p>
            <w:r>
              <w:rPr>
                <w:rFonts w:ascii="Arial" w:hAnsi="Arial"/>
                <w:sz w:val="18"/>
              </w:rPr>
              <w:t>Security</w:t>
            </w:r>
          </w:p>
        </w:tc>
        <w:tc>
          <w:tcPr>
            <w:tcW w:type="dxa" w:w="2520"/>
            <w:shd w:val="clear" w:color="auto" w:fill="EDF2FA"/>
            <w:vAlign w:val="center"/>
          </w:tcPr>
          <w:p>
            <w:r>
              <w:rPr>
                <w:rFonts w:ascii="Arial" w:hAnsi="Arial"/>
                <w:sz w:val="18"/>
              </w:rPr>
              <w:t>sec_coppa_safeguards</w:t>
            </w:r>
          </w:p>
        </w:tc>
        <w:tc>
          <w:tcPr>
            <w:tcW w:type="dxa" w:w="3816"/>
            <w:shd w:val="clear" w:color="auto" w:fill="EDF2FA"/>
            <w:vAlign w:val="center"/>
          </w:tcPr>
          <w:p>
            <w:r>
              <w:rPr>
                <w:rFonts w:ascii="Arial" w:hAnsi="Arial"/>
                <w:sz w:val="18"/>
              </w:rPr>
              <w:t>Specific security safeguards for children</w:t>
            </w:r>
          </w:p>
        </w:tc>
        <w:tc>
          <w:tcPr>
            <w:tcW w:type="dxa" w:w="2160"/>
            <w:shd w:val="clear" w:color="auto" w:fill="EDF2FA"/>
            <w:vAlign w:val="center"/>
          </w:tcPr>
          <w:p>
            <w:r>
              <w:rPr>
                <w:rFonts w:ascii="Arial" w:hAnsi="Arial"/>
                <w:sz w:val="18"/>
              </w:rPr>
              <w:t>COPPA §312.8</w:t>
            </w:r>
          </w:p>
        </w:tc>
      </w:tr>
      <w:tr>
        <w:tc>
          <w:tcPr>
            <w:tcW w:type="dxa" w:w="1584"/>
            <w:shd w:val="clear" w:color="auto" w:fill="FFFFFF"/>
            <w:vAlign w:val="center"/>
          </w:tcPr>
          <w:p>
            <w:r>
              <w:rPr>
                <w:rFonts w:ascii="Arial" w:hAnsi="Arial"/>
                <w:sz w:val="18"/>
              </w:rPr>
              <w:t>Security</w:t>
            </w:r>
          </w:p>
        </w:tc>
        <w:tc>
          <w:tcPr>
            <w:tcW w:type="dxa" w:w="2520"/>
            <w:shd w:val="clear" w:color="auto" w:fill="FFFFFF"/>
            <w:vAlign w:val="center"/>
          </w:tcPr>
          <w:p>
            <w:r>
              <w:rPr>
                <w:rFonts w:ascii="Arial" w:hAnsi="Arial"/>
                <w:sz w:val="18"/>
              </w:rPr>
              <w:t>sec_gdpr_measures</w:t>
            </w:r>
          </w:p>
        </w:tc>
        <w:tc>
          <w:tcPr>
            <w:tcW w:type="dxa" w:w="3816"/>
            <w:shd w:val="clear" w:color="auto" w:fill="FFFFFF"/>
            <w:vAlign w:val="center"/>
          </w:tcPr>
          <w:p>
            <w:r>
              <w:rPr>
                <w:rFonts w:ascii="Arial" w:hAnsi="Arial"/>
                <w:sz w:val="18"/>
              </w:rPr>
              <w:t>Technical/organizational security measures</w:t>
            </w:r>
          </w:p>
        </w:tc>
        <w:tc>
          <w:tcPr>
            <w:tcW w:type="dxa" w:w="2160"/>
            <w:shd w:val="clear" w:color="auto" w:fill="FFFFFF"/>
            <w:vAlign w:val="center"/>
          </w:tcPr>
          <w:p>
            <w:r>
              <w:rPr>
                <w:rFonts w:ascii="Arial" w:hAnsi="Arial"/>
                <w:sz w:val="18"/>
              </w:rPr>
              <w:t>GDPR Art. 5(1)(f); Art. 32</w:t>
            </w:r>
          </w:p>
        </w:tc>
      </w:tr>
      <w:tr>
        <w:tc>
          <w:tcPr>
            <w:tcW w:type="dxa" w:w="1584"/>
            <w:shd w:val="clear" w:color="auto" w:fill="EDF2FA"/>
            <w:vAlign w:val="center"/>
          </w:tcPr>
          <w:p>
            <w:r>
              <w:rPr>
                <w:rFonts w:ascii="Arial" w:hAnsi="Arial"/>
                <w:sz w:val="18"/>
              </w:rPr>
              <w:t>Policy Access</w:t>
            </w:r>
          </w:p>
        </w:tc>
        <w:tc>
          <w:tcPr>
            <w:tcW w:type="dxa" w:w="2520"/>
            <w:shd w:val="clear" w:color="auto" w:fill="EDF2FA"/>
            <w:vAlign w:val="center"/>
          </w:tcPr>
          <w:p>
            <w:r>
              <w:rPr>
                <w:rFonts w:ascii="Arial" w:hAnsi="Arial"/>
                <w:sz w:val="18"/>
              </w:rPr>
              <w:t>pa_concise_transparent</w:t>
            </w:r>
          </w:p>
        </w:tc>
        <w:tc>
          <w:tcPr>
            <w:tcW w:type="dxa" w:w="3816"/>
            <w:shd w:val="clear" w:color="auto" w:fill="EDF2FA"/>
            <w:vAlign w:val="center"/>
          </w:tcPr>
          <w:p>
            <w:r>
              <w:rPr>
                <w:rFonts w:ascii="Arial" w:hAnsi="Arial"/>
                <w:sz w:val="18"/>
              </w:rPr>
              <w:t>Policy asserts it is concise and intelligible</w:t>
            </w:r>
          </w:p>
        </w:tc>
        <w:tc>
          <w:tcPr>
            <w:tcW w:type="dxa" w:w="2160"/>
            <w:shd w:val="clear" w:color="auto" w:fill="EDF2FA"/>
            <w:vAlign w:val="center"/>
          </w:tcPr>
          <w:p>
            <w:r>
              <w:rPr>
                <w:rFonts w:ascii="Arial" w:hAnsi="Arial"/>
                <w:sz w:val="18"/>
              </w:rPr>
              <w:t>GDPR Art. 12(1)</w:t>
            </w:r>
          </w:p>
        </w:tc>
      </w:tr>
      <w:tr>
        <w:tc>
          <w:tcPr>
            <w:tcW w:type="dxa" w:w="1584"/>
            <w:shd w:val="clear" w:color="auto" w:fill="FFFFFF"/>
            <w:vAlign w:val="center"/>
          </w:tcPr>
          <w:p>
            <w:r>
              <w:rPr>
                <w:rFonts w:ascii="Arial" w:hAnsi="Arial"/>
                <w:sz w:val="18"/>
              </w:rPr>
              <w:t>Policy Access</w:t>
            </w:r>
          </w:p>
        </w:tc>
        <w:tc>
          <w:tcPr>
            <w:tcW w:type="dxa" w:w="2520"/>
            <w:shd w:val="clear" w:color="auto" w:fill="FFFFFF"/>
            <w:vAlign w:val="center"/>
          </w:tcPr>
          <w:p>
            <w:r>
              <w:rPr>
                <w:rFonts w:ascii="Arial" w:hAnsi="Arial"/>
                <w:sz w:val="18"/>
              </w:rPr>
              <w:t>pa_prominent_link</w:t>
            </w:r>
          </w:p>
        </w:tc>
        <w:tc>
          <w:tcPr>
            <w:tcW w:type="dxa" w:w="3816"/>
            <w:shd w:val="clear" w:color="auto" w:fill="FFFFFF"/>
            <w:vAlign w:val="center"/>
          </w:tcPr>
          <w:p>
            <w:r>
              <w:rPr>
                <w:rFonts w:ascii="Arial" w:hAnsi="Arial"/>
                <w:sz w:val="18"/>
              </w:rPr>
              <w:t>Prominent policy link online</w:t>
            </w:r>
          </w:p>
        </w:tc>
        <w:tc>
          <w:tcPr>
            <w:tcW w:type="dxa" w:w="2160"/>
            <w:shd w:val="clear" w:color="auto" w:fill="FFFFFF"/>
            <w:vAlign w:val="center"/>
          </w:tcPr>
          <w:p>
            <w:r>
              <w:rPr>
                <w:rFonts w:ascii="Arial" w:hAnsi="Arial"/>
                <w:sz w:val="18"/>
              </w:rPr>
              <w:t>COPPA §312.4(d)</w:t>
            </w:r>
          </w:p>
        </w:tc>
      </w:tr>
      <w:tr>
        <w:tc>
          <w:tcPr>
            <w:tcW w:type="dxa" w:w="1584"/>
            <w:shd w:val="clear" w:color="auto" w:fill="EDF2FA"/>
            <w:vAlign w:val="center"/>
          </w:tcPr>
          <w:p>
            <w:r>
              <w:rPr>
                <w:rFonts w:ascii="Arial" w:hAnsi="Arial"/>
                <w:sz w:val="18"/>
              </w:rPr>
              <w:t>Updates</w:t>
            </w:r>
          </w:p>
        </w:tc>
        <w:tc>
          <w:tcPr>
            <w:tcW w:type="dxa" w:w="2520"/>
            <w:shd w:val="clear" w:color="auto" w:fill="EDF2FA"/>
            <w:vAlign w:val="center"/>
          </w:tcPr>
          <w:p>
            <w:r>
              <w:rPr>
                <w:rFonts w:ascii="Arial" w:hAnsi="Arial"/>
                <w:sz w:val="18"/>
              </w:rPr>
              <w:t>up_material_changes_notice</w:t>
            </w:r>
          </w:p>
        </w:tc>
        <w:tc>
          <w:tcPr>
            <w:tcW w:type="dxa" w:w="3816"/>
            <w:shd w:val="clear" w:color="auto" w:fill="EDF2FA"/>
            <w:vAlign w:val="center"/>
          </w:tcPr>
          <w:p>
            <w:r>
              <w:rPr>
                <w:rFonts w:ascii="Arial" w:hAnsi="Arial"/>
                <w:sz w:val="18"/>
              </w:rPr>
              <w:t>Commits to notify before material changes</w:t>
            </w:r>
          </w:p>
        </w:tc>
        <w:tc>
          <w:tcPr>
            <w:tcW w:type="dxa" w:w="2160"/>
            <w:shd w:val="clear" w:color="auto" w:fill="EDF2FA"/>
            <w:vAlign w:val="center"/>
          </w:tcPr>
          <w:p>
            <w:r>
              <w:rPr>
                <w:rFonts w:ascii="Arial" w:hAnsi="Arial"/>
                <w:sz w:val="18"/>
              </w:rPr>
              <w:t>COPPA §312.4(b); §312.5(c)</w:t>
            </w:r>
          </w:p>
        </w:tc>
      </w:tr>
      <w:tr>
        <w:tc>
          <w:tcPr>
            <w:tcW w:type="dxa" w:w="1584"/>
            <w:shd w:val="clear" w:color="auto" w:fill="FFFFFF"/>
            <w:vAlign w:val="center"/>
          </w:tcPr>
          <w:p>
            <w:r>
              <w:rPr>
                <w:rFonts w:ascii="Arial" w:hAnsi="Arial"/>
                <w:sz w:val="18"/>
              </w:rPr>
              <w:t>Consent Mechanisms</w:t>
            </w:r>
          </w:p>
        </w:tc>
        <w:tc>
          <w:tcPr>
            <w:tcW w:type="dxa" w:w="2520"/>
            <w:shd w:val="clear" w:color="auto" w:fill="FFFFFF"/>
            <w:vAlign w:val="center"/>
          </w:tcPr>
          <w:p>
            <w:r>
              <w:rPr>
                <w:rFonts w:ascii="Arial" w:hAnsi="Arial"/>
                <w:sz w:val="18"/>
              </w:rPr>
              <w:t>cm_parental_consent_procedures</w:t>
            </w:r>
          </w:p>
        </w:tc>
        <w:tc>
          <w:tcPr>
            <w:tcW w:type="dxa" w:w="3816"/>
            <w:shd w:val="clear" w:color="auto" w:fill="FFFFFF"/>
            <w:vAlign w:val="center"/>
          </w:tcPr>
          <w:p>
            <w:r>
              <w:rPr>
                <w:rFonts w:ascii="Arial" w:hAnsi="Arial"/>
                <w:sz w:val="18"/>
              </w:rPr>
              <w:t>How parental consent is obtained (procedure)</w:t>
            </w:r>
          </w:p>
        </w:tc>
        <w:tc>
          <w:tcPr>
            <w:tcW w:type="dxa" w:w="2160"/>
            <w:shd w:val="clear" w:color="auto" w:fill="FFFFFF"/>
            <w:vAlign w:val="center"/>
          </w:tcPr>
          <w:p>
            <w:r>
              <w:rPr>
                <w:rFonts w:ascii="Arial" w:hAnsi="Arial"/>
                <w:sz w:val="18"/>
              </w:rPr>
              <w:t>COPPA §312.5</w:t>
            </w:r>
          </w:p>
        </w:tc>
      </w:tr>
      <w:tr>
        <w:tc>
          <w:tcPr>
            <w:tcW w:type="dxa" w:w="1584"/>
            <w:shd w:val="clear" w:color="auto" w:fill="EDF2FA"/>
            <w:vAlign w:val="center"/>
          </w:tcPr>
          <w:p>
            <w:r>
              <w:rPr>
                <w:rFonts w:ascii="Arial" w:hAnsi="Arial"/>
                <w:sz w:val="18"/>
              </w:rPr>
              <w:t>Data Source</w:t>
            </w:r>
          </w:p>
        </w:tc>
        <w:tc>
          <w:tcPr>
            <w:tcW w:type="dxa" w:w="2520"/>
            <w:shd w:val="clear" w:color="auto" w:fill="EDF2FA"/>
            <w:vAlign w:val="center"/>
          </w:tcPr>
          <w:p>
            <w:r>
              <w:rPr>
                <w:rFonts w:ascii="Arial" w:hAnsi="Arial"/>
                <w:sz w:val="18"/>
              </w:rPr>
              <w:t>ds_indirect_data_source</w:t>
            </w:r>
          </w:p>
        </w:tc>
        <w:tc>
          <w:tcPr>
            <w:tcW w:type="dxa" w:w="3816"/>
            <w:shd w:val="clear" w:color="auto" w:fill="EDF2FA"/>
            <w:vAlign w:val="center"/>
          </w:tcPr>
          <w:p>
            <w:r>
              <w:rPr>
                <w:rFonts w:ascii="Arial" w:hAnsi="Arial"/>
                <w:sz w:val="18"/>
              </w:rPr>
              <w:t>Source of indirectly collected data</w:t>
            </w:r>
          </w:p>
        </w:tc>
        <w:tc>
          <w:tcPr>
            <w:tcW w:type="dxa" w:w="2160"/>
            <w:shd w:val="clear" w:color="auto" w:fill="EDF2FA"/>
            <w:vAlign w:val="center"/>
          </w:tcPr>
          <w:p>
            <w:r>
              <w:rPr>
                <w:rFonts w:ascii="Arial" w:hAnsi="Arial"/>
                <w:sz w:val="18"/>
              </w:rPr>
              <w:t>GDPR Art. 14(2)(f)</w:t>
            </w:r>
          </w:p>
        </w:tc>
      </w:tr>
    </w:tbl>
    <w:p/>
    <w:p>
      <w:pPr>
        <w:spacing w:before="120" w:after="120"/>
        <w:pBdr>
          <w:bottom w:val="single" w:sz="4" w:space="1" w:color="2E75B6"/>
        </w:pBdr>
      </w:pPr>
    </w:p>
    <w:p>
      <w:pPr>
        <w:spacing w:before="400" w:after="120"/>
      </w:pPr>
      <w:r>
        <w:rPr>
          <w:rFonts w:ascii="Arial" w:hAnsi="Arial"/>
          <w:b/>
          <w:color w:val="1F497D"/>
          <w:sz w:val="30"/>
        </w:rPr>
        <w:t>4. Evidence Strings and Nuance Fields</w:t>
      </w:r>
    </w:p>
    <w:p>
      <w:pPr>
        <w:spacing w:after="100"/>
      </w:pPr>
      <w:r>
        <w:rPr>
          <w:rFonts w:ascii="Arial" w:hAnsi="Arial"/>
          <w:sz w:val="20"/>
        </w:rPr>
        <w:t>Every boolean indicator has a companion _evidence string field. The model must populate this with a quoted or paraphrased excerpt from the policy for TRUE calls, or 'Not found' for FALSE calls. This makes the model's reasoning fully auditable — you can spot-check any result without re-reading the source policy.</w:t>
      </w:r>
    </w:p>
    <w:p>
      <w:pPr>
        <w:spacing w:before="240" w:after="80"/>
      </w:pPr>
      <w:r>
        <w:rPr>
          <w:rFonts w:ascii="Arial" w:hAnsi="Arial"/>
          <w:b/>
          <w:color w:val="2E75B6"/>
          <w:sz w:val="24"/>
        </w:rPr>
        <w:t>Directionality Fields</w:t>
      </w:r>
    </w:p>
    <w:p>
      <w:pPr>
        <w:spacing w:after="100"/>
      </w:pPr>
      <w:r>
        <w:rPr>
          <w:rFonts w:ascii="Arial" w:hAnsi="Arial"/>
          <w:sz w:val="20"/>
        </w:rPr>
        <w:t>Five enum fields capture qualitative direction for the most important indicators: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F497D"/>
          </w:tcPr>
          <w:p>
            <w:r>
              <w:rPr>
                <w:rFonts w:ascii="Arial" w:hAnsi="Arial"/>
                <w:b/>
                <w:color w:val="FFFFFF"/>
                <w:sz w:val="18"/>
              </w:rPr>
              <w:t>Field</w:t>
            </w:r>
          </w:p>
        </w:tc>
        <w:tc>
          <w:tcPr>
            <w:tcW w:type="dxa" w:w="2592"/>
            <w:shd w:val="clear" w:color="auto" w:fill="1F497D"/>
          </w:tcPr>
          <w:p>
            <w:r>
              <w:rPr>
                <w:rFonts w:ascii="Arial" w:hAnsi="Arial"/>
                <w:b/>
                <w:color w:val="FFFFFF"/>
                <w:sz w:val="18"/>
              </w:rPr>
              <w:t>Enum Type</w:t>
            </w:r>
          </w:p>
        </w:tc>
        <w:tc>
          <w:tcPr>
            <w:tcW w:type="dxa" w:w="4320"/>
            <w:shd w:val="clear" w:color="auto" w:fill="1F497D"/>
          </w:tcPr>
          <w:p>
            <w:r>
              <w:rPr>
                <w:rFonts w:ascii="Arial" w:hAnsi="Arial"/>
                <w:b/>
                <w:color w:val="FFFFFF"/>
                <w:sz w:val="18"/>
              </w:rPr>
              <w:t>What It Captures</w:t>
            </w:r>
          </w:p>
        </w:tc>
      </w:tr>
      <w:tr>
        <w:tc>
          <w:tcPr>
            <w:tcW w:type="dxa" w:w="3168"/>
            <w:shd w:val="clear" w:color="auto" w:fill="EDF2FA"/>
            <w:vAlign w:val="center"/>
          </w:tcPr>
          <w:p>
            <w:r>
              <w:rPr>
                <w:rFonts w:ascii="Arial" w:hAnsi="Arial"/>
                <w:sz w:val="18"/>
              </w:rPr>
              <w:t>ts_sharing_direction</w:t>
            </w:r>
          </w:p>
        </w:tc>
        <w:tc>
          <w:tcPr>
            <w:tcW w:type="dxa" w:w="2592"/>
            <w:shd w:val="clear" w:color="auto" w:fill="EDF2FA"/>
            <w:vAlign w:val="center"/>
          </w:tcPr>
          <w:p>
            <w:r>
              <w:rPr>
                <w:rFonts w:ascii="Arial" w:hAnsi="Arial"/>
                <w:sz w:val="18"/>
              </w:rPr>
              <w:t>SharingDirectionEnum</w:t>
            </w:r>
          </w:p>
        </w:tc>
        <w:tc>
          <w:tcPr>
            <w:tcW w:type="dxa" w:w="4320"/>
            <w:shd w:val="clear" w:color="auto" w:fill="EDF2FA"/>
            <w:vAlign w:val="center"/>
          </w:tcPr>
          <w:p>
            <w:r>
              <w:rPr>
                <w:rFonts w:ascii="Arial" w:hAnsi="Arial"/>
                <w:sz w:val="18"/>
              </w:rPr>
              <w:t>Direction of third-party data sharing disclosure</w:t>
            </w:r>
          </w:p>
        </w:tc>
      </w:tr>
      <w:tr>
        <w:tc>
          <w:tcPr>
            <w:tcW w:type="dxa" w:w="3168"/>
            <w:shd w:val="clear" w:color="auto" w:fill="FFFFFF"/>
            <w:vAlign w:val="center"/>
          </w:tcPr>
          <w:p>
            <w:r>
              <w:rPr>
                <w:rFonts w:ascii="Arial" w:hAnsi="Arial"/>
                <w:sz w:val="18"/>
              </w:rPr>
              <w:t>ts_children_sharing_direction</w:t>
            </w:r>
          </w:p>
        </w:tc>
        <w:tc>
          <w:tcPr>
            <w:tcW w:type="dxa" w:w="2592"/>
            <w:shd w:val="clear" w:color="auto" w:fill="FFFFFF"/>
            <w:vAlign w:val="center"/>
          </w:tcPr>
          <w:p>
            <w:r>
              <w:rPr>
                <w:rFonts w:ascii="Arial" w:hAnsi="Arial"/>
                <w:sz w:val="18"/>
              </w:rPr>
              <w:t>SharingDirectionEnum</w:t>
            </w:r>
          </w:p>
        </w:tc>
        <w:tc>
          <w:tcPr>
            <w:tcW w:type="dxa" w:w="4320"/>
            <w:shd w:val="clear" w:color="auto" w:fill="FFFFFF"/>
            <w:vAlign w:val="center"/>
          </w:tcPr>
          <w:p>
            <w:r>
              <w:rPr>
                <w:rFonts w:ascii="Arial" w:hAnsi="Arial"/>
                <w:sz w:val="18"/>
              </w:rPr>
              <w:t>Same, specifically for children's data</w:t>
            </w:r>
          </w:p>
        </w:tc>
      </w:tr>
      <w:tr>
        <w:tc>
          <w:tcPr>
            <w:tcW w:type="dxa" w:w="3168"/>
            <w:shd w:val="clear" w:color="auto" w:fill="EDF2FA"/>
            <w:vAlign w:val="center"/>
          </w:tcPr>
          <w:p>
            <w:r>
              <w:rPr>
                <w:rFonts w:ascii="Arial" w:hAnsi="Arial"/>
                <w:sz w:val="18"/>
              </w:rPr>
              <w:t>re_retention_specificity</w:t>
            </w:r>
          </w:p>
        </w:tc>
        <w:tc>
          <w:tcPr>
            <w:tcW w:type="dxa" w:w="2592"/>
            <w:shd w:val="clear" w:color="auto" w:fill="EDF2FA"/>
            <w:vAlign w:val="center"/>
          </w:tcPr>
          <w:p>
            <w:r>
              <w:rPr>
                <w:rFonts w:ascii="Arial" w:hAnsi="Arial"/>
                <w:sz w:val="18"/>
              </w:rPr>
              <w:t>RetentionSpecificityEnum</w:t>
            </w:r>
          </w:p>
        </w:tc>
        <w:tc>
          <w:tcPr>
            <w:tcW w:type="dxa" w:w="4320"/>
            <w:shd w:val="clear" w:color="auto" w:fill="EDF2FA"/>
            <w:vAlign w:val="center"/>
          </w:tcPr>
          <w:p>
            <w:r>
              <w:rPr>
                <w:rFonts w:ascii="Arial" w:hAnsi="Arial"/>
                <w:sz w:val="18"/>
              </w:rPr>
              <w:t>How specifically retention is addressed</w:t>
            </w:r>
          </w:p>
        </w:tc>
      </w:tr>
      <w:tr>
        <w:tc>
          <w:tcPr>
            <w:tcW w:type="dxa" w:w="3168"/>
            <w:shd w:val="clear" w:color="auto" w:fill="FFFFFF"/>
            <w:vAlign w:val="center"/>
          </w:tcPr>
          <w:p>
            <w:r>
              <w:rPr>
                <w:rFonts w:ascii="Arial" w:hAnsi="Arial"/>
                <w:sz w:val="18"/>
              </w:rPr>
              <w:t>sec_specificity</w:t>
            </w:r>
          </w:p>
        </w:tc>
        <w:tc>
          <w:tcPr>
            <w:tcW w:type="dxa" w:w="2592"/>
            <w:shd w:val="clear" w:color="auto" w:fill="FFFFFF"/>
            <w:vAlign w:val="center"/>
          </w:tcPr>
          <w:p>
            <w:r>
              <w:rPr>
                <w:rFonts w:ascii="Arial" w:hAnsi="Arial"/>
                <w:sz w:val="18"/>
              </w:rPr>
              <w:t>SecuritySpecificityEnum</w:t>
            </w:r>
          </w:p>
        </w:tc>
        <w:tc>
          <w:tcPr>
            <w:tcW w:type="dxa" w:w="4320"/>
            <w:shd w:val="clear" w:color="auto" w:fill="FFFFFF"/>
            <w:vAlign w:val="center"/>
          </w:tcPr>
          <w:p>
            <w:r>
              <w:rPr>
                <w:rFonts w:ascii="Arial" w:hAnsi="Arial"/>
                <w:sz w:val="18"/>
              </w:rPr>
              <w:t>How specifically security measures are named</w:t>
            </w:r>
          </w:p>
        </w:tc>
      </w:tr>
      <w:tr>
        <w:tc>
          <w:tcPr>
            <w:tcW w:type="dxa" w:w="3168"/>
            <w:shd w:val="clear" w:color="auto" w:fill="EDF2FA"/>
            <w:vAlign w:val="center"/>
          </w:tcPr>
          <w:p>
            <w:r>
              <w:rPr>
                <w:rFonts w:ascii="Arial" w:hAnsi="Arial"/>
                <w:sz w:val="18"/>
              </w:rPr>
              <w:t>cm_consent_specificity</w:t>
            </w:r>
          </w:p>
        </w:tc>
        <w:tc>
          <w:tcPr>
            <w:tcW w:type="dxa" w:w="2592"/>
            <w:shd w:val="clear" w:color="auto" w:fill="EDF2FA"/>
            <w:vAlign w:val="center"/>
          </w:tcPr>
          <w:p>
            <w:r>
              <w:rPr>
                <w:rFonts w:ascii="Arial" w:hAnsi="Arial"/>
                <w:sz w:val="18"/>
              </w:rPr>
              <w:t>ConsentSpecificityEnum</w:t>
            </w:r>
          </w:p>
        </w:tc>
        <w:tc>
          <w:tcPr>
            <w:tcW w:type="dxa" w:w="4320"/>
            <w:shd w:val="clear" w:color="auto" w:fill="EDF2FA"/>
            <w:vAlign w:val="center"/>
          </w:tcPr>
          <w:p>
            <w:r>
              <w:rPr>
                <w:rFonts w:ascii="Arial" w:hAnsi="Arial"/>
                <w:sz w:val="18"/>
              </w:rPr>
              <w:t>How specifically parental consent procedures are described</w:t>
            </w:r>
          </w:p>
        </w:tc>
      </w:tr>
    </w:tbl>
    <w:p/>
    <w:p>
      <w:pPr>
        <w:spacing w:before="240" w:after="80"/>
      </w:pPr>
      <w:r>
        <w:rPr>
          <w:rFonts w:ascii="Arial" w:hAnsi="Arial"/>
          <w:b/>
          <w:color w:val="2E75B6"/>
          <w:sz w:val="24"/>
        </w:rPr>
        <w:t>Free-Text Extraction Fields</w:t>
      </w:r>
    </w:p>
    <w:p>
      <w:pPr>
        <w:spacing w:after="100"/>
      </w:pPr>
      <w:r>
        <w:rPr>
          <w:rFonts w:ascii="Arial" w:hAnsi="Arial"/>
          <w:sz w:val="20"/>
        </w:rPr>
        <w:t>Two fields ask the model to extract literal text values rather than classify:</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497D"/>
          </w:tcPr>
          <w:p>
            <w:r>
              <w:rPr>
                <w:rFonts w:ascii="Arial" w:hAnsi="Arial"/>
                <w:b/>
                <w:color w:val="FFFFFF"/>
                <w:sz w:val="18"/>
              </w:rPr>
              <w:t>Field</w:t>
            </w:r>
          </w:p>
        </w:tc>
        <w:tc>
          <w:tcPr>
            <w:tcW w:type="dxa" w:w="4032"/>
            <w:shd w:val="clear" w:color="auto" w:fill="1F497D"/>
          </w:tcPr>
          <w:p>
            <w:r>
              <w:rPr>
                <w:rFonts w:ascii="Arial" w:hAnsi="Arial"/>
                <w:b/>
                <w:color w:val="FFFFFF"/>
                <w:sz w:val="18"/>
              </w:rPr>
              <w:t>What to Extract</w:t>
            </w:r>
          </w:p>
        </w:tc>
        <w:tc>
          <w:tcPr>
            <w:tcW w:type="dxa" w:w="3168"/>
            <w:shd w:val="clear" w:color="auto" w:fill="1F497D"/>
          </w:tcPr>
          <w:p>
            <w:r>
              <w:rPr>
                <w:rFonts w:ascii="Arial" w:hAnsi="Arial"/>
                <w:b/>
                <w:color w:val="FFFFFF"/>
                <w:sz w:val="18"/>
              </w:rPr>
              <w:t>Example Values</w:t>
            </w:r>
          </w:p>
        </w:tc>
      </w:tr>
      <w:tr>
        <w:tc>
          <w:tcPr>
            <w:tcW w:type="dxa" w:w="2880"/>
            <w:shd w:val="clear" w:color="auto" w:fill="EDF2FA"/>
            <w:vAlign w:val="center"/>
          </w:tcPr>
          <w:p>
            <w:r>
              <w:rPr>
                <w:rFonts w:ascii="Arial" w:hAnsi="Arial"/>
                <w:sz w:val="18"/>
              </w:rPr>
              <w:t>re_retention_stated_period</w:t>
            </w:r>
          </w:p>
        </w:tc>
        <w:tc>
          <w:tcPr>
            <w:tcW w:type="dxa" w:w="4032"/>
            <w:shd w:val="clear" w:color="auto" w:fill="EDF2FA"/>
            <w:vAlign w:val="center"/>
          </w:tcPr>
          <w:p>
            <w:r>
              <w:rPr>
                <w:rFonts w:ascii="Arial" w:hAnsi="Arial"/>
                <w:sz w:val="18"/>
              </w:rPr>
              <w:t>The exact retention timeframe phrase from the policy</w:t>
            </w:r>
          </w:p>
        </w:tc>
        <w:tc>
          <w:tcPr>
            <w:tcW w:type="dxa" w:w="3168"/>
            <w:shd w:val="clear" w:color="auto" w:fill="EDF2FA"/>
            <w:vAlign w:val="center"/>
          </w:tcPr>
          <w:p>
            <w:r>
              <w:rPr>
                <w:rFonts w:ascii="Arial" w:hAnsi="Arial"/>
                <w:sz w:val="18"/>
              </w:rPr>
              <w:t>'90 days', '2 years after account closure', 'Not stated'</w:t>
            </w:r>
          </w:p>
        </w:tc>
      </w:tr>
      <w:tr>
        <w:tc>
          <w:tcPr>
            <w:tcW w:type="dxa" w:w="2880"/>
            <w:shd w:val="clear" w:color="auto" w:fill="FFFFFF"/>
            <w:vAlign w:val="center"/>
          </w:tcPr>
          <w:p>
            <w:r>
              <w:rPr>
                <w:rFonts w:ascii="Arial" w:hAnsi="Arial"/>
                <w:sz w:val="18"/>
              </w:rPr>
              <w:t>sec_measures_listed</w:t>
            </w:r>
          </w:p>
        </w:tc>
        <w:tc>
          <w:tcPr>
            <w:tcW w:type="dxa" w:w="4032"/>
            <w:shd w:val="clear" w:color="auto" w:fill="FFFFFF"/>
            <w:vAlign w:val="center"/>
          </w:tcPr>
          <w:p>
            <w:r>
              <w:rPr>
                <w:rFonts w:ascii="Arial" w:hAnsi="Arial"/>
                <w:sz w:val="18"/>
              </w:rPr>
              <w:t>Comma-separated list of specific security measures named</w:t>
            </w:r>
          </w:p>
        </w:tc>
        <w:tc>
          <w:tcPr>
            <w:tcW w:type="dxa" w:w="3168"/>
            <w:shd w:val="clear" w:color="auto" w:fill="FFFFFF"/>
            <w:vAlign w:val="center"/>
          </w:tcPr>
          <w:p>
            <w:r>
              <w:rPr>
                <w:rFonts w:ascii="Arial" w:hAnsi="Arial"/>
                <w:sz w:val="18"/>
              </w:rPr>
              <w:t>'TLS 1.2, AES-256 at rest, role-based access controls', 'None specified'</w:t>
            </w:r>
          </w:p>
        </w:tc>
      </w:tr>
    </w:tbl>
    <w:p/>
    <w:p>
      <w:pPr>
        <w:spacing w:before="120" w:after="120"/>
        <w:pBdr>
          <w:bottom w:val="single" w:sz="4" w:space="1" w:color="2E75B6"/>
        </w:pBdr>
      </w:pPr>
    </w:p>
    <w:p>
      <w:pPr>
        <w:spacing w:before="400" w:after="120"/>
      </w:pPr>
      <w:r>
        <w:rPr>
          <w:rFonts w:ascii="Arial" w:hAnsi="Arial"/>
          <w:b/>
          <w:color w:val="1F497D"/>
          <w:sz w:val="30"/>
        </w:rPr>
        <w:t>5. Composite Scores (Python-Computed)</w:t>
      </w:r>
    </w:p>
    <w:p>
      <w:pPr>
        <w:spacing w:after="100"/>
      </w:pPr>
      <w:r>
        <w:rPr>
          <w:rFonts w:ascii="Arial" w:hAnsi="Arial"/>
          <w:sz w:val="20"/>
        </w:rPr>
        <w:t>Three composite scores are computed in Python after each analysis — not asked of the model. This ensures they are deterministic and exactly match the indicator values.</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color="auto" w:fill="1F497D"/>
          </w:tcPr>
          <w:p>
            <w:r>
              <w:rPr>
                <w:rFonts w:ascii="Arial" w:hAnsi="Arial"/>
                <w:b/>
                <w:color w:val="FFFFFF"/>
                <w:sz w:val="18"/>
              </w:rPr>
              <w:t>Score Fields</w:t>
            </w:r>
          </w:p>
        </w:tc>
        <w:tc>
          <w:tcPr>
            <w:tcW w:type="dxa" w:w="4032"/>
            <w:shd w:val="clear" w:color="auto" w:fill="1F497D"/>
          </w:tcPr>
          <w:p>
            <w:r>
              <w:rPr>
                <w:rFonts w:ascii="Arial" w:hAnsi="Arial"/>
                <w:b/>
                <w:color w:val="FFFFFF"/>
                <w:sz w:val="18"/>
              </w:rPr>
              <w:t>Definition</w:t>
            </w:r>
          </w:p>
        </w:tc>
        <w:tc>
          <w:tcPr>
            <w:tcW w:type="dxa" w:w="2592"/>
            <w:shd w:val="clear" w:color="auto" w:fill="1F497D"/>
          </w:tcPr>
          <w:p>
            <w:r>
              <w:rPr>
                <w:rFonts w:ascii="Arial" w:hAnsi="Arial"/>
                <w:b/>
                <w:color w:val="FFFFFF"/>
                <w:sz w:val="18"/>
              </w:rPr>
              <w:t>Use in Paper</w:t>
            </w:r>
          </w:p>
        </w:tc>
      </w:tr>
      <w:tr>
        <w:tc>
          <w:tcPr>
            <w:tcW w:type="dxa" w:w="3456"/>
            <w:shd w:val="clear" w:color="auto" w:fill="EDF2FA"/>
            <w:vAlign w:val="center"/>
          </w:tcPr>
          <w:p>
            <w:r>
              <w:rPr>
                <w:rFonts w:ascii="Arial" w:hAnsi="Arial"/>
                <w:sz w:val="18"/>
              </w:rPr>
              <w:t>gdpr_composite_score / gdpr_composite_pct</w:t>
            </w:r>
          </w:p>
        </w:tc>
        <w:tc>
          <w:tcPr>
            <w:tcW w:type="dxa" w:w="4032"/>
            <w:shd w:val="clear" w:color="auto" w:fill="EDF2FA"/>
            <w:vAlign w:val="center"/>
          </w:tcPr>
          <w:p>
            <w:r>
              <w:rPr>
                <w:rFonts w:ascii="Arial" w:hAnsi="Arial"/>
                <w:sz w:val="18"/>
              </w:rPr>
              <w:t>TRUE count / % across 21 GDPR-applicable indicators</w:t>
            </w:r>
          </w:p>
        </w:tc>
        <w:tc>
          <w:tcPr>
            <w:tcW w:type="dxa" w:w="2592"/>
            <w:shd w:val="clear" w:color="auto" w:fill="EDF2FA"/>
            <w:vAlign w:val="center"/>
          </w:tcPr>
          <w:p>
            <w:r>
              <w:rPr>
                <w:rFonts w:ascii="Arial" w:hAnsi="Arial"/>
                <w:sz w:val="18"/>
              </w:rPr>
              <w:t>Primary dependent variable for GDPR regression analysis</w:t>
            </w:r>
          </w:p>
        </w:tc>
      </w:tr>
      <w:tr>
        <w:tc>
          <w:tcPr>
            <w:tcW w:type="dxa" w:w="3456"/>
            <w:shd w:val="clear" w:color="auto" w:fill="FFFFFF"/>
            <w:vAlign w:val="center"/>
          </w:tcPr>
          <w:p>
            <w:r>
              <w:rPr>
                <w:rFonts w:ascii="Arial" w:hAnsi="Arial"/>
                <w:sz w:val="18"/>
              </w:rPr>
              <w:t>coppa_composite_score / coppa_composite_pct</w:t>
            </w:r>
          </w:p>
        </w:tc>
        <w:tc>
          <w:tcPr>
            <w:tcW w:type="dxa" w:w="4032"/>
            <w:shd w:val="clear" w:color="auto" w:fill="FFFFFF"/>
            <w:vAlign w:val="center"/>
          </w:tcPr>
          <w:p>
            <w:r>
              <w:rPr>
                <w:rFonts w:ascii="Arial" w:hAnsi="Arial"/>
                <w:sz w:val="18"/>
              </w:rPr>
              <w:t>TRUE count / % across 15 COPPA-applicable indicators</w:t>
            </w:r>
          </w:p>
        </w:tc>
        <w:tc>
          <w:tcPr>
            <w:tcW w:type="dxa" w:w="2592"/>
            <w:shd w:val="clear" w:color="auto" w:fill="FFFFFF"/>
            <w:vAlign w:val="center"/>
          </w:tcPr>
          <w:p>
            <w:r>
              <w:rPr>
                <w:rFonts w:ascii="Arial" w:hAnsi="Arial"/>
                <w:sz w:val="18"/>
              </w:rPr>
              <w:t>Primary dependent variable for COPPA regression analysis</w:t>
            </w:r>
          </w:p>
        </w:tc>
      </w:tr>
      <w:tr>
        <w:tc>
          <w:tcPr>
            <w:tcW w:type="dxa" w:w="3456"/>
            <w:shd w:val="clear" w:color="auto" w:fill="EDF2FA"/>
            <w:vAlign w:val="center"/>
          </w:tcPr>
          <w:p>
            <w:r>
              <w:rPr>
                <w:rFonts w:ascii="Arial" w:hAnsi="Arial"/>
                <w:sz w:val="18"/>
              </w:rPr>
              <w:t>overall_composite_score / overall_composite_pct</w:t>
            </w:r>
          </w:p>
        </w:tc>
        <w:tc>
          <w:tcPr>
            <w:tcW w:type="dxa" w:w="4032"/>
            <w:shd w:val="clear" w:color="auto" w:fill="EDF2FA"/>
            <w:vAlign w:val="center"/>
          </w:tcPr>
          <w:p>
            <w:r>
              <w:rPr>
                <w:rFonts w:ascii="Arial" w:hAnsi="Arial"/>
                <w:sz w:val="18"/>
              </w:rPr>
              <w:t>TRUE count / % across all 35 indicators</w:t>
            </w:r>
          </w:p>
        </w:tc>
        <w:tc>
          <w:tcPr>
            <w:tcW w:type="dxa" w:w="2592"/>
            <w:shd w:val="clear" w:color="auto" w:fill="EDF2FA"/>
            <w:vAlign w:val="center"/>
          </w:tcPr>
          <w:p>
            <w:r>
              <w:rPr>
                <w:rFonts w:ascii="Arial" w:hAnsi="Arial"/>
                <w:sz w:val="18"/>
              </w:rPr>
              <w:t>Overall compliance metric for clustering and storytelling</w:t>
            </w:r>
          </w:p>
        </w:tc>
      </w:tr>
    </w:tbl>
    <w:p/>
    <w:p>
      <w:pPr>
        <w:spacing w:before="120" w:after="120"/>
        <w:pBdr>
          <w:bottom w:val="single" w:sz="4" w:space="1" w:color="2E75B6"/>
        </w:pBdr>
      </w:pPr>
    </w:p>
    <w:p>
      <w:pPr>
        <w:spacing w:before="400" w:after="120"/>
      </w:pPr>
      <w:r>
        <w:rPr>
          <w:rFonts w:ascii="Arial" w:hAnsi="Arial"/>
          <w:b/>
          <w:color w:val="1F497D"/>
          <w:sz w:val="30"/>
        </w:rPr>
        <w:t>6. Policy Text Construction from Master Data.csv</w:t>
      </w:r>
    </w:p>
    <w:p>
      <w:pPr>
        <w:spacing w:after="100"/>
      </w:pPr>
      <w:r>
        <w:rPr>
          <w:rFonts w:ascii="Arial" w:hAnsi="Arial"/>
          <w:sz w:val="20"/>
        </w:rPr>
        <w:t>Master Data.csv has two policy text columns. The analyzer constructs policy text at runtime using build_policy_text(row) with this priority logic:</w:t>
      </w:r>
    </w:p>
    <w:p>
      <w:pPr>
        <w:pStyle w:val="ListBullet"/>
        <w:spacing w:after="40"/>
        <w:ind w:left="360"/>
      </w:pPr>
      <w:r>
        <w:rPr>
          <w:rFonts w:ascii="Arial" w:hAnsi="Arial"/>
          <w:b/>
          <w:sz w:val="20"/>
        </w:rPr>
        <w:t xml:space="preserve">Both substantive: </w:t>
      </w:r>
      <w:r>
        <w:rPr>
          <w:rFonts w:ascii="Arial" w:hAnsi="Arial"/>
          <w:sz w:val="20"/>
        </w:rPr>
        <w:t>ppCompany &gt;= 200 chars AND ppPlatform &gt;= 100 chars → concatenate both (company first, then labeled platform label)</w:t>
      </w:r>
    </w:p>
    <w:p>
      <w:pPr>
        <w:pStyle w:val="ListBullet"/>
        <w:spacing w:after="40"/>
        <w:ind w:left="360"/>
      </w:pPr>
      <w:r>
        <w:rPr>
          <w:rFonts w:ascii="Arial" w:hAnsi="Arial"/>
          <w:b/>
          <w:sz w:val="20"/>
        </w:rPr>
        <w:t xml:space="preserve">Company only: </w:t>
      </w:r>
      <w:r>
        <w:rPr>
          <w:rFonts w:ascii="Arial" w:hAnsi="Arial"/>
          <w:sz w:val="20"/>
        </w:rPr>
        <w:t>ppCompany &gt;= 200 chars only → use ppCompany alone</w:t>
      </w:r>
    </w:p>
    <w:p>
      <w:pPr>
        <w:pStyle w:val="ListBullet"/>
        <w:spacing w:after="40"/>
        <w:ind w:left="360"/>
      </w:pPr>
      <w:r>
        <w:rPr>
          <w:rFonts w:ascii="Arial" w:hAnsi="Arial"/>
          <w:b/>
          <w:sz w:val="20"/>
        </w:rPr>
        <w:t xml:space="preserve">Platform only: </w:t>
      </w:r>
      <w:r>
        <w:rPr>
          <w:rFonts w:ascii="Arial" w:hAnsi="Arial"/>
          <w:sz w:val="20"/>
        </w:rPr>
        <w:t>ppPlatform &gt;= 200 chars only → use ppPlatform alone</w:t>
      </w:r>
    </w:p>
    <w:p>
      <w:pPr>
        <w:pStyle w:val="ListBullet"/>
        <w:spacing w:after="40"/>
        <w:ind w:left="360"/>
      </w:pPr>
      <w:r>
        <w:rPr>
          <w:rFonts w:ascii="Arial" w:hAnsi="Arial"/>
          <w:b/>
          <w:sz w:val="20"/>
        </w:rPr>
        <w:t xml:space="preserve">Neither: </w:t>
      </w:r>
      <w:r>
        <w:rPr>
          <w:rFonts w:ascii="Arial" w:hAnsi="Arial"/>
          <w:sz w:val="20"/>
        </w:rPr>
        <w:t>Neither &gt;= 200 chars → concatenate whatever exists (likely caught by the &lt; 100 char filter and marked as empty_or_short_policy)</w:t>
      </w:r>
    </w:p>
    <w:p>
      <w:pPr>
        <w:spacing w:after="100"/>
      </w:pPr>
      <w:r>
        <w:rPr>
          <w:rFonts w:ascii="Arial" w:hAnsi="Arial"/>
          <w:sz w:val="20"/>
        </w:rPr>
        <w:t>Coverage from Master Data.csv inspection:</w:t>
      </w:r>
    </w:p>
    <w:p>
      <w:pPr>
        <w:pStyle w:val="ListBullet"/>
        <w:spacing w:after="40"/>
        <w:ind w:left="360"/>
      </w:pPr>
      <w:r>
        <w:rPr>
          <w:rFonts w:ascii="Arial" w:hAnsi="Arial"/>
          <w:sz w:val="20"/>
        </w:rPr>
        <w:t>ppCompany &gt;= 200 chars: 995 apps (avg 13,504 chars when present — full vendor policy)</w:t>
      </w:r>
    </w:p>
    <w:p>
      <w:pPr>
        <w:pStyle w:val="ListBullet"/>
        <w:spacing w:after="40"/>
        <w:ind w:left="360"/>
      </w:pPr>
      <w:r>
        <w:rPr>
          <w:rFonts w:ascii="Arial" w:hAnsi="Arial"/>
          <w:sz w:val="20"/>
        </w:rPr>
        <w:t>ppPlatform &gt;= 200 chars: 175 apps (avg 735 chars — App Store/Play Store label)</w:t>
      </w:r>
    </w:p>
    <w:p>
      <w:pPr>
        <w:pStyle w:val="ListBullet"/>
        <w:spacing w:after="40"/>
        <w:ind w:left="360"/>
      </w:pPr>
      <w:r>
        <w:rPr>
          <w:rFonts w:ascii="Arial" w:hAnsi="Arial"/>
          <w:sz w:val="20"/>
        </w:rPr>
        <w:t>Neither &gt;= 200 chars: 686 apps — will likely return empty_or_short_policy regardless of approach</w:t>
      </w:r>
    </w:p>
    <w:p>
      <w:pPr>
        <w:pStyle w:val="ListBullet"/>
        <w:spacing w:after="40"/>
        <w:ind w:left="360"/>
      </w:pPr>
      <w:r>
        <w:rPr>
          <w:rFonts w:ascii="Arial" w:hAnsi="Arial"/>
          <w:sz w:val="20"/>
        </w:rPr>
        <w:t>Both &gt;= 200 chars: 162 apps — will get concatenated input</w:t>
      </w:r>
    </w:p>
    <w:p>
      <w:pPr>
        <w:spacing w:before="120" w:after="120"/>
        <w:pBdr>
          <w:bottom w:val="single" w:sz="4" w:space="1" w:color="2E75B6"/>
        </w:pBdr>
      </w:pPr>
    </w:p>
    <w:p>
      <w:pPr>
        <w:spacing w:before="400" w:after="120"/>
      </w:pPr>
      <w:r>
        <w:rPr>
          <w:rFonts w:ascii="Arial" w:hAnsi="Arial"/>
          <w:b/>
          <w:color w:val="1F497D"/>
          <w:sz w:val="30"/>
        </w:rPr>
        <w:t>7. Re-Analysis Plan</w:t>
      </w:r>
    </w:p>
    <w:tbl>
      <w:tblPr>
        <w:tblStyle w:val="TableGrid"/>
        <w:tblW w:type="auto" w:w="0"/>
        <w:tblLook w:firstColumn="1" w:firstRow="1" w:lastColumn="0" w:lastRow="0" w:noHBand="0" w:noVBand="1" w:val="04A0"/>
      </w:tblPr>
      <w:tblGrid>
        <w:gridCol w:w="9360"/>
      </w:tblGrid>
      <w:tr>
        <w:tc>
          <w:tcPr>
            <w:tcW w:type="dxa" w:w="9360"/>
            <w:shd w:val="clear" w:color="auto" w:fill="FFF8E1"/>
          </w:tcPr>
          <w:p>
            <w:r>
              <w:rPr>
                <w:rFonts w:ascii="Arial" w:hAnsi="Arial"/>
                <w:b/>
                <w:color w:val="7B5B00"/>
                <w:sz w:val="20"/>
              </w:rPr>
              <w:t xml:space="preserve">Important  </w:t>
            </w:r>
            <w:r>
              <w:rPr>
                <w:rFonts w:ascii="Arial" w:hAnsi="Arial"/>
                <w:sz w:val="20"/>
              </w:rPr>
              <w:t>All 1,694 apps must be re-analyzed. The current Analyzed Policies.csv uses different field names and cannot be partially upgraded. Use --resume-from N for crash recovery.</w:t>
            </w:r>
          </w:p>
        </w:tc>
      </w:tr>
    </w:tbl>
    <w:p/>
    <w:p>
      <w:pPr>
        <w:spacing w:after="100"/>
      </w:pPr>
      <w:r>
        <w:rPr>
          <w:rFonts w:ascii="Arial" w:hAnsi="Arial"/>
          <w:sz w:val="20"/>
        </w:rPr>
        <w:t>Run sequence:</w:t>
      </w:r>
    </w:p>
    <w:p>
      <w:pPr>
        <w:spacing w:after="100"/>
        <w:ind w:left="360"/>
      </w:pPr>
      <w:r>
        <w:rPr>
          <w:rFonts w:ascii="Arial" w:hAnsi="Arial"/>
          <w:sz w:val="20"/>
        </w:rPr>
        <w:t>Step 1 — 10-app validation run:</w:t>
      </w:r>
    </w:p>
    <w:p>
      <w:pPr>
        <w:spacing w:after="120"/>
        <w:ind w:left="432"/>
      </w:pPr>
      <w:r>
        <w:rPr>
          <w:rFonts w:ascii="Courier New" w:hAnsi="Courier New"/>
          <w:color w:val="1A7A3C"/>
          <w:sz w:val="18"/>
        </w:rPr>
        <w:t>python -m src.main data/input/test_sample_5.csv data/output/test_v2.csv --policy-column ppCompany --model gpt-5.1 --concurrent --max-concurrent 3</w:t>
      </w:r>
    </w:p>
    <w:p>
      <w:pPr>
        <w:spacing w:after="100"/>
        <w:ind w:left="360"/>
      </w:pPr>
      <w:r>
        <w:rPr>
          <w:rFonts w:ascii="Arial" w:hAnsi="Arial"/>
          <w:sz w:val="20"/>
        </w:rPr>
        <w:t>Manually verify: do evidence strings cite real policy text? Are conservative FALSE calls correct?</w:t>
      </w:r>
    </w:p>
    <w:p>
      <w:pPr>
        <w:spacing w:after="100"/>
        <w:ind w:left="360"/>
      </w:pPr>
      <w:r>
        <w:rPr>
          <w:rFonts w:ascii="Arial" w:hAnsi="Arial"/>
          <w:sz w:val="20"/>
        </w:rPr>
        <w:t>Step 2 — Full run (all 1,694 apps):</w:t>
      </w:r>
    </w:p>
    <w:p>
      <w:pPr>
        <w:spacing w:after="120"/>
        <w:ind w:left="432"/>
      </w:pPr>
      <w:r>
        <w:rPr>
          <w:rFonts w:ascii="Courier New" w:hAnsi="Courier New"/>
          <w:color w:val="1A7A3C"/>
          <w:sz w:val="18"/>
        </w:rPr>
        <w:t>python -m src.main "Master Data.csv" data/output/Analyzed_Policies_v2.csv --policy-column ppCompany --id-column app_id --name-column app_name --model gpt-5.1 --concurrent --max-concurrent 10</w:t>
      </w:r>
    </w:p>
    <w:p>
      <w:pPr>
        <w:spacing w:after="100"/>
        <w:ind w:left="360"/>
      </w:pPr>
      <w:r>
        <w:rPr>
          <w:rFonts w:ascii="Arial" w:hAnsi="Arial"/>
          <w:sz w:val="20"/>
        </w:rPr>
        <w:t>Estimated time: 35-50 minutes. Saves every 50 rows. Use --resume-from N if interrupted.</w:t>
      </w:r>
    </w:p>
    <w:p>
      <w:pPr>
        <w:spacing w:after="100"/>
        <w:ind w:left="360"/>
      </w:pPr>
      <w:r>
        <w:rPr>
          <w:rFonts w:ascii="Arial" w:hAnsi="Arial"/>
          <w:sz w:val="20"/>
        </w:rPr>
        <w:t>Step 3 — Cluster analysis:</w:t>
      </w:r>
    </w:p>
    <w:p>
      <w:pPr>
        <w:spacing w:after="120"/>
        <w:ind w:left="432"/>
      </w:pPr>
      <w:r>
        <w:rPr>
          <w:rFonts w:ascii="Courier New" w:hAnsi="Courier New"/>
          <w:color w:val="1A7A3C"/>
          <w:sz w:val="18"/>
        </w:rPr>
        <w:t>python cluster_analysis.py data/output/Analyzed_Policies_v2.csv -o data/output/Analyzed_Policies_v2_clustered.csv</w:t>
      </w:r>
    </w:p>
    <w:p>
      <w:pPr>
        <w:spacing w:before="120" w:after="120"/>
        <w:pBdr>
          <w:bottom w:val="single" w:sz="4" w:space="1" w:color="2E75B6"/>
        </w:pBdr>
      </w:pPr>
    </w:p>
    <w:p>
      <w:pPr>
        <w:spacing w:before="400" w:after="120"/>
      </w:pPr>
      <w:r>
        <w:rPr>
          <w:rFonts w:ascii="Arial" w:hAnsi="Arial"/>
          <w:b/>
          <w:color w:val="1F497D"/>
          <w:sz w:val="30"/>
        </w:rPr>
        <w:t>8. What NOT to Change</w:t>
      </w:r>
    </w:p>
    <w:p>
      <w:pPr>
        <w:spacing w:after="100"/>
      </w:pPr>
      <w:r>
        <w:rPr>
          <w:rFonts w:ascii="Arial" w:hAnsi="Arial"/>
          <w:sz w:val="20"/>
        </w:rPr>
        <w:t>The following must be preserved exactly as-is: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497D"/>
          </w:tcPr>
          <w:p>
            <w:r>
              <w:rPr>
                <w:rFonts w:ascii="Arial" w:hAnsi="Arial"/>
                <w:b/>
                <w:color w:val="FFFFFF"/>
                <w:sz w:val="18"/>
              </w:rPr>
              <w:t>Component</w:t>
            </w:r>
          </w:p>
        </w:tc>
        <w:tc>
          <w:tcPr>
            <w:tcW w:type="dxa" w:w="6624"/>
            <w:shd w:val="clear" w:color="auto" w:fill="1F497D"/>
          </w:tcPr>
          <w:p>
            <w:r>
              <w:rPr>
                <w:rFonts w:ascii="Arial" w:hAnsi="Arial"/>
                <w:b/>
                <w:color w:val="FFFFFF"/>
                <w:sz w:val="18"/>
              </w:rPr>
              <w:t>Why to Preserve</w:t>
            </w:r>
          </w:p>
        </w:tc>
      </w:tr>
      <w:tr>
        <w:tc>
          <w:tcPr>
            <w:tcW w:type="dxa" w:w="3456"/>
            <w:shd w:val="clear" w:color="auto" w:fill="EDF2FA"/>
            <w:vAlign w:val="center"/>
          </w:tcPr>
          <w:p>
            <w:r>
              <w:rPr>
                <w:rFonts w:ascii="Arial" w:hAnsi="Arial"/>
                <w:sz w:val="18"/>
              </w:rPr>
              <w:t>_make_openai_compatible_schema()</w:t>
            </w:r>
          </w:p>
        </w:tc>
        <w:tc>
          <w:tcPr>
            <w:tcW w:type="dxa" w:w="6624"/>
            <w:shd w:val="clear" w:color="auto" w:fill="EDF2FA"/>
            <w:vAlign w:val="center"/>
          </w:tcPr>
          <w:p>
            <w:r>
              <w:rPr>
                <w:rFonts w:ascii="Arial" w:hAnsi="Arial"/>
                <w:sz w:val="18"/>
              </w:rPr>
              <w:t>Critical for OpenAI structured output API compatibility. Must be applied to the new schema.</w:t>
            </w:r>
          </w:p>
        </w:tc>
      </w:tr>
      <w:tr>
        <w:tc>
          <w:tcPr>
            <w:tcW w:type="dxa" w:w="3456"/>
            <w:shd w:val="clear" w:color="auto" w:fill="FFFFFF"/>
            <w:vAlign w:val="center"/>
          </w:tcPr>
          <w:p>
            <w:r>
              <w:rPr>
                <w:rFonts w:ascii="Arial" w:hAnsi="Arial"/>
                <w:sz w:val="18"/>
              </w:rPr>
              <w:t>process_batch_concurrent() async logic</w:t>
            </w:r>
          </w:p>
        </w:tc>
        <w:tc>
          <w:tcPr>
            <w:tcW w:type="dxa" w:w="6624"/>
            <w:shd w:val="clear" w:color="auto" w:fill="FFFFFF"/>
            <w:vAlign w:val="center"/>
          </w:tcPr>
          <w:p>
            <w:r>
              <w:rPr>
                <w:rFonts w:ascii="Arial" w:hAnsi="Arial"/>
                <w:sz w:val="18"/>
              </w:rPr>
              <w:t>Semaphore pattern, asyncio task creation, progress bar — keep unchanged.</w:t>
            </w:r>
          </w:p>
        </w:tc>
      </w:tr>
      <w:tr>
        <w:tc>
          <w:tcPr>
            <w:tcW w:type="dxa" w:w="3456"/>
            <w:shd w:val="clear" w:color="auto" w:fill="EDF2FA"/>
            <w:vAlign w:val="center"/>
          </w:tcPr>
          <w:p>
            <w:r>
              <w:rPr>
                <w:rFonts w:ascii="Arial" w:hAnsi="Arial"/>
                <w:sz w:val="18"/>
              </w:rPr>
              <w:t>Rate limit retry (60s sleep)</w:t>
            </w:r>
          </w:p>
        </w:tc>
        <w:tc>
          <w:tcPr>
            <w:tcW w:type="dxa" w:w="6624"/>
            <w:shd w:val="clear" w:color="auto" w:fill="EDF2FA"/>
            <w:vAlign w:val="center"/>
          </w:tcPr>
          <w:p>
            <w:r>
              <w:rPr>
                <w:rFonts w:ascii="Arial" w:hAnsi="Arial"/>
                <w:sz w:val="18"/>
              </w:rPr>
              <w:t>Keep in both sync and async analyze_policy methods.</w:t>
            </w:r>
          </w:p>
        </w:tc>
      </w:tr>
      <w:tr>
        <w:tc>
          <w:tcPr>
            <w:tcW w:type="dxa" w:w="3456"/>
            <w:shd w:val="clear" w:color="auto" w:fill="FFFFFF"/>
            <w:vAlign w:val="center"/>
          </w:tcPr>
          <w:p>
            <w:r>
              <w:rPr>
                <w:rFonts w:ascii="Arial" w:hAnsi="Arial"/>
                <w:sz w:val="18"/>
              </w:rPr>
              <w:t>--resume-from flag</w:t>
            </w:r>
          </w:p>
        </w:tc>
        <w:tc>
          <w:tcPr>
            <w:tcW w:type="dxa" w:w="6624"/>
            <w:shd w:val="clear" w:color="auto" w:fill="FFFFFF"/>
            <w:vAlign w:val="center"/>
          </w:tcPr>
          <w:p>
            <w:r>
              <w:rPr>
                <w:rFonts w:ascii="Arial" w:hAnsi="Arial"/>
                <w:sz w:val="18"/>
              </w:rPr>
              <w:t>Keep in both process_batch and process_batch_concurrent.</w:t>
            </w:r>
          </w:p>
        </w:tc>
      </w:tr>
      <w:tr>
        <w:tc>
          <w:tcPr>
            <w:tcW w:type="dxa" w:w="3456"/>
            <w:shd w:val="clear" w:color="auto" w:fill="EDF2FA"/>
            <w:vAlign w:val="center"/>
          </w:tcPr>
          <w:p>
            <w:r>
              <w:rPr>
                <w:rFonts w:ascii="Arial" w:hAnsi="Arial"/>
                <w:sz w:val="18"/>
              </w:rPr>
              <w:t>Incremental saves every 50 rows</w:t>
            </w:r>
          </w:p>
        </w:tc>
        <w:tc>
          <w:tcPr>
            <w:tcW w:type="dxa" w:w="6624"/>
            <w:shd w:val="clear" w:color="auto" w:fill="EDF2FA"/>
            <w:vAlign w:val="center"/>
          </w:tcPr>
          <w:p>
            <w:r>
              <w:rPr>
                <w:rFonts w:ascii="Arial" w:hAnsi="Arial"/>
                <w:sz w:val="18"/>
              </w:rPr>
              <w:t>Keep this pattern in both batch methods.</w:t>
            </w:r>
          </w:p>
        </w:tc>
      </w:tr>
      <w:tr>
        <w:tc>
          <w:tcPr>
            <w:tcW w:type="dxa" w:w="3456"/>
            <w:shd w:val="clear" w:color="auto" w:fill="FFFFFF"/>
            <w:vAlign w:val="center"/>
          </w:tcPr>
          <w:p>
            <w:r>
              <w:rPr>
                <w:rFonts w:ascii="Arial" w:hAnsi="Arial"/>
                <w:sz w:val="18"/>
              </w:rPr>
              <w:t>COPPAAnalysis, GDPRAnalysis, ThirdPartyDetail</w:t>
            </w:r>
          </w:p>
        </w:tc>
        <w:tc>
          <w:tcPr>
            <w:tcW w:type="dxa" w:w="6624"/>
            <w:shd w:val="clear" w:color="auto" w:fill="FFFFFF"/>
            <w:vAlign w:val="center"/>
          </w:tcPr>
          <w:p>
            <w:r>
              <w:rPr>
                <w:rFonts w:ascii="Arial" w:hAnsi="Arial"/>
                <w:sz w:val="18"/>
              </w:rPr>
              <w:t>Do not modify these models.</w:t>
            </w:r>
          </w:p>
        </w:tc>
      </w:tr>
      <w:tr>
        <w:tc>
          <w:tcPr>
            <w:tcW w:type="dxa" w:w="3456"/>
            <w:shd w:val="clear" w:color="auto" w:fill="EDF2FA"/>
            <w:vAlign w:val="center"/>
          </w:tcPr>
          <w:p>
            <w:r>
              <w:rPr>
                <w:rFonts w:ascii="Arial" w:hAnsi="Arial"/>
                <w:sz w:val="18"/>
              </w:rPr>
              <w:t>_extract_coppa_fields(), _extract_gdpr_fields()</w:t>
            </w:r>
          </w:p>
        </w:tc>
        <w:tc>
          <w:tcPr>
            <w:tcW w:type="dxa" w:w="6624"/>
            <w:shd w:val="clear" w:color="auto" w:fill="EDF2FA"/>
            <w:vAlign w:val="center"/>
          </w:tcPr>
          <w:p>
            <w:r>
              <w:rPr>
                <w:rFonts w:ascii="Arial" w:hAnsi="Arial"/>
                <w:sz w:val="18"/>
              </w:rPr>
              <w:t>Keep exactly as-is — used to flatten nested objects into CSV columns.</w:t>
            </w:r>
          </w:p>
        </w:tc>
      </w:tr>
    </w:tbl>
    <w:p/>
    <w:p/>
    <w:p>
      <w:pPr>
        <w:spacing w:before="120" w:after="120"/>
        <w:pBdr>
          <w:bottom w:val="single" w:sz="4" w:space="1" w:color="2E75B6"/>
        </w:pBdr>
      </w:pPr>
    </w:p>
    <w:p>
      <w:pPr>
        <w:jc w:val="center"/>
      </w:pPr>
      <w:r>
        <w:rPr>
          <w:rFonts w:ascii="Arial" w:hAnsi="Arial"/>
          <w:i/>
          <w:color w:val="606060"/>
          <w:sz w:val="18"/>
        </w:rPr>
        <w:t>Full implementation details in IMPLEMENTATION_SPEC.md — feed that file directly to Claude Code.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