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48" w:rsidRDefault="00717BD7">
      <w:pPr>
        <w:rPr>
          <w:lang w:val="es-CR"/>
        </w:rPr>
      </w:pPr>
      <w:r>
        <w:rPr>
          <w:lang w:val="es-CR"/>
        </w:rPr>
        <w:t>Innovación en el sector empresarial.</w:t>
      </w:r>
    </w:p>
    <w:p w:rsidR="00717BD7" w:rsidRDefault="00717BD7">
      <w:pPr>
        <w:rPr>
          <w:lang w:val="es-CR"/>
        </w:rPr>
      </w:pPr>
      <w:r>
        <w:rPr>
          <w:lang w:val="es-CR"/>
        </w:rPr>
        <w:t xml:space="preserve">Cada año, el Ministerio de Ciencia y Tecnología realiza un estudio </w:t>
      </w:r>
      <w:r w:rsidR="00602A1F">
        <w:rPr>
          <w:lang w:val="es-CR"/>
        </w:rPr>
        <w:t>sobre ciencia, tecnología e innovación. Para estudiar al sector empresarial, desde el año 2006 hasta el 2013 tomaron en cuenta los sectores de manufactura</w:t>
      </w:r>
      <w:r w:rsidR="00A305E7">
        <w:rPr>
          <w:lang w:val="es-CR"/>
        </w:rPr>
        <w:t>, energía y telecomunicaciones y sector servicios.</w:t>
      </w:r>
      <w:r w:rsidR="00681829">
        <w:rPr>
          <w:lang w:val="es-CR"/>
        </w:rPr>
        <w:t xml:space="preserve"> Se estudian las actividades de innovación de las empresas en esos sectores, así como el impacto que reciben y las dificultades que enfrentan para invertir en innovación.</w:t>
      </w:r>
    </w:p>
    <w:p w:rsidR="003479F2" w:rsidRDefault="003479F2" w:rsidP="003479F2">
      <w:pPr>
        <w:rPr>
          <w:lang w:val="es-CR"/>
        </w:rPr>
      </w:pPr>
      <w:r>
        <w:rPr>
          <w:lang w:val="es-CR"/>
        </w:rPr>
        <w:t>Actividades de innovación.</w:t>
      </w:r>
    </w:p>
    <w:p w:rsidR="003479F2" w:rsidRPr="003479F2" w:rsidRDefault="003479F2" w:rsidP="00717BD7">
      <w:pPr>
        <w:rPr>
          <w:lang w:val="es-CR"/>
        </w:rPr>
      </w:pPr>
      <w:r w:rsidRPr="003479F2">
        <w:rPr>
          <w:lang w:val="es-CR"/>
        </w:rPr>
        <w:t xml:space="preserve">Las empresas costarricenses del sector </w:t>
      </w:r>
      <w:proofErr w:type="gramStart"/>
      <w:r w:rsidRPr="003479F2">
        <w:rPr>
          <w:lang w:val="es-CR"/>
        </w:rPr>
        <w:t>manufactura</w:t>
      </w:r>
      <w:proofErr w:type="gramEnd"/>
      <w:r w:rsidRPr="003479F2">
        <w:rPr>
          <w:lang w:val="es-CR"/>
        </w:rPr>
        <w:t>, energía y telecomunicaciones, han venido consolidando una cultura de fomento de la innovación, mediante esfuerzos en distintas actividades orientadas a lograr innovaciones.</w:t>
      </w:r>
    </w:p>
    <w:p w:rsidR="009C2D10" w:rsidRDefault="009C2D10" w:rsidP="00717BD7">
      <w:pPr>
        <w:rPr>
          <w:lang w:val="es-CR"/>
        </w:rPr>
      </w:pPr>
      <w:r>
        <w:rPr>
          <w:lang w:val="es-CR"/>
        </w:rPr>
        <w:t>Números significativos:</w:t>
      </w:r>
    </w:p>
    <w:p w:rsidR="009C2D10" w:rsidRDefault="009C2D10" w:rsidP="00717BD7">
      <w:pPr>
        <w:rPr>
          <w:lang w:val="es-CR"/>
        </w:rPr>
      </w:pPr>
      <w:r>
        <w:rPr>
          <w:lang w:val="es-CR"/>
        </w:rPr>
        <w:t xml:space="preserve">93.2% </w:t>
      </w:r>
    </w:p>
    <w:p w:rsidR="009C2D10" w:rsidRDefault="009C2D10" w:rsidP="00717BD7">
      <w:pPr>
        <w:rPr>
          <w:lang w:val="es-CR"/>
        </w:rPr>
      </w:pPr>
      <w:r>
        <w:rPr>
          <w:lang w:val="es-CR"/>
        </w:rPr>
        <w:t>E</w:t>
      </w:r>
      <w:r w:rsidRPr="00602A1F">
        <w:rPr>
          <w:lang w:val="es-CR"/>
        </w:rPr>
        <w:t>mpresas del sector</w:t>
      </w:r>
      <w:r>
        <w:rPr>
          <w:lang w:val="es-CR"/>
        </w:rPr>
        <w:t xml:space="preserve"> que</w:t>
      </w:r>
      <w:r w:rsidRPr="00602A1F">
        <w:rPr>
          <w:lang w:val="es-CR"/>
        </w:rPr>
        <w:t xml:space="preserve"> han realizado al menos algún tipo de actividad de innovación en los últimos años.</w:t>
      </w:r>
    </w:p>
    <w:p w:rsidR="009C2D10" w:rsidRDefault="009C2D10" w:rsidP="00717BD7">
      <w:pPr>
        <w:rPr>
          <w:lang w:val="es-CR"/>
        </w:rPr>
      </w:pPr>
      <w:r>
        <w:rPr>
          <w:lang w:val="es-CR"/>
        </w:rPr>
        <w:t xml:space="preserve">70% </w:t>
      </w:r>
    </w:p>
    <w:p w:rsidR="009C2D10" w:rsidRDefault="009C2D10" w:rsidP="00717BD7">
      <w:pPr>
        <w:rPr>
          <w:lang w:val="es-CR"/>
        </w:rPr>
      </w:pPr>
      <w:r>
        <w:rPr>
          <w:lang w:val="es-CR"/>
        </w:rPr>
        <w:t>D</w:t>
      </w:r>
      <w:r w:rsidRPr="009C2D10">
        <w:rPr>
          <w:lang w:val="es-CR"/>
        </w:rPr>
        <w:t>e esas empresas ha</w:t>
      </w:r>
      <w:r>
        <w:rPr>
          <w:lang w:val="es-CR"/>
        </w:rPr>
        <w:t xml:space="preserve"> invertido en actividades de Investigación y Desarrollo</w:t>
      </w:r>
      <w:r w:rsidRPr="009C2D10">
        <w:rPr>
          <w:lang w:val="es-CR"/>
        </w:rPr>
        <w:t xml:space="preserve"> interna</w:t>
      </w:r>
      <w:r>
        <w:rPr>
          <w:lang w:val="es-CR"/>
        </w:rPr>
        <w:t>.</w:t>
      </w:r>
    </w:p>
    <w:p w:rsidR="009C2D10" w:rsidRDefault="009C2D10" w:rsidP="009C2D10">
      <w:pPr>
        <w:rPr>
          <w:lang w:val="es-CR"/>
        </w:rPr>
      </w:pPr>
      <w:r w:rsidRPr="00602A1F">
        <w:rPr>
          <w:lang w:val="es-CR"/>
        </w:rPr>
        <w:t xml:space="preserve">66,0% </w:t>
      </w:r>
    </w:p>
    <w:p w:rsidR="009C2D10" w:rsidRDefault="009C2D10" w:rsidP="009C2D10">
      <w:pPr>
        <w:rPr>
          <w:lang w:val="es-CR"/>
        </w:rPr>
      </w:pPr>
      <w:r>
        <w:rPr>
          <w:lang w:val="es-CR"/>
        </w:rPr>
        <w:t>I</w:t>
      </w:r>
      <w:r w:rsidRPr="00602A1F">
        <w:rPr>
          <w:lang w:val="es-CR"/>
        </w:rPr>
        <w:t>nvierten en procesos de capacitación para fomentar innovaciones.</w:t>
      </w:r>
    </w:p>
    <w:p w:rsidR="009C2D10" w:rsidRDefault="009C2D10" w:rsidP="009C2D10">
      <w:pPr>
        <w:rPr>
          <w:lang w:val="es-CR"/>
        </w:rPr>
      </w:pPr>
      <w:r w:rsidRPr="009C2D10">
        <w:rPr>
          <w:lang w:val="es-CR"/>
        </w:rPr>
        <w:t>$170.000.000</w:t>
      </w:r>
    </w:p>
    <w:p w:rsidR="009C2D10" w:rsidRDefault="009C2D10" w:rsidP="009C2D10">
      <w:pPr>
        <w:rPr>
          <w:lang w:val="es-CR"/>
        </w:rPr>
      </w:pPr>
      <w:r>
        <w:rPr>
          <w:lang w:val="es-CR"/>
        </w:rPr>
        <w:t xml:space="preserve">Inversión en </w:t>
      </w:r>
      <w:r w:rsidRPr="009C2D10">
        <w:rPr>
          <w:lang w:val="es-CR"/>
        </w:rPr>
        <w:t>actividades de innovación</w:t>
      </w:r>
      <w:r>
        <w:rPr>
          <w:lang w:val="es-CR"/>
        </w:rPr>
        <w:t xml:space="preserve"> en las empresas del sector.</w:t>
      </w:r>
    </w:p>
    <w:p w:rsidR="009C2D10" w:rsidRDefault="00A55236" w:rsidP="00717BD7">
      <w:pPr>
        <w:rPr>
          <w:lang w:val="es-CR"/>
        </w:rPr>
      </w:pPr>
      <w:r>
        <w:rPr>
          <w:lang w:val="es-CR"/>
        </w:rPr>
        <w:t>Cabe destacar además que las actividades realizadas en innovación comprenden en primer lugar Investigac</w:t>
      </w:r>
      <w:r w:rsidR="00ED2E50">
        <w:rPr>
          <w:lang w:val="es-CR"/>
        </w:rPr>
        <w:t>ión y Desarrollo, pero también c</w:t>
      </w:r>
      <w:r>
        <w:rPr>
          <w:lang w:val="es-CR"/>
        </w:rPr>
        <w:t>apacitaciones (66.6% de las empresas del sector las realizan)</w:t>
      </w:r>
      <w:r w:rsidR="00ED2E50">
        <w:rPr>
          <w:lang w:val="es-CR"/>
        </w:rPr>
        <w:t xml:space="preserve"> y compra de maquinaria y equipo (57.4%)</w:t>
      </w:r>
      <w:r w:rsidR="001B0EDF">
        <w:rPr>
          <w:lang w:val="es-CR"/>
        </w:rPr>
        <w:t>. Los esfuerzos en I+D fueron principalmente dirigidos hacia mejoras en los productos, seguido de procesos y comercialización.</w:t>
      </w:r>
    </w:p>
    <w:p w:rsidR="0002669E" w:rsidRDefault="0002669E" w:rsidP="00717BD7">
      <w:pPr>
        <w:rPr>
          <w:lang w:val="es-CR"/>
        </w:rPr>
      </w:pPr>
      <w:r>
        <w:rPr>
          <w:noProof/>
        </w:rPr>
        <w:lastRenderedPageBreak/>
        <w:drawing>
          <wp:inline distT="0" distB="0" distL="0" distR="0" wp14:anchorId="5D9A5E08" wp14:editId="1D21358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B0EDF" w:rsidRDefault="00F207BB" w:rsidP="00717BD7">
      <w:pPr>
        <w:rPr>
          <w:lang w:val="es-CR"/>
        </w:rPr>
      </w:pPr>
      <w:r>
        <w:rPr>
          <w:lang w:val="es-CR"/>
        </w:rPr>
        <w:t>Impacto de las Innovaciones en el sector empresarial.</w:t>
      </w:r>
    </w:p>
    <w:p w:rsidR="00F207BB" w:rsidRPr="00A305E7" w:rsidRDefault="00F207BB" w:rsidP="00717BD7">
      <w:pPr>
        <w:rPr>
          <w:lang w:val="es-CR"/>
        </w:rPr>
      </w:pPr>
      <w:r>
        <w:rPr>
          <w:lang w:val="es-CR"/>
        </w:rPr>
        <w:t xml:space="preserve">Según una encuesta que el ministerio hizo a 416 empresas, </w:t>
      </w:r>
      <w:r w:rsidR="00564B51">
        <w:rPr>
          <w:lang w:val="es-CR"/>
        </w:rPr>
        <w:t xml:space="preserve">se enlistan los impactos que generaron sus innovaciones en productos, procesos, cambios organizacionales, comercialización y otras áreas. </w:t>
      </w:r>
    </w:p>
    <w:p w:rsidR="002859AF" w:rsidRDefault="00564B51" w:rsidP="00717BD7">
      <w:pPr>
        <w:rPr>
          <w:lang w:val="es-CR"/>
        </w:rPr>
      </w:pPr>
      <w:r>
        <w:rPr>
          <w:noProof/>
        </w:rPr>
        <w:drawing>
          <wp:inline distT="0" distB="0" distL="0" distR="0" wp14:anchorId="458D53C4" wp14:editId="2DF15B71">
            <wp:extent cx="5612130" cy="2119630"/>
            <wp:effectExtent l="0" t="0" r="762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1267" w:rsidRDefault="00551267" w:rsidP="00717BD7">
      <w:pPr>
        <w:rPr>
          <w:lang w:val="es-CR"/>
        </w:rPr>
      </w:pPr>
      <w:r w:rsidRPr="00551267">
        <w:rPr>
          <w:lang w:val="es-CR"/>
        </w:rPr>
        <w:t>Nota: Valores respecto al total de 416 empresas que respondieron la pregunta con respecto al período 2012-2013.</w:t>
      </w:r>
    </w:p>
    <w:p w:rsidR="002859AF" w:rsidRDefault="002859AF" w:rsidP="002859AF">
      <w:pPr>
        <w:rPr>
          <w:lang w:val="es-CR"/>
        </w:rPr>
      </w:pPr>
      <w:r w:rsidRPr="002859AF">
        <w:rPr>
          <w:lang w:val="es-CR"/>
        </w:rPr>
        <w:t>Aun así, es muy rescatable que la gran mayoría de empresa</w:t>
      </w:r>
      <w:r>
        <w:rPr>
          <w:lang w:val="es-CR"/>
        </w:rPr>
        <w:t xml:space="preserve">s </w:t>
      </w:r>
      <w:r w:rsidRPr="002859AF">
        <w:rPr>
          <w:lang w:val="es-CR"/>
        </w:rPr>
        <w:t>sigue creyendo en la relevancia de la innovación, aunque sean solamente cambios a nivel de empresa, y se abre así la opción de generar políticas de apoyo para que esas</w:t>
      </w:r>
      <w:r w:rsidR="00535294">
        <w:rPr>
          <w:lang w:val="es-CR"/>
        </w:rPr>
        <w:t xml:space="preserve"> empresas puedan aspirar a innovaciones de mayor intensidad y novedad.</w:t>
      </w:r>
    </w:p>
    <w:p w:rsidR="002859AF" w:rsidRDefault="002859AF" w:rsidP="002859AF">
      <w:pPr>
        <w:rPr>
          <w:lang w:val="es-CR"/>
        </w:rPr>
      </w:pPr>
      <w:r w:rsidRPr="002859AF">
        <w:rPr>
          <w:lang w:val="es-CR"/>
        </w:rPr>
        <w:t>El logro de este tipo de impactos positivos contribuye a la cultura de la innovación, pues las empresas saben que haciendo los esfuerzos correspondientes, pueden lograr los resultados deseados. Otro hecho notable es que las empresas tratan de mejorar varios aspectos con las innovaciones, estableciendo prioridades a partir de sus intereses o necesidades más urgentes.</w:t>
      </w:r>
    </w:p>
    <w:p w:rsidR="006C46A4" w:rsidRDefault="00FE6877" w:rsidP="002859AF">
      <w:pPr>
        <w:rPr>
          <w:lang w:val="es-CR"/>
        </w:rPr>
      </w:pPr>
      <w:r>
        <w:rPr>
          <w:lang w:val="es-CR"/>
        </w:rPr>
        <w:lastRenderedPageBreak/>
        <w:t>Investigación y desarrollo en las empresas.</w:t>
      </w:r>
    </w:p>
    <w:p w:rsidR="00FE6877" w:rsidRDefault="00FE6877" w:rsidP="002859AF">
      <w:pPr>
        <w:rPr>
          <w:lang w:val="es-CR"/>
        </w:rPr>
      </w:pPr>
      <w:r w:rsidRPr="00FE6877">
        <w:rPr>
          <w:lang w:val="es-CR"/>
        </w:rPr>
        <w:t>La apuesta que hacen las empresas por impulsar la innovación, se refleja en los porcentajes de I+D respecto a las ventas. Hay un incremento significativo en los últimos años, para todos los tamaños de empresa. Esto refleja, nuevamente, la cultura más posicionada de invertir en actividades de innovación y, en particular, en I+D</w:t>
      </w:r>
      <w:r>
        <w:rPr>
          <w:lang w:val="es-CR"/>
        </w:rPr>
        <w:t>.</w:t>
      </w:r>
      <w:r w:rsidR="0095546D">
        <w:rPr>
          <w:lang w:val="es-CR"/>
        </w:rPr>
        <w:t xml:space="preserve"> En el gráfico se puede apreciar el aumento en el porcentaje de ventas que es dedicado a la Investigación y Desarrollo, donde las empresas pequeñas se han situado desde el 2011 hasta el 2013 como líderes en esta métrica.</w:t>
      </w:r>
      <w:bookmarkStart w:id="0" w:name="_GoBack"/>
      <w:bookmarkEnd w:id="0"/>
    </w:p>
    <w:p w:rsidR="00FE6877" w:rsidRDefault="00FE6877" w:rsidP="002859AF">
      <w:pPr>
        <w:rPr>
          <w:lang w:val="es-CR"/>
        </w:rPr>
      </w:pPr>
      <w:r>
        <w:rPr>
          <w:noProof/>
        </w:rPr>
        <w:drawing>
          <wp:inline distT="0" distB="0" distL="0" distR="0" wp14:anchorId="71F8E0CF" wp14:editId="59F990AF">
            <wp:extent cx="3308350" cy="170180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C5DE0" w:rsidRDefault="004C5DE0" w:rsidP="002859AF">
      <w:pPr>
        <w:rPr>
          <w:lang w:val="es-CR"/>
        </w:rPr>
      </w:pPr>
      <w:r>
        <w:rPr>
          <w:lang w:val="es-CR"/>
        </w:rPr>
        <w:t>Obstáculos</w:t>
      </w:r>
      <w:r w:rsidR="001830B8">
        <w:rPr>
          <w:lang w:val="es-CR"/>
        </w:rPr>
        <w:t xml:space="preserve"> para innovar</w:t>
      </w:r>
      <w:r w:rsidR="00C2468E">
        <w:rPr>
          <w:lang w:val="es-CR"/>
        </w:rPr>
        <w:t xml:space="preserve"> e invertir en I+D</w:t>
      </w:r>
      <w:r w:rsidR="001830B8">
        <w:rPr>
          <w:lang w:val="es-CR"/>
        </w:rPr>
        <w:t>.</w:t>
      </w:r>
    </w:p>
    <w:p w:rsidR="001830B8" w:rsidRDefault="001830B8" w:rsidP="002859AF">
      <w:pPr>
        <w:rPr>
          <w:lang w:val="es-CR"/>
        </w:rPr>
      </w:pPr>
      <w:r w:rsidRPr="001830B8">
        <w:rPr>
          <w:lang w:val="es-CR"/>
        </w:rPr>
        <w:t>Son múltiples los factores que han obstaculizado la innovación tanto en empresas que innovaron como en las que no innovaron</w:t>
      </w:r>
      <w:r>
        <w:rPr>
          <w:lang w:val="es-CR"/>
        </w:rPr>
        <w:t xml:space="preserve">. Algunos factores no tienen mucho peso en la decisión, como </w:t>
      </w:r>
      <w:r w:rsidRPr="001830B8">
        <w:rPr>
          <w:lang w:val="es-CR"/>
        </w:rPr>
        <w:t xml:space="preserve">el haber innovado recientemente, lo cual parece resaltar que las empresas tienen una cultura </w:t>
      </w:r>
      <w:r w:rsidR="00AB0F88">
        <w:rPr>
          <w:lang w:val="es-CR"/>
        </w:rPr>
        <w:t xml:space="preserve">constante de innovación. </w:t>
      </w:r>
    </w:p>
    <w:p w:rsidR="001830B8" w:rsidRDefault="001830B8" w:rsidP="002859AF">
      <w:pPr>
        <w:rPr>
          <w:lang w:val="es-CR"/>
        </w:rPr>
      </w:pPr>
      <w:r w:rsidRPr="0055389F">
        <w:rPr>
          <w:lang w:val="es-CR"/>
        </w:rPr>
        <w:t>Un factor de peso para más del 40,0% de las empresas que no lograron innovaciones, es la falta de recursos financieros propios.</w:t>
      </w:r>
    </w:p>
    <w:p w:rsidR="00AB0F88" w:rsidRDefault="00C2468E" w:rsidP="002859AF">
      <w:pPr>
        <w:rPr>
          <w:lang w:val="es-CR"/>
        </w:rPr>
      </w:pPr>
      <w:r>
        <w:rPr>
          <w:lang w:val="es-CR"/>
        </w:rPr>
        <w:t>******GRAFICO FACTORES NO INNOVACION*******</w:t>
      </w:r>
    </w:p>
    <w:p w:rsidR="004C5DE0" w:rsidRDefault="001830B8" w:rsidP="004C5DE0">
      <w:pPr>
        <w:rPr>
          <w:lang w:val="es-CR"/>
        </w:rPr>
      </w:pPr>
      <w:r>
        <w:rPr>
          <w:lang w:val="es-CR"/>
        </w:rPr>
        <w:t xml:space="preserve">Uno de los principales obstáculos que las empresas entrevistadas enfrentan, es la falta de información sobre innovación, principalmente se obtiene desde internet. No perciben </w:t>
      </w:r>
      <w:r w:rsidR="004C5DE0" w:rsidRPr="004C5DE0">
        <w:rPr>
          <w:lang w:val="es-CR"/>
        </w:rPr>
        <w:t>a las universidades o a los centros de investigación y desarrollo tecnológico, como fuentes de información para sus innovaciones. Parece un hecho lamentable, en el tanto el porcentaje mayor de I+D en el país, proviene de ese tipo de entidades, por lo que se hace evidente que es de vital importancia mejorar las vinculaciones con el sector empresarial.</w:t>
      </w:r>
    </w:p>
    <w:p w:rsidR="00C2468E" w:rsidRDefault="00C2468E" w:rsidP="004C5DE0">
      <w:pPr>
        <w:rPr>
          <w:lang w:val="es-CR"/>
        </w:rPr>
      </w:pPr>
      <w:r>
        <w:rPr>
          <w:lang w:val="es-CR"/>
        </w:rPr>
        <w:t>Investigación y Desarrollo.</w:t>
      </w:r>
    </w:p>
    <w:p w:rsidR="00603939" w:rsidRPr="00944C21" w:rsidRDefault="00603939" w:rsidP="00717BD7">
      <w:pPr>
        <w:rPr>
          <w:lang w:val="es-CR"/>
        </w:rPr>
      </w:pPr>
      <w:r w:rsidRPr="00603939">
        <w:rPr>
          <w:lang w:val="es-CR"/>
        </w:rPr>
        <w:t>Son diferentes tipos de causas y sólo el hecho de que I+D sea muy cara afecta a más de la mitad de las empresas que sí hacen ese tipo de inversión. También la falta de acceso a crédito es mencionada por prácticamente la mitad de las empresas que sí hacen I+D.</w:t>
      </w:r>
    </w:p>
    <w:p w:rsidR="00C2468E" w:rsidRDefault="00C2468E" w:rsidP="00717BD7">
      <w:pPr>
        <w:rPr>
          <w:lang w:val="es-CR"/>
        </w:rPr>
      </w:pPr>
    </w:p>
    <w:sectPr w:rsidR="00C2468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D7"/>
    <w:rsid w:val="0002669E"/>
    <w:rsid w:val="001830B8"/>
    <w:rsid w:val="001B0EDF"/>
    <w:rsid w:val="001B7C2F"/>
    <w:rsid w:val="00204557"/>
    <w:rsid w:val="002859AF"/>
    <w:rsid w:val="003479F2"/>
    <w:rsid w:val="00391B36"/>
    <w:rsid w:val="004C5DE0"/>
    <w:rsid w:val="00535294"/>
    <w:rsid w:val="00551267"/>
    <w:rsid w:val="0055389F"/>
    <w:rsid w:val="00564B51"/>
    <w:rsid w:val="00602A1F"/>
    <w:rsid w:val="00603939"/>
    <w:rsid w:val="00681829"/>
    <w:rsid w:val="006C46A4"/>
    <w:rsid w:val="00717BD7"/>
    <w:rsid w:val="00944C21"/>
    <w:rsid w:val="0095546D"/>
    <w:rsid w:val="009C2D10"/>
    <w:rsid w:val="00A305E7"/>
    <w:rsid w:val="00A54A50"/>
    <w:rsid w:val="00A55236"/>
    <w:rsid w:val="00AB0F88"/>
    <w:rsid w:val="00B3439D"/>
    <w:rsid w:val="00B95F2A"/>
    <w:rsid w:val="00C2468E"/>
    <w:rsid w:val="00C250A7"/>
    <w:rsid w:val="00ED2E50"/>
    <w:rsid w:val="00F207BB"/>
    <w:rsid w:val="00FE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BA2C-2944-4380-9C4C-FD19D1AC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adiomontero\Desktop\Trabajo\MICITT\Datos%203era%20Infograf&#237;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adiomontero\Desktop\Trabajo\MICITT\Documentos%20comparativos\Cuadros%20MICIT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adiomontero\Desktop\Trabajo\MICITT\Datos%203era%20Infograf&#237;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1"/>
          <c:tx>
            <c:strRef>
              <c:f>'Actividades de innovacion'!$C$1</c:f>
              <c:strCache>
                <c:ptCount val="1"/>
                <c:pt idx="0">
                  <c:v>Producto</c:v>
                </c:pt>
              </c:strCache>
              <c:extLst xmlns:c15="http://schemas.microsoft.com/office/drawing/2012/chart"/>
            </c:strRef>
          </c:tx>
          <c:spPr>
            <a:solidFill>
              <a:schemeClr val="accent2"/>
            </a:solidFill>
            <a:ln>
              <a:noFill/>
            </a:ln>
            <a:effectLst/>
          </c:spPr>
          <c:invertIfNegative val="0"/>
          <c:cat>
            <c:strRef>
              <c:f>'Actividades de innovacion'!$A$2:$A$11</c:f>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extLst xmlns:c15="http://schemas.microsoft.com/office/drawing/2012/chart"/>
            </c:strRef>
          </c:cat>
          <c:val>
            <c:numRef>
              <c:f>'Actividades de innovacion'!$C$2:$C$11</c:f>
              <c:numCache>
                <c:formatCode>General</c:formatCode>
                <c:ptCount val="10"/>
                <c:pt idx="0">
                  <c:v>58.1</c:v>
                </c:pt>
                <c:pt idx="1">
                  <c:v>13.3</c:v>
                </c:pt>
                <c:pt idx="2">
                  <c:v>29.5</c:v>
                </c:pt>
                <c:pt idx="3">
                  <c:v>13.1</c:v>
                </c:pt>
                <c:pt idx="4">
                  <c:v>12.8</c:v>
                </c:pt>
                <c:pt idx="5">
                  <c:v>17.3</c:v>
                </c:pt>
                <c:pt idx="6">
                  <c:v>16.7</c:v>
                </c:pt>
                <c:pt idx="7">
                  <c:v>22.7</c:v>
                </c:pt>
                <c:pt idx="8">
                  <c:v>32.9</c:v>
                </c:pt>
                <c:pt idx="9">
                  <c:v>9</c:v>
                </c:pt>
              </c:numCache>
              <c:extLst xmlns:c15="http://schemas.microsoft.com/office/drawing/2012/chart"/>
            </c:numRef>
          </c:val>
        </c:ser>
        <c:dLbls>
          <c:showLegendKey val="0"/>
          <c:showVal val="0"/>
          <c:showCatName val="0"/>
          <c:showSerName val="0"/>
          <c:showPercent val="0"/>
          <c:showBubbleSize val="0"/>
        </c:dLbls>
        <c:gapWidth val="182"/>
        <c:axId val="716788624"/>
        <c:axId val="716796240"/>
        <c:extLst>
          <c:ext xmlns:c15="http://schemas.microsoft.com/office/drawing/2012/chart" uri="{02D57815-91ED-43cb-92C2-25804820EDAC}">
            <c15:filteredBarSeries>
              <c15:ser>
                <c:idx val="0"/>
                <c:order val="0"/>
                <c:tx>
                  <c:strRef>
                    <c:extLst>
                      <c:ext uri="{02D57815-91ED-43cb-92C2-25804820EDAC}">
                        <c15:formulaRef>
                          <c15:sqref>'Actividades de innovacion'!$B$1</c15:sqref>
                        </c15:formulaRef>
                      </c:ext>
                    </c:extLst>
                    <c:strCache>
                      <c:ptCount val="1"/>
                      <c:pt idx="0">
                        <c:v>A cualquier tipo de innovación</c:v>
                      </c:pt>
                    </c:strCache>
                  </c:strRef>
                </c:tx>
                <c:spPr>
                  <a:solidFill>
                    <a:schemeClr val="accent1"/>
                  </a:solidFill>
                  <a:ln>
                    <a:noFill/>
                  </a:ln>
                  <a:effectLst/>
                </c:spPr>
                <c:invertIfNegative val="0"/>
                <c:cat>
                  <c:strRef>
                    <c:extLst>
                      <c:ex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c:ext uri="{02D57815-91ED-43cb-92C2-25804820EDAC}">
                        <c15:formulaRef>
                          <c15:sqref>'Actividades de innovacion'!$B$2:$B$11</c15:sqref>
                        </c15:formulaRef>
                      </c:ext>
                    </c:extLst>
                    <c:numCache>
                      <c:formatCode>General</c:formatCode>
                      <c:ptCount val="10"/>
                      <c:pt idx="0">
                        <c:v>17.3</c:v>
                      </c:pt>
                      <c:pt idx="1">
                        <c:v>22.7</c:v>
                      </c:pt>
                      <c:pt idx="2">
                        <c:v>27.7</c:v>
                      </c:pt>
                      <c:pt idx="3">
                        <c:v>29.1</c:v>
                      </c:pt>
                      <c:pt idx="4">
                        <c:v>38.299999999999997</c:v>
                      </c:pt>
                      <c:pt idx="5">
                        <c:v>44.1</c:v>
                      </c:pt>
                      <c:pt idx="6">
                        <c:v>48.9</c:v>
                      </c:pt>
                      <c:pt idx="7">
                        <c:v>57.4</c:v>
                      </c:pt>
                      <c:pt idx="8">
                        <c:v>66.599999999999994</c:v>
                      </c:pt>
                      <c:pt idx="9">
                        <c:v>70</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'Actividades de innovacion'!$D$1</c15:sqref>
                        </c15:formulaRef>
                      </c:ext>
                    </c:extLst>
                    <c:strCache>
                      <c:ptCount val="1"/>
                      <c:pt idx="0">
                        <c:v>Proceso</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innovacion'!$D$2:$D$11</c15:sqref>
                        </c15:formulaRef>
                      </c:ext>
                    </c:extLst>
                    <c:numCache>
                      <c:formatCode>General</c:formatCode>
                      <c:ptCount val="10"/>
                      <c:pt idx="0">
                        <c:v>43.9</c:v>
                      </c:pt>
                      <c:pt idx="1">
                        <c:v>7</c:v>
                      </c:pt>
                      <c:pt idx="2">
                        <c:v>44.6</c:v>
                      </c:pt>
                      <c:pt idx="3">
                        <c:v>24.3</c:v>
                      </c:pt>
                      <c:pt idx="4">
                        <c:v>24.3</c:v>
                      </c:pt>
                      <c:pt idx="5">
                        <c:v>18.2</c:v>
                      </c:pt>
                      <c:pt idx="6">
                        <c:v>21.6</c:v>
                      </c:pt>
                      <c:pt idx="7">
                        <c:v>27.3</c:v>
                      </c:pt>
                      <c:pt idx="8">
                        <c:v>46.6</c:v>
                      </c:pt>
                      <c:pt idx="9">
                        <c:v>12.4</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'Actividades de innovacion'!$E$1</c15:sqref>
                        </c15:formulaRef>
                      </c:ext>
                    </c:extLst>
                    <c:strCache>
                      <c:ptCount val="1"/>
                      <c:pt idx="0">
                        <c:v>Organización</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innovacion'!$E$2:$E$11</c15:sqref>
                        </c15:formulaRef>
                      </c:ext>
                    </c:extLst>
                    <c:numCache>
                      <c:formatCode>General</c:formatCode>
                      <c:ptCount val="10"/>
                      <c:pt idx="0">
                        <c:v>20.3</c:v>
                      </c:pt>
                      <c:pt idx="1">
                        <c:v>2.2999999999999998</c:v>
                      </c:pt>
                      <c:pt idx="2">
                        <c:v>7.9</c:v>
                      </c:pt>
                      <c:pt idx="3">
                        <c:v>28.8</c:v>
                      </c:pt>
                      <c:pt idx="4">
                        <c:v>26.8</c:v>
                      </c:pt>
                      <c:pt idx="5">
                        <c:v>9.9</c:v>
                      </c:pt>
                      <c:pt idx="6">
                        <c:v>6.1</c:v>
                      </c:pt>
                      <c:pt idx="7">
                        <c:v>18.2</c:v>
                      </c:pt>
                      <c:pt idx="8">
                        <c:v>35.4</c:v>
                      </c:pt>
                      <c:pt idx="9">
                        <c:v>13.5</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'Actividades de innovacion'!$F$1</c15:sqref>
                        </c15:formulaRef>
                      </c:ext>
                    </c:extLst>
                    <c:strCache>
                      <c:ptCount val="1"/>
                      <c:pt idx="0">
                        <c:v>Comercialización</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innovacion'!$F$2:$F$11</c15:sqref>
                        </c15:formulaRef>
                      </c:ext>
                    </c:extLst>
                    <c:numCache>
                      <c:formatCode>General</c:formatCode>
                      <c:ptCount val="10"/>
                      <c:pt idx="0">
                        <c:v>25.9</c:v>
                      </c:pt>
                      <c:pt idx="1">
                        <c:v>6.3</c:v>
                      </c:pt>
                      <c:pt idx="2">
                        <c:v>9.1999999999999993</c:v>
                      </c:pt>
                      <c:pt idx="3">
                        <c:v>17.600000000000001</c:v>
                      </c:pt>
                      <c:pt idx="4">
                        <c:v>16.7</c:v>
                      </c:pt>
                      <c:pt idx="5">
                        <c:v>6.8</c:v>
                      </c:pt>
                      <c:pt idx="6">
                        <c:v>4.5</c:v>
                      </c:pt>
                      <c:pt idx="7">
                        <c:v>11.5</c:v>
                      </c:pt>
                      <c:pt idx="8">
                        <c:v>22.7</c:v>
                      </c:pt>
                      <c:pt idx="9">
                        <c:v>7.2</c:v>
                      </c:pt>
                    </c:numCache>
                  </c:numRef>
                </c:val>
              </c15:ser>
            </c15:filteredBarSeries>
          </c:ext>
        </c:extLst>
      </c:barChart>
      <c:catAx>
        <c:axId val="716788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96240"/>
        <c:crosses val="autoZero"/>
        <c:auto val="1"/>
        <c:lblAlgn val="ctr"/>
        <c:lblOffset val="100"/>
        <c:noMultiLvlLbl val="0"/>
      </c:catAx>
      <c:valAx>
        <c:axId val="716796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8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'Cuadro 3.17'!$J$4</c:f>
              <c:strCache>
                <c:ptCount val="1"/>
              </c:strCache>
            </c:strRef>
          </c:tx>
          <c:spPr>
            <a:solidFill>
              <a:schemeClr val="accent1"/>
            </a:solidFill>
            <a:ln>
              <a:noFill/>
            </a:ln>
            <a:effectLst/>
          </c:spPr>
          <c:invertIfNegative val="0"/>
          <c:cat>
            <c:multiLvlStrRef>
              <c:f>'Cuadro 3.17'!$H$5:$I$20</c:f>
              <c:extLst/>
            </c:multiLvlStrRef>
          </c:cat>
          <c:val>
            <c:numRef>
              <c:f>'Cuadro 3.17'!$J$5:$J$20</c:f>
              <c:numCache>
                <c:formatCode>General</c:formatCode>
                <c:ptCount val="16"/>
              </c:numCache>
              <c:extLst/>
            </c:numRef>
          </c:val>
        </c:ser>
        <c:dLbls>
          <c:showLegendKey val="0"/>
          <c:showVal val="0"/>
          <c:showCatName val="0"/>
          <c:showSerName val="0"/>
          <c:showPercent val="0"/>
          <c:showBubbleSize val="0"/>
        </c:dLbls>
        <c:gapWidth val="182"/>
        <c:axId val="716793520"/>
        <c:axId val="716794064"/>
      </c:barChart>
      <c:catAx>
        <c:axId val="716793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94064"/>
        <c:crosses val="autoZero"/>
        <c:auto val="1"/>
        <c:lblAlgn val="ctr"/>
        <c:lblOffset val="100"/>
        <c:noMultiLvlLbl val="0"/>
      </c:catAx>
      <c:valAx>
        <c:axId val="716794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9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Presupuesto I+D'!$A$2</c:f>
              <c:strCache>
                <c:ptCount val="1"/>
                <c:pt idx="0">
                  <c:v>Pequeñas</c:v>
                </c:pt>
              </c:strCache>
            </c:strRef>
          </c:tx>
          <c:spPr>
            <a:ln w="28575" cap="rnd">
              <a:solidFill>
                <a:schemeClr val="accent1"/>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I+D'!$B$2:$E$2</c:f>
              <c:numCache>
                <c:formatCode>General</c:formatCode>
                <c:ptCount val="4"/>
                <c:pt idx="0">
                  <c:v>0.86</c:v>
                </c:pt>
                <c:pt idx="1">
                  <c:v>0.73</c:v>
                </c:pt>
                <c:pt idx="2">
                  <c:v>1.3</c:v>
                </c:pt>
                <c:pt idx="3">
                  <c:v>1.4</c:v>
                </c:pt>
              </c:numCache>
            </c:numRef>
          </c:val>
          <c:smooth val="0"/>
        </c:ser>
        <c:ser>
          <c:idx val="1"/>
          <c:order val="1"/>
          <c:tx>
            <c:strRef>
              <c:f>'% Presupuesto I+D'!$A$3</c:f>
              <c:strCache>
                <c:ptCount val="1"/>
                <c:pt idx="0">
                  <c:v>Medianas</c:v>
                </c:pt>
              </c:strCache>
            </c:strRef>
          </c:tx>
          <c:spPr>
            <a:ln w="28575" cap="rnd">
              <a:solidFill>
                <a:schemeClr val="accent2"/>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I+D'!$B$3:$E$3</c:f>
              <c:numCache>
                <c:formatCode>General</c:formatCode>
                <c:ptCount val="4"/>
                <c:pt idx="0">
                  <c:v>0.43</c:v>
                </c:pt>
                <c:pt idx="1">
                  <c:v>0.44</c:v>
                </c:pt>
                <c:pt idx="2">
                  <c:v>1.1000000000000001</c:v>
                </c:pt>
                <c:pt idx="3">
                  <c:v>1</c:v>
                </c:pt>
              </c:numCache>
            </c:numRef>
          </c:val>
          <c:smooth val="0"/>
        </c:ser>
        <c:ser>
          <c:idx val="2"/>
          <c:order val="2"/>
          <c:tx>
            <c:strRef>
              <c:f>'% Presupuesto I+D'!$A$4</c:f>
              <c:strCache>
                <c:ptCount val="1"/>
                <c:pt idx="0">
                  <c:v>Grandes</c:v>
                </c:pt>
              </c:strCache>
            </c:strRef>
          </c:tx>
          <c:spPr>
            <a:ln w="28575" cap="rnd">
              <a:solidFill>
                <a:schemeClr val="accent3"/>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I+D'!$B$4:$E$4</c:f>
              <c:numCache>
                <c:formatCode>General</c:formatCode>
                <c:ptCount val="4"/>
                <c:pt idx="0">
                  <c:v>0.36</c:v>
                </c:pt>
                <c:pt idx="1">
                  <c:v>0.3</c:v>
                </c:pt>
                <c:pt idx="2">
                  <c:v>0.72</c:v>
                </c:pt>
                <c:pt idx="3">
                  <c:v>1.2</c:v>
                </c:pt>
              </c:numCache>
            </c:numRef>
          </c:val>
          <c:smooth val="0"/>
        </c:ser>
        <c:dLbls>
          <c:showLegendKey val="0"/>
          <c:showVal val="0"/>
          <c:showCatName val="0"/>
          <c:showSerName val="0"/>
          <c:showPercent val="0"/>
          <c:showBubbleSize val="0"/>
        </c:dLbls>
        <c:smooth val="0"/>
        <c:axId val="716795696"/>
        <c:axId val="716796784"/>
      </c:lineChart>
      <c:catAx>
        <c:axId val="71679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96784"/>
        <c:crosses val="autoZero"/>
        <c:auto val="1"/>
        <c:lblAlgn val="ctr"/>
        <c:lblOffset val="100"/>
        <c:noMultiLvlLbl val="0"/>
      </c:catAx>
      <c:valAx>
        <c:axId val="71679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79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eladiomontero</dc:creator>
  <cp:keywords/>
  <dc:description/>
  <cp:lastModifiedBy>eladiomontero</cp:lastModifiedBy>
  <cp:revision>9</cp:revision>
  <dcterms:created xsi:type="dcterms:W3CDTF">2017-03-14T01:57:00Z</dcterms:created>
  <dcterms:modified xsi:type="dcterms:W3CDTF">2017-03-23T15:33:00Z</dcterms:modified>
</cp:coreProperties>
</file>