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DD8" w:rsidRDefault="00700DD8" w:rsidP="0021454B">
      <w:pPr>
        <w:rPr>
          <w:b/>
          <w:sz w:val="20"/>
          <w:szCs w:val="20"/>
        </w:rPr>
      </w:pPr>
      <w:bookmarkStart w:id="0" w:name="_heading=h.30j0zll" w:colFirst="0" w:colLast="0"/>
      <w:bookmarkEnd w:id="0"/>
    </w:p>
    <w:p w:rsidR="0021454B" w:rsidRPr="0021454B" w:rsidRDefault="0021454B" w:rsidP="0021454B">
      <w:pPr>
        <w:rPr>
          <w:b/>
          <w:sz w:val="20"/>
          <w:szCs w:val="20"/>
        </w:rPr>
      </w:pPr>
      <w:r w:rsidRPr="0021454B">
        <w:rPr>
          <w:b/>
          <w:sz w:val="20"/>
          <w:szCs w:val="20"/>
        </w:rPr>
        <w:t>D</w:t>
      </w:r>
      <w:r>
        <w:rPr>
          <w:b/>
          <w:sz w:val="20"/>
          <w:szCs w:val="20"/>
        </w:rPr>
        <w:t xml:space="preserve">EFINIR, ESTABLECER Y DIVULGAR </w:t>
      </w:r>
      <w:r w:rsidRPr="0021454B">
        <w:rPr>
          <w:b/>
          <w:sz w:val="20"/>
          <w:szCs w:val="20"/>
        </w:rPr>
        <w:t xml:space="preserve">POLITICA ACTUALIZACION DE DATOS – ADMISION </w:t>
      </w:r>
    </w:p>
    <w:p w:rsidR="0021454B" w:rsidRPr="0021454B" w:rsidRDefault="0021454B" w:rsidP="0021454B">
      <w:pPr>
        <w:rPr>
          <w:b/>
          <w:sz w:val="20"/>
          <w:szCs w:val="20"/>
        </w:rPr>
      </w:pPr>
    </w:p>
    <w:p w:rsidR="0021454B" w:rsidRDefault="0021454B" w:rsidP="0021454B">
      <w:pPr>
        <w:rPr>
          <w:sz w:val="20"/>
          <w:szCs w:val="20"/>
        </w:rPr>
      </w:pPr>
      <w:r w:rsidRPr="0021454B">
        <w:rPr>
          <w:sz w:val="20"/>
          <w:szCs w:val="20"/>
        </w:rPr>
        <w:t>Hallazgo: No se evidencia que se asegure la información relativa del cliente para la prestación de servicio como nombres completos y fecha de nacimiento</w:t>
      </w:r>
    </w:p>
    <w:p w:rsidR="0021454B" w:rsidRPr="0021454B" w:rsidRDefault="0021454B" w:rsidP="0021454B">
      <w:pPr>
        <w:rPr>
          <w:sz w:val="20"/>
          <w:szCs w:val="20"/>
        </w:rPr>
      </w:pPr>
    </w:p>
    <w:p w:rsidR="0021454B" w:rsidRPr="0021454B" w:rsidRDefault="00D26C77" w:rsidP="00D26C77">
      <w:pPr>
        <w:spacing w:line="36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Definir</w:t>
      </w:r>
      <w:r w:rsidR="0021454B">
        <w:rPr>
          <w:b/>
          <w:i/>
          <w:sz w:val="20"/>
          <w:szCs w:val="20"/>
        </w:rPr>
        <w:t xml:space="preserve"> </w:t>
      </w:r>
    </w:p>
    <w:p w:rsidR="0021454B" w:rsidRDefault="0021454B" w:rsidP="0021454B">
      <w:pPr>
        <w:rPr>
          <w:rFonts w:eastAsia="Times New Roman"/>
          <w:color w:val="000000"/>
          <w:sz w:val="20"/>
          <w:szCs w:val="20"/>
          <w:lang w:eastAsia="es-CO"/>
        </w:rPr>
      </w:pPr>
      <w:r w:rsidRPr="0021454B">
        <w:rPr>
          <w:sz w:val="20"/>
          <w:szCs w:val="20"/>
        </w:rPr>
        <w:t xml:space="preserve">Actividad General: </w:t>
      </w:r>
      <w:r w:rsidRPr="0021454B">
        <w:rPr>
          <w:rFonts w:eastAsia="Times New Roman"/>
          <w:color w:val="000000"/>
          <w:sz w:val="20"/>
          <w:szCs w:val="20"/>
          <w:lang w:eastAsia="es-CO"/>
        </w:rPr>
        <w:t>Definir la política de actualización de Datos frente al cliente externo, establecer y divulgar la información</w:t>
      </w:r>
    </w:p>
    <w:p w:rsidR="0021454B" w:rsidRPr="0021454B" w:rsidRDefault="0021454B" w:rsidP="0021454B">
      <w:pPr>
        <w:rPr>
          <w:rFonts w:eastAsia="Times New Roman"/>
          <w:color w:val="000000"/>
          <w:sz w:val="20"/>
          <w:szCs w:val="20"/>
          <w:lang w:eastAsia="es-CO"/>
        </w:rPr>
      </w:pPr>
    </w:p>
    <w:p w:rsidR="0021454B" w:rsidRPr="0021454B" w:rsidRDefault="0021454B" w:rsidP="0021454B">
      <w:pPr>
        <w:rPr>
          <w:rFonts w:eastAsia="Times New Roman"/>
          <w:color w:val="000000"/>
          <w:sz w:val="20"/>
          <w:szCs w:val="20"/>
          <w:lang w:eastAsia="es-CO"/>
        </w:rPr>
      </w:pPr>
      <w:r w:rsidRPr="0021454B">
        <w:rPr>
          <w:rFonts w:eastAsia="Times New Roman"/>
          <w:color w:val="000000"/>
          <w:sz w:val="20"/>
          <w:szCs w:val="20"/>
          <w:lang w:eastAsia="es-CO"/>
        </w:rPr>
        <w:t>Actividades Específicas:</w:t>
      </w:r>
    </w:p>
    <w:p w:rsidR="0021454B" w:rsidRPr="0021454B" w:rsidRDefault="0021454B" w:rsidP="0021454B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:rsidR="0021454B" w:rsidRDefault="0021454B" w:rsidP="0021454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21454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La actua</w:t>
      </w: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>lización de datos se hará si cumple los siguientes parámetros:</w:t>
      </w:r>
    </w:p>
    <w:p w:rsidR="0021454B" w:rsidRDefault="0021454B" w:rsidP="0021454B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:rsidR="0021454B" w:rsidRDefault="0021454B" w:rsidP="0021454B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>Usuarios que asistan a servicios de Consulta Médica Especializada</w:t>
      </w:r>
      <w:r w:rsidR="0013306E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y Exámenes Electro diagnósticos.</w:t>
      </w:r>
    </w:p>
    <w:p w:rsidR="0021454B" w:rsidRPr="00153A4F" w:rsidRDefault="0021454B" w:rsidP="00153A4F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Usuarios que asistan con nueva orden de </w:t>
      </w:r>
      <w:r w:rsidR="00C450C2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atención, cuya información debe estar consignada en el campo de observaciones. </w:t>
      </w:r>
    </w:p>
    <w:p w:rsidR="00700DD8" w:rsidRDefault="00700DD8" w:rsidP="0021454B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>Usuarios que presencialmente soliciten una programación.</w:t>
      </w:r>
    </w:p>
    <w:p w:rsidR="0021454B" w:rsidRDefault="0021454B" w:rsidP="00700DD8">
      <w:pPr>
        <w:pStyle w:val="Prrafodelista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:rsidR="00D26C77" w:rsidRDefault="00D26C77" w:rsidP="00D26C77">
      <w:pPr>
        <w:spacing w:line="360" w:lineRule="auto"/>
        <w:rPr>
          <w:rFonts w:eastAsia="Times New Roman"/>
          <w:b/>
          <w:i/>
          <w:color w:val="000000"/>
          <w:sz w:val="20"/>
          <w:szCs w:val="20"/>
          <w:lang w:eastAsia="es-CO"/>
        </w:rPr>
      </w:pPr>
      <w:r w:rsidRPr="00D26C77">
        <w:rPr>
          <w:rFonts w:eastAsia="Times New Roman"/>
          <w:b/>
          <w:i/>
          <w:color w:val="000000"/>
          <w:sz w:val="20"/>
          <w:szCs w:val="20"/>
          <w:lang w:eastAsia="es-CO"/>
        </w:rPr>
        <w:t>Establecer</w:t>
      </w:r>
    </w:p>
    <w:p w:rsidR="00C8058C" w:rsidRDefault="00D26C77" w:rsidP="00C8058C">
      <w:pPr>
        <w:rPr>
          <w:rFonts w:eastAsia="Times New Roman"/>
          <w:color w:val="000000"/>
          <w:sz w:val="20"/>
          <w:szCs w:val="20"/>
          <w:lang w:eastAsia="es-CO"/>
        </w:rPr>
      </w:pPr>
      <w:r>
        <w:rPr>
          <w:rFonts w:eastAsia="Times New Roman"/>
          <w:color w:val="000000"/>
          <w:sz w:val="20"/>
          <w:szCs w:val="20"/>
          <w:lang w:eastAsia="es-CO"/>
        </w:rPr>
        <w:t xml:space="preserve">La política de actualización de datos se realizará mediante dos filtros establecidos en la admisión a partir del día 24/03/2021, los filtros funcionaran </w:t>
      </w:r>
      <w:r w:rsidR="00C8058C">
        <w:rPr>
          <w:rFonts w:eastAsia="Times New Roman"/>
          <w:color w:val="000000"/>
          <w:sz w:val="20"/>
          <w:szCs w:val="20"/>
          <w:lang w:eastAsia="es-CO"/>
        </w:rPr>
        <w:t>procedimentalmente de la siguiente manera:</w:t>
      </w:r>
    </w:p>
    <w:p w:rsidR="00C8058C" w:rsidRDefault="00C8058C" w:rsidP="00C8058C">
      <w:pPr>
        <w:rPr>
          <w:rFonts w:eastAsia="Times New Roman"/>
          <w:color w:val="000000"/>
          <w:sz w:val="20"/>
          <w:szCs w:val="20"/>
          <w:lang w:eastAsia="es-CO"/>
        </w:rPr>
      </w:pPr>
    </w:p>
    <w:p w:rsidR="00C8058C" w:rsidRDefault="00C8058C" w:rsidP="00C8058C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>El Gestor de U</w:t>
      </w:r>
      <w:r w:rsidR="00C450C2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suarios a partir del numeral A y C</w:t>
      </w:r>
      <w:r w:rsidRPr="00C8058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establecida en la definición</w:t>
      </w:r>
      <w:r w:rsidR="00C450C2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revisa los datos del paciente para </w:t>
      </w:r>
      <w:r w:rsidR="00C450C2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Correlacionar</w:t>
      </w: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con la base</w:t>
      </w:r>
      <w:r w:rsidR="00C450C2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de datos generada por el Líder de Admisión.</w:t>
      </w: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En caso de </w:t>
      </w:r>
      <w:r w:rsidR="00C450C2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ser necesaria la </w:t>
      </w: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actualización de datos el Gestor </w:t>
      </w:r>
      <w:r w:rsidR="00C450C2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de Usuario </w:t>
      </w: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debe subrayar el turno entregado para </w:t>
      </w:r>
      <w:r w:rsidR="00A72C6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que los gestores de admisión realicen los cambios pertinentes.</w:t>
      </w:r>
    </w:p>
    <w:p w:rsidR="00A72C60" w:rsidRDefault="00C450C2" w:rsidP="00C8058C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>El Gestor</w:t>
      </w:r>
      <w:r w:rsidR="00A72C6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d</w:t>
      </w: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>e Admisión teniendo en cuenta los numerales A, B y C debe</w:t>
      </w:r>
      <w:r w:rsidR="00A72C6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</w:t>
      </w:r>
      <w:r w:rsidR="00153A4F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actualizar</w:t>
      </w:r>
      <w:r w:rsidR="00A72C6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los datos del usuario</w:t>
      </w:r>
      <w:r w:rsidR="00153A4F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.</w:t>
      </w:r>
    </w:p>
    <w:p w:rsidR="00C450C2" w:rsidRDefault="00C450C2" w:rsidP="00C8058C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>En caso de que la información del numeral B no este consignada en el campo establecido, debe ingresar la información pertinente</w:t>
      </w:r>
      <w:bookmarkStart w:id="1" w:name="_GoBack"/>
      <w:bookmarkEnd w:id="1"/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ab/>
        <w:t xml:space="preserve"> </w:t>
      </w:r>
    </w:p>
    <w:p w:rsidR="00153A4F" w:rsidRDefault="00153A4F" w:rsidP="00153A4F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:rsidR="00A72C60" w:rsidRDefault="00A72C60" w:rsidP="00A72C60">
      <w:pPr>
        <w:rPr>
          <w:rFonts w:eastAsia="Times New Roman"/>
          <w:b/>
          <w:i/>
          <w:color w:val="000000"/>
          <w:sz w:val="20"/>
          <w:szCs w:val="20"/>
          <w:lang w:eastAsia="es-CO"/>
        </w:rPr>
      </w:pPr>
      <w:r w:rsidRPr="00A72C60">
        <w:rPr>
          <w:rFonts w:eastAsia="Times New Roman"/>
          <w:b/>
          <w:i/>
          <w:color w:val="000000"/>
          <w:sz w:val="20"/>
          <w:szCs w:val="20"/>
          <w:lang w:eastAsia="es-CO"/>
        </w:rPr>
        <w:t>Divulgación</w:t>
      </w:r>
    </w:p>
    <w:p w:rsidR="00A72C60" w:rsidRDefault="00A72C60" w:rsidP="00A72C60">
      <w:pPr>
        <w:rPr>
          <w:rFonts w:eastAsia="Times New Roman"/>
          <w:b/>
          <w:i/>
          <w:color w:val="000000"/>
          <w:sz w:val="20"/>
          <w:szCs w:val="20"/>
          <w:lang w:eastAsia="es-CO"/>
        </w:rPr>
      </w:pPr>
    </w:p>
    <w:p w:rsidR="0013306E" w:rsidRDefault="00A72C60" w:rsidP="00A72C60">
      <w:pPr>
        <w:rPr>
          <w:rFonts w:eastAsia="Times New Roman"/>
          <w:color w:val="000000"/>
          <w:sz w:val="20"/>
          <w:szCs w:val="20"/>
          <w:lang w:eastAsia="es-CO"/>
        </w:rPr>
      </w:pPr>
      <w:r>
        <w:rPr>
          <w:rFonts w:eastAsia="Times New Roman"/>
          <w:color w:val="000000"/>
          <w:sz w:val="20"/>
          <w:szCs w:val="20"/>
          <w:lang w:eastAsia="es-CO"/>
        </w:rPr>
        <w:t xml:space="preserve">La política de actualización de datos será divulgada </w:t>
      </w:r>
      <w:r w:rsidR="00700DD8">
        <w:rPr>
          <w:rFonts w:eastAsia="Times New Roman"/>
          <w:color w:val="000000"/>
          <w:sz w:val="20"/>
          <w:szCs w:val="20"/>
          <w:lang w:eastAsia="es-CO"/>
        </w:rPr>
        <w:t>formalmente a cada gestor del proceso de atención,</w:t>
      </w:r>
      <w:r>
        <w:rPr>
          <w:rFonts w:eastAsia="Times New Roman"/>
          <w:color w:val="000000"/>
          <w:sz w:val="20"/>
          <w:szCs w:val="20"/>
          <w:lang w:eastAsia="es-CO"/>
        </w:rPr>
        <w:t xml:space="preserve"> además será enviada mediante correo electrónico</w:t>
      </w:r>
      <w:r w:rsidR="00700DD8">
        <w:rPr>
          <w:rFonts w:eastAsia="Times New Roman"/>
          <w:color w:val="000000"/>
          <w:sz w:val="20"/>
          <w:szCs w:val="20"/>
          <w:lang w:eastAsia="es-CO"/>
        </w:rPr>
        <w:t>,</w:t>
      </w:r>
      <w:r>
        <w:rPr>
          <w:rFonts w:eastAsia="Times New Roman"/>
          <w:color w:val="000000"/>
          <w:sz w:val="20"/>
          <w:szCs w:val="20"/>
          <w:lang w:eastAsia="es-CO"/>
        </w:rPr>
        <w:t xml:space="preserve"> su entrenamiento, capacitación y evaluación respectiva se hará </w:t>
      </w:r>
      <w:r w:rsidR="00700DD8">
        <w:rPr>
          <w:rFonts w:eastAsia="Times New Roman"/>
          <w:color w:val="000000"/>
          <w:sz w:val="20"/>
          <w:szCs w:val="20"/>
          <w:lang w:eastAsia="es-CO"/>
        </w:rPr>
        <w:t>en dos días hábiles a partir de la divulgación.</w:t>
      </w:r>
    </w:p>
    <w:p w:rsidR="0013306E" w:rsidRDefault="0013306E" w:rsidP="00A72C60">
      <w:pPr>
        <w:rPr>
          <w:rFonts w:eastAsia="Times New Roman"/>
          <w:color w:val="000000"/>
          <w:sz w:val="20"/>
          <w:szCs w:val="20"/>
          <w:lang w:eastAsia="es-CO"/>
        </w:rPr>
      </w:pPr>
    </w:p>
    <w:p w:rsidR="00A72C60" w:rsidRPr="00A72C60" w:rsidRDefault="0013306E" w:rsidP="00A72C60">
      <w:pPr>
        <w:rPr>
          <w:rFonts w:eastAsia="Times New Roman"/>
          <w:b/>
          <w:i/>
          <w:color w:val="000000"/>
          <w:sz w:val="20"/>
          <w:szCs w:val="20"/>
          <w:lang w:eastAsia="es-CO"/>
        </w:rPr>
      </w:pPr>
      <w:r>
        <w:rPr>
          <w:rFonts w:eastAsia="Times New Roman"/>
          <w:color w:val="000000"/>
          <w:sz w:val="20"/>
          <w:szCs w:val="20"/>
          <w:lang w:eastAsia="es-CO"/>
        </w:rPr>
        <w:t xml:space="preserve">  </w:t>
      </w:r>
    </w:p>
    <w:p w:rsidR="00C8058C" w:rsidRPr="00C8058C" w:rsidRDefault="00C8058C" w:rsidP="00C8058C">
      <w:pPr>
        <w:spacing w:line="480" w:lineRule="auto"/>
        <w:rPr>
          <w:rFonts w:eastAsia="Times New Roman"/>
          <w:color w:val="000000"/>
          <w:sz w:val="20"/>
          <w:szCs w:val="20"/>
          <w:lang w:eastAsia="es-CO"/>
        </w:rPr>
      </w:pPr>
    </w:p>
    <w:p w:rsidR="00C8058C" w:rsidRDefault="00C8058C" w:rsidP="00C8058C">
      <w:pPr>
        <w:spacing w:line="360" w:lineRule="auto"/>
        <w:rPr>
          <w:rFonts w:eastAsia="Times New Roman"/>
          <w:color w:val="000000"/>
          <w:sz w:val="20"/>
          <w:szCs w:val="20"/>
          <w:lang w:eastAsia="es-CO"/>
        </w:rPr>
      </w:pPr>
    </w:p>
    <w:p w:rsidR="00C8058C" w:rsidRPr="00C8058C" w:rsidRDefault="00C8058C" w:rsidP="00C8058C">
      <w:pPr>
        <w:spacing w:line="360" w:lineRule="auto"/>
        <w:rPr>
          <w:rFonts w:eastAsia="Times New Roman"/>
          <w:color w:val="000000"/>
          <w:sz w:val="20"/>
          <w:szCs w:val="20"/>
          <w:lang w:eastAsia="es-CO"/>
        </w:rPr>
      </w:pPr>
    </w:p>
    <w:p w:rsidR="00D26C77" w:rsidRPr="00D26C77" w:rsidRDefault="00D26C77" w:rsidP="00D26C77">
      <w:pPr>
        <w:rPr>
          <w:rFonts w:eastAsia="Times New Roman"/>
          <w:color w:val="000000"/>
          <w:sz w:val="20"/>
          <w:szCs w:val="20"/>
          <w:lang w:eastAsia="es-CO"/>
        </w:rPr>
      </w:pPr>
    </w:p>
    <w:p w:rsidR="00D26C77" w:rsidRDefault="00D26C77" w:rsidP="00D26C77">
      <w:pPr>
        <w:spacing w:line="360" w:lineRule="auto"/>
        <w:rPr>
          <w:rFonts w:eastAsia="Times New Roman"/>
          <w:color w:val="000000"/>
          <w:sz w:val="20"/>
          <w:szCs w:val="20"/>
          <w:lang w:eastAsia="es-CO"/>
        </w:rPr>
      </w:pPr>
    </w:p>
    <w:p w:rsidR="00D26C77" w:rsidRPr="00D26C77" w:rsidRDefault="00D26C77" w:rsidP="00D26C77">
      <w:pPr>
        <w:spacing w:line="360" w:lineRule="auto"/>
        <w:rPr>
          <w:rFonts w:eastAsia="Times New Roman"/>
          <w:color w:val="000000"/>
          <w:sz w:val="20"/>
          <w:szCs w:val="20"/>
          <w:lang w:eastAsia="es-CO"/>
        </w:rPr>
      </w:pPr>
    </w:p>
    <w:p w:rsidR="00D26C77" w:rsidRPr="00D26C77" w:rsidRDefault="00D26C77" w:rsidP="00D26C77">
      <w:pPr>
        <w:rPr>
          <w:rFonts w:eastAsia="Times New Roman"/>
          <w:color w:val="000000"/>
          <w:sz w:val="20"/>
          <w:szCs w:val="20"/>
          <w:lang w:eastAsia="es-CO"/>
        </w:rPr>
      </w:pPr>
    </w:p>
    <w:p w:rsidR="0021454B" w:rsidRPr="0021454B" w:rsidRDefault="0021454B" w:rsidP="0021454B">
      <w:pPr>
        <w:pStyle w:val="Prrafodelista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:rsidR="00DE142B" w:rsidRPr="0021454B" w:rsidRDefault="00DE14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libri" w:eastAsia="Calibri" w:hAnsi="Calibri" w:cs="Calibri"/>
          <w:i/>
          <w:color w:val="404040"/>
          <w:lang w:val="es-CO"/>
        </w:rPr>
      </w:pPr>
    </w:p>
    <w:sectPr w:rsidR="00DE142B" w:rsidRPr="0021454B">
      <w:headerReference w:type="default" r:id="rId8"/>
      <w:footerReference w:type="default" r:id="rId9"/>
      <w:pgSz w:w="11909" w:h="16834"/>
      <w:pgMar w:top="14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246" w:rsidRDefault="00764246">
      <w:pPr>
        <w:spacing w:line="240" w:lineRule="auto"/>
      </w:pPr>
      <w:r>
        <w:separator/>
      </w:r>
    </w:p>
  </w:endnote>
  <w:endnote w:type="continuationSeparator" w:id="0">
    <w:p w:rsidR="00764246" w:rsidRDefault="00764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42B" w:rsidRDefault="00764246">
    <w:pPr>
      <w:jc w:val="center"/>
      <w:rPr>
        <w:rFonts w:ascii="Arial Narrow" w:eastAsia="Arial Narrow" w:hAnsi="Arial Narrow" w:cs="Arial Narrow"/>
        <w:color w:val="1F497D"/>
        <w:sz w:val="24"/>
        <w:szCs w:val="24"/>
      </w:rPr>
    </w:pPr>
    <w:r>
      <w:pict>
        <v:rect id="_x0000_i1025" style="width:0;height:1.5pt" o:hralign="center" o:hrstd="t" o:hr="t" fillcolor="#a0a0a0" stroked="f"/>
      </w:pict>
    </w:r>
  </w:p>
  <w:p w:rsidR="00DE142B" w:rsidRDefault="005942CA">
    <w:pPr>
      <w:jc w:val="center"/>
      <w:rPr>
        <w:rFonts w:ascii="Arial Narrow" w:eastAsia="Arial Narrow" w:hAnsi="Arial Narrow" w:cs="Arial Narrow"/>
        <w:color w:val="1F497D"/>
        <w:sz w:val="24"/>
        <w:szCs w:val="24"/>
      </w:rPr>
    </w:pPr>
    <w:r>
      <w:rPr>
        <w:rFonts w:ascii="Arial Narrow" w:eastAsia="Arial Narrow" w:hAnsi="Arial Narrow" w:cs="Arial Narrow"/>
        <w:color w:val="1F497D"/>
        <w:sz w:val="24"/>
        <w:szCs w:val="24"/>
      </w:rPr>
      <w:t xml:space="preserve">Carrera 43a # 5a-30 </w:t>
    </w:r>
    <w:r>
      <w:rPr>
        <w:rFonts w:ascii="Arial Narrow" w:eastAsia="Arial Narrow" w:hAnsi="Arial Narrow" w:cs="Arial Narrow"/>
        <w:b/>
        <w:color w:val="1F497D"/>
        <w:sz w:val="24"/>
        <w:szCs w:val="24"/>
      </w:rPr>
      <w:t>I</w:t>
    </w:r>
    <w:r>
      <w:rPr>
        <w:rFonts w:ascii="Arial Narrow" w:eastAsia="Arial Narrow" w:hAnsi="Arial Narrow" w:cs="Arial Narrow"/>
        <w:color w:val="1F497D"/>
        <w:sz w:val="24"/>
        <w:szCs w:val="24"/>
      </w:rPr>
      <w:t xml:space="preserve"> Barrio Tequendama </w:t>
    </w:r>
    <w:r>
      <w:rPr>
        <w:rFonts w:ascii="Arial Narrow" w:eastAsia="Arial Narrow" w:hAnsi="Arial Narrow" w:cs="Arial Narrow"/>
        <w:b/>
        <w:color w:val="1F497D"/>
        <w:sz w:val="24"/>
        <w:szCs w:val="24"/>
      </w:rPr>
      <w:t>I</w:t>
    </w:r>
    <w:r>
      <w:rPr>
        <w:rFonts w:ascii="Arial Narrow" w:eastAsia="Arial Narrow" w:hAnsi="Arial Narrow" w:cs="Arial Narrow"/>
        <w:color w:val="1F497D"/>
        <w:sz w:val="24"/>
        <w:szCs w:val="24"/>
      </w:rPr>
      <w:t xml:space="preserve"> Cali- Colombia </w:t>
    </w:r>
    <w:r>
      <w:rPr>
        <w:rFonts w:ascii="Arial Narrow" w:eastAsia="Arial Narrow" w:hAnsi="Arial Narrow" w:cs="Arial Narrow"/>
        <w:b/>
        <w:color w:val="1F497D"/>
        <w:sz w:val="24"/>
        <w:szCs w:val="24"/>
      </w:rPr>
      <w:t xml:space="preserve">I </w:t>
    </w:r>
    <w:r>
      <w:rPr>
        <w:rFonts w:ascii="Arial Narrow" w:eastAsia="Arial Narrow" w:hAnsi="Arial Narrow" w:cs="Arial Narrow"/>
        <w:color w:val="1F497D"/>
        <w:sz w:val="24"/>
        <w:szCs w:val="24"/>
      </w:rPr>
      <w:t>atencionvirtual@aficenter.com.co</w:t>
    </w:r>
  </w:p>
  <w:p w:rsidR="00DE142B" w:rsidRDefault="00DE142B">
    <w:pPr>
      <w:jc w:val="center"/>
      <w:rPr>
        <w:rFonts w:ascii="Arial Narrow" w:eastAsia="Arial Narrow" w:hAnsi="Arial Narrow" w:cs="Arial Narrow"/>
        <w:color w:val="1F497D"/>
        <w:sz w:val="24"/>
        <w:szCs w:val="24"/>
      </w:rPr>
    </w:pPr>
  </w:p>
  <w:p w:rsidR="00DE142B" w:rsidRDefault="005942CA">
    <w:pPr>
      <w:jc w:val="center"/>
      <w:rPr>
        <w:rFonts w:ascii="Arial Narrow" w:eastAsia="Arial Narrow" w:hAnsi="Arial Narrow" w:cs="Arial Narrow"/>
        <w:color w:val="1F497D"/>
        <w:sz w:val="24"/>
        <w:szCs w:val="24"/>
      </w:rPr>
    </w:pPr>
    <w:r>
      <w:rPr>
        <w:rFonts w:ascii="Arial Narrow" w:eastAsia="Arial Narrow" w:hAnsi="Arial Narrow" w:cs="Arial Narrow"/>
        <w:color w:val="1F497D"/>
        <w:sz w:val="24"/>
        <w:szCs w:val="24"/>
      </w:rPr>
      <w:t>Teléfono: 3876780</w:t>
    </w:r>
  </w:p>
  <w:p w:rsidR="00DE142B" w:rsidRDefault="00DE142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246" w:rsidRDefault="00764246">
      <w:pPr>
        <w:spacing w:line="240" w:lineRule="auto"/>
      </w:pPr>
      <w:r>
        <w:separator/>
      </w:r>
    </w:p>
  </w:footnote>
  <w:footnote w:type="continuationSeparator" w:id="0">
    <w:p w:rsidR="00764246" w:rsidRDefault="00764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42B" w:rsidRDefault="005942CA">
    <w:pPr>
      <w:rPr>
        <w:rFonts w:ascii="Eras Medium ITC" w:eastAsia="Eras Medium ITC" w:hAnsi="Eras Medium ITC" w:cs="Eras Medium ITC"/>
        <w:b/>
        <w:color w:val="1C4587"/>
        <w:sz w:val="24"/>
        <w:szCs w:val="24"/>
      </w:rPr>
    </w:pPr>
    <w:r>
      <w:rPr>
        <w:noProof/>
        <w:lang w:val="es-CO" w:eastAsia="es-CO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19050</wp:posOffset>
          </wp:positionH>
          <wp:positionV relativeFrom="paragraph">
            <wp:posOffset>-228599</wp:posOffset>
          </wp:positionV>
          <wp:extent cx="1857375" cy="419100"/>
          <wp:effectExtent l="0" t="0" r="0" b="0"/>
          <wp:wrapTopAndBottom distT="0" distB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916" r="915"/>
                  <a:stretch>
                    <a:fillRect/>
                  </a:stretch>
                </pic:blipFill>
                <pic:spPr>
                  <a:xfrm>
                    <a:off x="0" y="0"/>
                    <a:ext cx="1857375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5054600</wp:posOffset>
              </wp:positionH>
              <wp:positionV relativeFrom="paragraph">
                <wp:posOffset>50800</wp:posOffset>
              </wp:positionV>
              <wp:extent cx="1066800" cy="485775"/>
              <wp:effectExtent l="0" t="0" r="0" b="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17363" y="3541875"/>
                        <a:ext cx="1057275" cy="4762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DE142B" w:rsidRPr="0021454B" w:rsidRDefault="0021454B" w:rsidP="0021454B">
                          <w:pPr>
                            <w:spacing w:line="275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21454B">
                            <w:rPr>
                              <w:color w:val="000000"/>
                              <w:sz w:val="16"/>
                              <w:szCs w:val="16"/>
                            </w:rPr>
                            <w:t>Política de Actualización de datos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8" o:spid="_x0000_s1026" style="position:absolute;margin-left:398pt;margin-top:4pt;width:84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" fillcolor="white [3201]" stroked="f">
              <v:textbox inset="2.53958mm,1.2694mm,2.53958mm,1.2694mm">
                <w:txbxContent>
                  <w:p w:rsidR="00DE142B" w:rsidRPr="0021454B" w:rsidRDefault="0021454B" w:rsidP="0021454B">
                    <w:pPr>
                      <w:spacing w:line="275" w:lineRule="auto"/>
                      <w:textDirection w:val="btLr"/>
                      <w:rPr>
                        <w:sz w:val="16"/>
                        <w:szCs w:val="16"/>
                      </w:rPr>
                    </w:pPr>
                    <w:r w:rsidRPr="0021454B">
                      <w:rPr>
                        <w:color w:val="000000"/>
                        <w:sz w:val="16"/>
                        <w:szCs w:val="16"/>
                      </w:rPr>
                      <w:t>Política de Actualización de datos</w:t>
                    </w:r>
                  </w:p>
                </w:txbxContent>
              </v:textbox>
            </v:rect>
          </w:pict>
        </mc:Fallback>
      </mc:AlternateContent>
    </w:r>
  </w:p>
  <w:p w:rsidR="00DE142B" w:rsidRDefault="005942CA">
    <w:pPr>
      <w:rPr>
        <w:rFonts w:ascii="Eras Medium ITC" w:eastAsia="Eras Medium ITC" w:hAnsi="Eras Medium ITC" w:cs="Eras Medium ITC"/>
        <w:b/>
        <w:color w:val="1C4587"/>
        <w:sz w:val="24"/>
        <w:szCs w:val="24"/>
      </w:rPr>
    </w:pPr>
    <w:r>
      <w:rPr>
        <w:rFonts w:ascii="Eras Medium ITC" w:eastAsia="Eras Medium ITC" w:hAnsi="Eras Medium ITC" w:cs="Eras Medium ITC"/>
        <w:b/>
        <w:color w:val="1C4587"/>
        <w:sz w:val="24"/>
        <w:szCs w:val="24"/>
      </w:rPr>
      <w:t>¡Eficiencia y calidad a su servicio!</w:t>
    </w:r>
  </w:p>
  <w:p w:rsidR="00DE142B" w:rsidRDefault="005942CA">
    <w:pPr>
      <w:jc w:val="both"/>
      <w:rPr>
        <w:rFonts w:ascii="Eras Medium ITC" w:eastAsia="Eras Medium ITC" w:hAnsi="Eras Medium ITC" w:cs="Eras Medium ITC"/>
        <w:b/>
        <w:color w:val="1C4587"/>
        <w:sz w:val="18"/>
        <w:szCs w:val="18"/>
      </w:rPr>
    </w:pPr>
    <w:r>
      <w:rPr>
        <w:rFonts w:ascii="Eras Medium ITC" w:eastAsia="Eras Medium ITC" w:hAnsi="Eras Medium ITC" w:cs="Eras Medium ITC"/>
        <w:b/>
        <w:color w:val="1C4587"/>
        <w:sz w:val="18"/>
        <w:szCs w:val="18"/>
      </w:rPr>
      <w:t>NIT: 805025635-5</w:t>
    </w:r>
  </w:p>
  <w:p w:rsidR="00DE142B" w:rsidRDefault="00DE142B">
    <w:pPr>
      <w:jc w:val="both"/>
      <w:rPr>
        <w:rFonts w:ascii="Eras Medium ITC" w:eastAsia="Eras Medium ITC" w:hAnsi="Eras Medium ITC" w:cs="Eras Medium ITC"/>
        <w:b/>
        <w:color w:val="1C4587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12785"/>
    <w:multiLevelType w:val="hybridMultilevel"/>
    <w:tmpl w:val="979CD05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FAA13D5"/>
    <w:multiLevelType w:val="hybridMultilevel"/>
    <w:tmpl w:val="E272EA7A"/>
    <w:lvl w:ilvl="0" w:tplc="240A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124A60"/>
    <w:multiLevelType w:val="multilevel"/>
    <w:tmpl w:val="1152DD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37D3647E"/>
    <w:multiLevelType w:val="hybridMultilevel"/>
    <w:tmpl w:val="E8B64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7E6CAB"/>
    <w:multiLevelType w:val="hybridMultilevel"/>
    <w:tmpl w:val="2FC068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048E9"/>
    <w:multiLevelType w:val="hybridMultilevel"/>
    <w:tmpl w:val="CC789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2021BB"/>
    <w:multiLevelType w:val="multilevel"/>
    <w:tmpl w:val="8AE86C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42B"/>
    <w:rsid w:val="0013306E"/>
    <w:rsid w:val="00153A4F"/>
    <w:rsid w:val="0021454B"/>
    <w:rsid w:val="005942CA"/>
    <w:rsid w:val="00700DD8"/>
    <w:rsid w:val="00764246"/>
    <w:rsid w:val="00A72C60"/>
    <w:rsid w:val="00C450C2"/>
    <w:rsid w:val="00C8058C"/>
    <w:rsid w:val="00D26C77"/>
    <w:rsid w:val="00DE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DA6378-C6EB-4B2B-A2AE-D32D9663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44F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E0640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6408"/>
  </w:style>
  <w:style w:type="paragraph" w:styleId="Piedepgina">
    <w:name w:val="footer"/>
    <w:basedOn w:val="Normal"/>
    <w:link w:val="PiedepginaCar"/>
    <w:uiPriority w:val="99"/>
    <w:unhideWhenUsed/>
    <w:rsid w:val="00E0640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6408"/>
  </w:style>
  <w:style w:type="paragraph" w:styleId="Sinespaciado">
    <w:name w:val="No Spacing"/>
    <w:uiPriority w:val="1"/>
    <w:qFormat/>
    <w:rsid w:val="00C67A6E"/>
    <w:pPr>
      <w:spacing w:line="240" w:lineRule="auto"/>
    </w:pPr>
    <w:rPr>
      <w:rFonts w:asciiTheme="minorHAnsi" w:eastAsiaTheme="minorHAnsi" w:hAnsiTheme="minorHAnsi" w:cstheme="minorBidi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00144F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454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yCeCtInWsMyhAm/JGNN60zKohg==">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aficenter12</cp:lastModifiedBy>
  <cp:revision>7</cp:revision>
  <dcterms:created xsi:type="dcterms:W3CDTF">2021-03-24T15:23:00Z</dcterms:created>
  <dcterms:modified xsi:type="dcterms:W3CDTF">2021-03-24T15:56:00Z</dcterms:modified>
</cp:coreProperties>
</file>