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B1F3A"/>
            <w:tcBorders>
              <w:top w:val="single" w:sz="0" w:color="0B1F3A"/>
              <w:left w:val="single" w:sz="0" w:color="0B1F3A"/>
              <w:bottom w:val="single" w:sz="0" w:color="0B1F3A"/>
              <w:right w:val="single" w:sz="0" w:color="0B1F3A"/>
              <w:insideH w:val="single" w:sz="0" w:color="0B1F3A"/>
              <w:insideV w:val="single" w:sz="0" w:color="0B1F3A"/>
            </w:tcBorders>
          </w:tcPr>
          <w:p>
            <w:pPr>
              <w:spacing w:before="520" w:after="520"/>
              <w:jc w:val="center"/>
            </w:pPr>
            <w:r>
              <w:rPr>
                <w:rFonts w:ascii="Aptos" w:hAnsi="Aptos" w:eastAsia="Aptos"/>
                <w:b/>
                <w:color w:val="FFFFFF"/>
                <w:sz w:val="72"/>
              </w:rPr>
              <w:t>DATACELL</w:t>
            </w:r>
          </w:p>
        </w:tc>
      </w:tr>
    </w:tbl>
    <w:p>
      <w:pPr>
        <w:spacing w:before="520" w:after="140"/>
        <w:jc w:val="center"/>
      </w:pPr>
      <w:r>
        <w:rPr>
          <w:rFonts w:ascii="Aptos Display" w:hAnsi="Aptos Display" w:eastAsia="Aptos Display"/>
          <w:b/>
          <w:color w:val="0B1F3A"/>
          <w:sz w:val="42"/>
        </w:rPr>
        <w:t>INFORME DE AUDITORÍA Y ESTRATEGIA DE CALIDAD DE SOFTWARE</w:t>
      </w:r>
    </w:p>
    <w:p>
      <w:pPr>
        <w:jc w:val="center"/>
      </w:pPr>
      <w:r>
        <w:rPr>
          <w:rFonts w:ascii="Aptos" w:hAnsi="Aptos" w:eastAsia="Aptos"/>
          <w:color w:val="155EEF"/>
          <w:sz w:val="26"/>
        </w:rPr>
        <w:t>Sistema web de gestión comercial, compras e inventario</w:t>
      </w:r>
    </w:p>
    <w:p>
      <w:pPr>
        <w:spacing w:after="4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30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Información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Curso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Calidad y Pruebas de Software · ISOF1401A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Docente</w:t>
            </w:r>
          </w:p>
        </w:tc>
        <w:tc>
          <w:tcPr>
            <w:tcW w:type="dxa" w:w="703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No consignado en la fuente proporcionada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Grupo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No consignado en la fuente proporcionada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Ciclo académico</w:t>
            </w:r>
          </w:p>
        </w:tc>
        <w:tc>
          <w:tcPr>
            <w:tcW w:type="dxa" w:w="703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VIII ciclo · periodo 2026-II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Título del proyecto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9"/>
                <w:lang w:val="es-PE"/>
              </w:rPr>
              <w:t>DataCell: gestión integral para una tienda de accesorios tecnológicos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Integrantes registrados en el proyecto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Gerardo Favian Palacios Bazan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Joel Alexander Diaz Gutierrez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Luis Fabricio Durand Durand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Marlon Mario Piscoya Jayme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Roberto Jim Marlo Garcia Esquen</w:t>
      </w:r>
    </w:p>
    <w:p/>
    <w:p>
      <w:pPr>
        <w:jc w:val="center"/>
      </w:pPr>
      <w:r>
        <w:rPr>
          <w:rFonts w:ascii="Aptos" w:hAnsi="Aptos" w:eastAsia="Aptos"/>
          <w:b/>
          <w:color w:val="526173"/>
          <w:sz w:val="20"/>
        </w:rPr>
        <w:t>Lima, Perú · 10 de septiembre de 2026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lang w:val="es-PE"/>
        </w:rPr>
        <w:t>Resumen ejecutivo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CFDF3"/>
            <w:tcBorders>
              <w:top w:val="single" w:sz="10" w:color="15803D"/>
              <w:left w:val="single" w:sz="10" w:color="15803D"/>
              <w:bottom w:val="single" w:sz="10" w:color="15803D"/>
              <w:right w:val="single" w:sz="10" w:color="15803D"/>
              <w:insideH w:val="single" w:sz="10" w:color="15803D"/>
              <w:insideV w:val="single" w:sz="10" w:color="15803D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5803D"/>
                <w:sz w:val="18"/>
                <w:lang w:val="es-PE"/>
              </w:rPr>
              <w:t xml:space="preserve">Resultado general.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DataCell tiene una base funcional coherente y una arquitectura viable para un proyecto académico. La auditoría detectó una concentración excesiva de responsabilidades, brechas de accesibilidad y validaciones de negocio incompletas. Se aplicó una refactorización local, se corrigieron fallos transaccionales y se incorporó una cadena automática de calidad.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232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Estado auditado</w:t>
            </w:r>
          </w:p>
        </w:tc>
        <w:tc>
          <w:tcPr>
            <w:tcW w:type="dxa" w:w="5386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Funcionalidad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Operativa con correcciones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Los flujos de venta, compras, cotización, recepción y reclamos tienen validación explícita.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Mantenibilidad</w:t>
            </w:r>
          </w:p>
        </w:tc>
        <w:tc>
          <w:tcPr>
            <w:tcW w:type="dxa" w:w="23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Mejorada</w:t>
            </w:r>
          </w:p>
        </w:tc>
        <w:tc>
          <w:tcPr>
            <w:tcW w:type="dxa" w:w="538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frontend y los comandos del backend se separaron por dominio y responsabilidad.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Seguridad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Base sólida; refuerzo pendiente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scrypt, cookies seguras, mismo origen, transacciones y RLS; faltan limitación de intentos y pruebas dinámicas.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Accesibilidad</w:t>
            </w:r>
          </w:p>
        </w:tc>
        <w:tc>
          <w:tcPr>
            <w:tcW w:type="dxa" w:w="23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AA parcial validada</w:t>
            </w:r>
          </w:p>
        </w:tc>
        <w:tc>
          <w:tcPr>
            <w:tcW w:type="dxa" w:w="538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Contraste, foco, teclado, etiquetas y adaptación móvil revisados; falta auditoría automatizada completa.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Pruebas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47 pruebas / 14 archivos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Cobertura base de 49,76 % de sentencias; todavía insuficiente para liberar sin riesgo.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Entrega</w:t>
            </w:r>
          </w:p>
        </w:tc>
        <w:tc>
          <w:tcPr>
            <w:tcW w:type="dxa" w:w="23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Sin commit</w:t>
            </w:r>
          </w:p>
        </w:tc>
        <w:tc>
          <w:tcPr>
            <w:tcW w:type="dxa" w:w="538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Todos los cambios se mantienen en el equipo local hasta autorización expresa.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La expresión “todas las buenas prácticas” se interpreta de manera profesional como la selección trazable de estándares aplicables al contexto y al riesgo. Aplicar indiscriminadamente todos los marcos existentes sería contradictorio, costoso y no verificable. La referencia adoptada combina ISO/IEC 25010, ISO/IEC 12207, IEEE 29148, WCAG, OWASP, BDD, pruebas automatizadas y mejora continua, en línea con el temario del curso.</w:t>
      </w:r>
    </w:p>
    <w:p>
      <w:pPr>
        <w:pStyle w:val="Heading2"/>
        <w:keepNext/>
        <w:spacing w:before="140" w:after="100"/>
      </w:pPr>
      <w:r>
        <w:rPr>
          <w:lang w:val="es-PE"/>
        </w:rPr>
        <w:t>Mapa del documento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1.  Portada e introducción.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2.  Descripción, alcance, usuarios, arquitectura, tecnologías y jerarquía de archivos.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3.  Requisitos funcionales y no funcionales.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4.  Historias de usuario y criterios de aceptación BDD.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5.  Diseño de clases, paquetes, casos de uso y base de datos.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6.  Estrategia de calidad, herramienta, riesgos y contribución al ODS 10.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7.  Anexos de auditoría, trazabilidad, casos de prueba, métricas y backlog priorizado.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lang w:val="es-PE"/>
        </w:rPr>
        <w:t>2. Introducción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DataCell busca resolver la fragmentación operativa de una tienda de accesorios tecnológicos: ventas, pagos, productos, existencias, solicitudes de compra, cotizaciones, recepciones y reclamos suelen registrarse en medios separados o de forma manual. Esa dispersión incrementa errores de stock, duplicidad de información, pérdida de trazabilidad y demoras para atender a clientes o reponer productos.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El problema es importante porque una decisión equivocada —vender sin stock, recibir cantidades superiores a las compradas o vincular un reclamo a una operación inexistente— afecta ingresos, confianza y continuidad del negocio. DataCell centraliza estos procesos, define permisos según el rol y conserva relaciones entre documentos comerciales e inventario. La calidad no se limita a que la pantalla “funcione”: incluye exactitud de datos, seguridad, facilidad de uso, accesibilidad, desempeño, mantenibilidad y evidencia de prueba.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La relación con el Objetivo de Desarrollo Sostenible 10 (ODS 10: reducción de las desigualdades) es habilitadora. Una interfaz clara, adaptable, operable con teclado, con contraste suficiente y lenguaje comprensible reduce barreras para trabajadores con discapacidad visual o motriz, personas con baja alfabetización digital y equipos pequeños que no pueden costear sistemas empresariales complejos. El beneficio debe verificarse con usuarios reales; por ello, el proyecto incorpora criterios de accesibilidad y métricas de uso, no solo una declaración de intención.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Este informe documenta el estado del software, los cambios locales aplicados, los requisitos verificables, el diseño, la estrategia de pruebas, los riesgos y el plan de mejora. La auditoría se realizó sobre el código y los datos disponibles; no constituye una certificación ISO ni una prueba de producción.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F"/>
            <w:tcBorders>
              <w:top w:val="single" w:sz="10" w:color="155EEF"/>
              <w:left w:val="single" w:sz="10" w:color="155EEF"/>
              <w:bottom w:val="single" w:sz="10" w:color="155EEF"/>
              <w:right w:val="single" w:sz="10" w:color="155EEF"/>
              <w:insideH w:val="single" w:sz="10" w:color="155EEF"/>
              <w:insideV w:val="single" w:sz="10" w:color="155EE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55EEF"/>
                <w:sz w:val="18"/>
                <w:lang w:val="es-PE"/>
              </w:rPr>
              <w:t xml:space="preserve">Principio rector.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Cada requisito debe poder rastrearse hasta una historia, criterios de aceptación y evidencia de prueba; cada defecto debe asociarse con riesgo, responsable y decisión de cierre.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lang w:val="es-PE"/>
        </w:rPr>
        <w:t>3. Descripción del proyecto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DataCell es una aplicación web interna orientada a la operación diaria de una tienda de accesorios para teléfonos y equipos tecnológicos. Presenta un panel de resumen y módulos diferenciados por rol para consultar catálogos, registrar ventas y pagos, gestionar reclamos, preparar compras, solicitar cotizaciones y registrar recepciones que actualizan el inventario.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37907"/>
            <wp:docPr id="1" name="Picture 1" descr="Diagrama de flujo: usuario y navegador se comunican por HTTPS con el frontend React; este envía JSON a una función de Netlify que valida sesión y comandos, y consulta PostgreSQL mediante transacciones." title="Figura 1. Arquitectura lógica y flujo de comunicación de DataCel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comunic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/>
          <w:color w:val="526173"/>
          <w:sz w:val="17"/>
        </w:rPr>
        <w:t>Figura 1. Arquitectura lógica y flujo de comunicación de DataCell.</w:t>
      </w:r>
    </w:p>
    <w:p>
      <w:pPr>
        <w:pStyle w:val="Heading2"/>
        <w:keepNext/>
        <w:spacing w:before="140" w:after="100"/>
      </w:pPr>
      <w:r>
        <w:rPr>
          <w:lang w:val="es-PE"/>
        </w:rPr>
        <w:t>3.1 Problema identificado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Información comercial distribuida y difícil de conciliar.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Riesgo de vender unidades que ya no están disponibles por cambios concurrentes de stock.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Poca trazabilidad entre solicitud, compra, recepción y movimiento de inventario.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Errores por controles con límites incorrectos, datos inválidos o referencias inexistentes.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Dificultad para mantener un frontend y un backend concentrados en archivos extensos.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Barreras de acceso si formularios, navegación, estados y contraste no siguen convenciones universales.</w:t>
      </w:r>
    </w:p>
    <w:p>
      <w:pPr>
        <w:pStyle w:val="Heading2"/>
        <w:keepNext/>
        <w:spacing w:before="140" w:after="100"/>
      </w:pPr>
      <w:r>
        <w:rPr>
          <w:lang w:val="es-PE"/>
        </w:rPr>
        <w:t>3.2 Usuarios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7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459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Necesidad principal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Principal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Personal interno: administrador, cajero, almacén y asistente de compras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Ejecutar operaciones confiables con el mínimo de pasos y solo con los permisos correspondientes.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Secundario</w:t>
            </w:r>
          </w:p>
        </w:tc>
        <w:tc>
          <w:tcPr>
            <w:tcW w:type="dxa" w:w="345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Propietario o responsable de la tienda</w:t>
            </w:r>
          </w:p>
        </w:tc>
        <w:tc>
          <w:tcPr>
            <w:tcW w:type="dxa" w:w="459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Consultar indicadores y tomar decisiones de reposición, ventas y atención.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Indirecto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Cliente final y proveedor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Recibir atención y documentos consistentes; sus datos son gestionados por personal autorizado.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3.3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17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Dentro del alcance</w:t>
            </w:r>
          </w:p>
        </w:tc>
        <w:tc>
          <w:tcPr>
            <w:tcW w:type="dxa" w:w="317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Fuera del alcance actual</w:t>
            </w:r>
          </w:p>
        </w:tc>
        <w:tc>
          <w:tcPr>
            <w:tcW w:type="dxa" w:w="317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Funcionalidades futuras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Autenticación y sesión por rol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Registro público de usuarios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Recuperación de contraseña y MFA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Panel, búsqueda y catálogos de consulta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Comercio electrónico público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Panel analítico y exportación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Venta, pago y descuento de stock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Facturación electrónica SUNAT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Integración SUNAT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Reclamos vinculables a cliente, venta o producto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CRM omnicanal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Notificaciones y SLA de reclamos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Solicitud, cotización, compra y recepción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Portal externo de proveedores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Aprobaciones multinivel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Movimientos de inventario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Operación fuera de línea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Conteo físico, lotes y transferencias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3.4 Tecnologías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294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4876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Uso y criterio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Frontend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React 19 + TypeScript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Componentes declarativos, tipos compartidos y separación por dominio.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Navegación</w:t>
            </w:r>
          </w:p>
        </w:tc>
        <w:tc>
          <w:tcPr>
            <w:tcW w:type="dxa" w:w="294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React Router 7</w:t>
            </w:r>
          </w:p>
        </w:tc>
        <w:tc>
          <w:tcPr>
            <w:tcW w:type="dxa" w:w="48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Rutas, estados activos y acceso condicionado por rol.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Construcción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Vite 8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Servidor de desarrollo y bundle optimizado.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Backend</w:t>
            </w:r>
          </w:p>
        </w:tc>
        <w:tc>
          <w:tcPr>
            <w:tcW w:type="dxa" w:w="294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Netlify Functions + TypeScript</w:t>
            </w:r>
          </w:p>
        </w:tc>
        <w:tc>
          <w:tcPr>
            <w:tcW w:type="dxa" w:w="48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Punto de entrada HTTP y comandos de negocio sin servidor dedicado.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Datos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PostgreSQL administrado mediante Supabase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Relaciones, restricciones, índices, transacciones y RLS.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Pruebas</w:t>
            </w:r>
          </w:p>
        </w:tc>
        <w:tc>
          <w:tcPr>
            <w:tcW w:type="dxa" w:w="294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Vitest + Testing Library</w:t>
            </w:r>
          </w:p>
        </w:tc>
        <w:tc>
          <w:tcPr>
            <w:tcW w:type="dxa" w:w="48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Pruebas unitarias y de componentes con comportamiento observable.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Calidad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ESLint, jsx-a11y, Prettier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Reglas estáticas, accesibilidad y formato reproducible.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Integración</w:t>
            </w:r>
          </w:p>
        </w:tc>
        <w:tc>
          <w:tcPr>
            <w:tcW w:type="dxa" w:w="294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GitHub Actions</w:t>
            </w:r>
          </w:p>
        </w:tc>
        <w:tc>
          <w:tcPr>
            <w:tcW w:type="dxa" w:w="48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Verificación automática de tipos, lint, pruebas, formato, build y cobertura.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3.5 Jerarquía de archivos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19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532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web/src/App.tsx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Composición mínima de rutas y autenticación.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web/src/layouts/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Estructura común, navegación, menú móvil y control de acceso.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web/src/pages/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Pantallas generales: acceso, resumen y búsqueda.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web/src/features/sales/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Flujo de nueva venta.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web/src/features/warehouse/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Recepción de compras.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web/src/features/procurement/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Solicitudes de compra y cotizaciones.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web/src/features/claims/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Registro y consulta de reclamos.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web/src/components/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Tablas, cabeceras, estados vacíos, acciones y selección de productos.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web/src/styles/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Tokens, estilos base, componentes, distribución y responsive.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web/netlify/functions/datacell.ts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Adaptador HTTP único.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web/netlify/functions/_shared/commands/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Casos de uso backend separados por dominio.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web/netlify/functions/_shared/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Autenticación, datos, base y respuestas HTTP.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supabase/schema.sql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Modelo relacional, índices, seguridad y semillas de prueba.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.github/workflows/quality.yml</w:t>
            </w:r>
          </w:p>
        </w:tc>
        <w:tc>
          <w:tcPr>
            <w:tcW w:type="dxa" w:w="532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Puerta automática de calidad.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4. Requisitos</w:t>
      </w:r>
    </w:p>
    <w:p>
      <w:pPr>
        <w:pStyle w:val="Heading2"/>
        <w:keepNext/>
        <w:spacing w:before="140" w:after="100"/>
      </w:pPr>
      <w:r>
        <w:rPr>
          <w:lang w:val="es-PE"/>
        </w:rPr>
        <w:t>4.1 Requisitos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13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39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RF01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permitirá iniciar y cerrar sesión con un usuario activo.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RF02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mostrará únicamente rutas y acciones autorizadas para el rol autenticado.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RF03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mostrará un resumen de ventas, pagos, stock bajo, reclamos y compras.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RF04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permitirá buscar productos y consultar clientes, proveedores, ventas y pagos.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RF05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cajero podrá registrar una venta para un cliente con uno o más productos.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RF06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impedirá vender una cantidad superior al stock confirmado en la transacción.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RF07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La venta calculará subtotal, IGV y total con redondeo monetario a dos decimales.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RF08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registrará el pago asociado a la venta y su método.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RF09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actualizará stock y registrará el movimiento de inventario de forma atómica.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RF10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cajero podrá registrar un reclamo para un cliente y, opcionalmente, relacionarlo con una venta o producto existentes.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RF11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asistente de compras podrá crear una solicitud con proveedor opcional y productos requeridos.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RF12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Una solicitud de compra no limitará la cantidad solicitada al stock actual.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RF13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asistente podrá crear una solicitud de cotización dirigida a proveedores disponibles.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RF14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rechazará proveedores o productos inexistentes sin guardar información parcial.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RF15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Almacén podrá registrar la recepción total o parcial de una compra.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RF16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La recepción no podrá superar la cantidad pendiente por producto.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RF17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La recepción incrementará stock y generará movimientos de inventario en una transacción.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RF18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 sistema numerará los documentos de compra de manera correlativa por año de Lima.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RF19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Las listas vacías comunicarán el estado y la acción esperada sin aparentar un error.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RF20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Las respuestas de la API mantendrán un contrato JSON uniforme de éxito o error.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4.2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1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Atributo</w:t>
            </w:r>
          </w:p>
        </w:tc>
        <w:tc>
          <w:tcPr>
            <w:tcW w:type="dxa" w:w="6576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Requisito medible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RNF01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Usabilidad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Las tareas frecuentes deben usar términos del negocio, controles visibles y retroalimentación comprensible.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RNF02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Usabilidad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Una venta estándar debe poder registrarse sin consultar documentación externa.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Rendimiento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Las operaciones interactivas objetivo responderán en ≤ 2 s en p95 bajo carga normal acordada.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RNF04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Rendimiento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Las listas deberán paginarse antes de superar 100 registros por respuesta.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Seguridad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Las contraseñas se almacenarán con un algoritmo derivativo seguro y nunca se registrarán en logs.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RNF06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Seguridad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 sesión usará cookie HttpOnly, Secure, SameSite y expiración definida.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Seguridad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Las operaciones de escritura aceptarán solo solicitudes del mismo origen y entrada validada.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RNF08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Seguridad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 aplicará mínimo privilegio; el navegador no accederá directamente a las tablas.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RNF09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Accesibilidad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Las pantallas objetivo cumplirán WCAG nivel AA en contraste, teclado, foco, nombre y estado.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RNF10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Accesibilidad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Los objetivos táctiles principales tendrán al menos 44 × 44 px y respetarán reducción de movimiento.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RNF11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Compatibilidad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 interfaz será utilizable desde 390 px de ancho y navegadores modernos soportados.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RNF12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Fiabilidad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Venta y recepción serán atómicas: ante un fallo no habrá documento, stock ni movimiento parcial.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RNF13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Mantenibilidad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Los módulos no concentrarán dominios independientes en un único archivo monolítico.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RNF14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Mantenibilidad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Cada cambio deberá superar tipos, lint, pruebas, formato y build antes de integrarse.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Observabilidad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Los errores productivos deberán incluir identificador de correlación sin exponer datos sensibles.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RNF16</w:t>
            </w:r>
          </w:p>
        </w:tc>
        <w:tc>
          <w:tcPr>
            <w:tcW w:type="dxa" w:w="181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Privacidad</w:t>
            </w:r>
          </w:p>
        </w:tc>
        <w:tc>
          <w:tcPr>
            <w:tcW w:type="dxa" w:w="657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Los datos personales se conservarán solo durante el periodo definido por la organización.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5. Historias de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13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39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Historia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HU01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trabajador autorizado, quiero iniciar sesión para acceder solo a las funciones de mi rol.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HU02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responsable de tienda, quiero consultar el resumen para identificar rápidamente ventas, pagos y stock bajo.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HU03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cajero, quiero registrar una venta con su pago para atender al cliente y descontar el inventario correctamente.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HU04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cajero, quiero registrar un reclamo vinculado al cliente y a su operación para darle seguimiento.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HU05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asistente de compras, quiero crear una solicitud con cantidades necesarias para iniciar la reposición.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HU06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asistente de compras, quiero enviar una solicitud de cotización a varios proveedores para comparar ofertas.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HU07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encargado de almacén, quiero registrar una recepción parcial o total para actualizar existencias reales.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HU08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administrador, quiero restringir módulos por rol para reducir errores y accesos indebidos.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HU09</w:t>
            </w:r>
          </w:p>
        </w:tc>
        <w:tc>
          <w:tcPr>
            <w:tcW w:type="dxa" w:w="83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usuario con baja visión o movilidad limitada, quiero navegar con teclado y reconocer el foco para operar sin barreras evitables.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HU10</w:t>
            </w:r>
          </w:p>
        </w:tc>
        <w:tc>
          <w:tcPr>
            <w:tcW w:type="dxa" w:w="83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Como miembro del equipo de calidad, quiero ejecutar controles automáticos para detectar regresiones antes de integrar cambios.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6. Criterios de aceptación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782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Dado / Cuando / Entonces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HU01-CA01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usuario activo y credenciales válidas, cuando inicia sesión, entonces accede al resumen y recibe una cookie de sesión segura.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HU01-CA02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correo o contraseña incorrectos, cuando intenta iniciar sesión, entonces permanece en acceso y recibe un mensaje que no revela qué dato falló.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HU02-CA01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que existen datos, cuando se abre el resumen, entonces se muestran indicadores y registros recientes con formato comprensible.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HU02-CA02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que no existen registros, cuando se abre un bloque vacío, entonces se comunica el estado sin mostrar una tabla engañosa.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HU03-CA01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cliente, un producto con stock y un método de pago, cuando se confirma la venta, entonces se crean venta, detalle, pago y movimiento y se descuenta el stock.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HU03-CA02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que el stock cambió y ya no alcanza, cuando se confirma la venta, entonces se rechaza con conflicto y no se persiste ningún cambio parcial.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HU04-CA01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cliente existente y datos obligatorios, cuando se registra el reclamo, entonces aparece con fecha, prioridad y responsable.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HU04-CA02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Dada una venta o producto inexistente, cuando se intenta vincularlo, entonces se rechaza el reclamo y se explica el dato inválido.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HU05-CA01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uno o más productos y cantidades positivas, cuando se crea la solicitud, entonces se genera un número correlativo y total estimado.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HU05-CA02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producto con stock cero, cuando se solicita una cantidad de reposición, entonces la interfaz permite una cantidad mayor que cero.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HU06-CA01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Dados dos o más proveedores disponibles y productos válidos, cuando se crea la cotización, entonces quedan registrados todos los destinatarios.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HU06-CA02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proveedor no disponible, cuando se confirma la cotización, entonces la operación completa se rechaza y no se guarda parcialmente.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HU07-CA01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Dada una compra con saldo pendiente, cuando se recibe una cantidad válida, entonces aumenta el stock y disminuye el pendiente.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HU07-CA02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Dada una cantidad mayor al pendiente, cuando se intenta recibir, entonces el sistema la rechaza y conserva el estado previo.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HU08-CA01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cajero, cuando navega, entonces ve ventas, pagos, clientes y reclamos, pero no compras o recepciones.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HU08-CA02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acceso manual a una ruta no autorizada, cuando se evalúa el rol, entonces se redirige a una ruta permitida.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HU09-CA01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que se usa solo teclado, cuando se recorre la pantalla, entonces cada control interactivo recibe foco visible en orden lógico.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HU09-CA02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ancho de 390 px, cuando se usa cualquier formulario principal, entonces no aparece desplazamiento horizontal de página.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HU10-CA01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un cambio propuesto, cuando se ejecuta la canalización, entonces tipos, lint, pruebas, formato y build deben finalizar correctamente.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HU10-CA02</w:t>
            </w:r>
          </w:p>
        </w:tc>
        <w:tc>
          <w:tcPr>
            <w:tcW w:type="dxa" w:w="782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Dado que una prueba falla, cuando termina la canalización, entonces se bloquea la integración y se conserva evidencia del error.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7. Diseño inicial del sistema</w:t>
      </w:r>
    </w:p>
    <w:p>
      <w:pPr>
        <w:pStyle w:val="Heading2"/>
        <w:keepNext/>
        <w:spacing w:before="140" w:after="100"/>
      </w:pPr>
      <w:r>
        <w:rPr>
          <w:lang w:val="es-PE"/>
        </w:rPr>
        <w:t>7.1 Diagrama de clases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37907"/>
            <wp:docPr id="2" name="Picture 2" descr="Clases principales: Usuario y Cliente relacionados con Venta; Venta con DetalleVenta y Pago; Producto con DetalleVenta; SolicitudCompra origina Compra, Compra recibe Recepción y esta genera Movimiento." title="Figura 2. Diagrama conceptual de clases del domin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/>
          <w:color w:val="526173"/>
          <w:sz w:val="17"/>
        </w:rPr>
        <w:t>Figura 2. Diagrama conceptual de clases del dominio.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El modelo diferencia maestros, documentos y detalles. Venta y Compra actúan como cabeceras; sus detalles resuelven relaciones de muchos productos por documento. Recepción y MovimientoInventario preservan la trazabilidad física. El diagrama es conceptual: las clases de interfaz se representan mediante módulos React y los agregados persistentes se implementan como tablas PostgreSQL.</w:t>
      </w:r>
    </w:p>
    <w:p>
      <w:pPr>
        <w:pStyle w:val="Heading2"/>
        <w:keepNext/>
        <w:spacing w:before="140" w:after="100"/>
      </w:pPr>
      <w:r>
        <w:rPr>
          <w:lang w:val="es-PE"/>
        </w:rPr>
        <w:t>7.2 Diagrama de paquetes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37907"/>
            <wp:docPr id="3" name="Picture 3" descr="Paquetes del frontend y sus dominios consumen la función backend; los comandos consultan Supabase; herramientas de calidad verifican frontend y backend." title="Figura 3. Paquetes y dirección de dependenci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paque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/>
          <w:color w:val="526173"/>
          <w:sz w:val="17"/>
        </w:rPr>
        <w:t>Figura 3. Paquetes y dirección de dependencias.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La refactorización eliminó el archivo de interfaz que concentraba rutas, formularios y tablas, y dividió los comandos backend por dominio. El objetivo no es crear capas ceremoniales, sino hacer que cada cambio tenga un lugar predecible y pueda probarse sin cargar la aplicación completa.</w:t>
      </w:r>
    </w:p>
    <w:p>
      <w:pPr>
        <w:pStyle w:val="Heading2"/>
        <w:keepNext/>
        <w:spacing w:before="140" w:after="100"/>
      </w:pPr>
      <w:r>
        <w:rPr>
          <w:lang w:val="es-PE"/>
        </w:rPr>
        <w:t>7.3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37907"/>
            <wp:docPr id="4" name="Picture 4" descr="Actores Administrador, Cajero, Almacén y Asistente de compras conectados con autenticación, consulta, ventas, reclamos, compras, recepciones, catálogos y auditoría." title="Figura 4. Casos de uso visibles por r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/>
          <w:color w:val="526173"/>
          <w:sz w:val="17"/>
        </w:rPr>
        <w:t>Figura 4. Casos de uso visibles por 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D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  <w:insideH w:val="single" w:sz="10" w:color="B45309"/>
              <w:insideV w:val="single" w:sz="10" w:color="B45309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5309"/>
                <w:sz w:val="18"/>
                <w:lang w:val="es-PE"/>
              </w:rPr>
              <w:t xml:space="preserve">Control doble.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Ocultar una opción en el menú mejora la experiencia, pero no es una barrera de seguridad. La autorización debe verificarse también en el backend antes de ejecutar cada comando.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8. Diseño de base de datos</w:t>
      </w:r>
    </w:p>
    <w:p>
      <w:pPr>
        <w:pStyle w:val="Heading2"/>
        <w:keepNext/>
        <w:spacing w:before="140" w:after="100"/>
      </w:pPr>
      <w:r>
        <w:rPr>
          <w:lang w:val="es-PE"/>
        </w:rPr>
        <w:t>8.1 Modelo relacional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37907"/>
            <wp:docPr id="5" name="Picture 5" descr="Modelo principal de usuarios, clientes, productos, ventas, detalles, pagos, solicitudes, compras, recepciones y movimientos con claves primarias y foráneas." title="Figura 5. Modelo relacional princip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relac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/>
          <w:color w:val="526173"/>
          <w:sz w:val="17"/>
        </w:rPr>
        <w:t>Figura 5. Modelo relacional principal.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La base contiene 21 tablas. Se usan claves foráneas con reglas de borrado restrictivas o en cascada según la dependencia, índices para búsquedas y reportes frecuentes, restricciones CHECK, unicidad y Row Level Security (RLS). Los roles anónimo y autenticado no reciben acceso directo por la Data API: el servidor concentra las operaciones.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442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Tablas</w:t>
            </w:r>
          </w:p>
        </w:tc>
        <w:tc>
          <w:tcPr>
            <w:tcW w:type="dxa" w:w="334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Propósito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Identidad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roles, usuarios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Autenticación, activación y autorización por rol.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Maestros</w:t>
            </w:r>
          </w:p>
        </w:tc>
        <w:tc>
          <w:tcPr>
            <w:tcW w:type="dxa" w:w="442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clientes, proveedores, categorías, marcas, productos</w:t>
            </w:r>
          </w:p>
        </w:tc>
        <w:tc>
          <w:tcPr>
            <w:tcW w:type="dxa" w:w="334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Datos reutilizables para operaciones.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Venta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ventas, detalles_venta, pagos, reclamos_cliente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Ciclo comercial y atención posterior.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Abastecimiento</w:t>
            </w:r>
          </w:p>
        </w:tc>
        <w:tc>
          <w:tcPr>
            <w:tcW w:type="dxa" w:w="442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solicitudes_compra, detalles_solicitud_compra, solicitudes_cotizacion, detalles_solicitud_cotizacion, solicitudes_cotizacion_proveedores</w:t>
            </w:r>
          </w:p>
        </w:tc>
        <w:tc>
          <w:tcPr>
            <w:tcW w:type="dxa" w:w="334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Necesidad de compra y comunicación con proveedores.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Compra y almacén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compras, detalles_compra, recepciones, detalles_recepcion, movimientos_inventario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Orden, ingreso físico y trazabilidad del stock.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lang w:val="es-PE"/>
        </w:rPr>
        <w:t>Controles de integridad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Transacciones serializables para venta y recepción; rollback total ante cualquier error.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Bloqueo de filas de producto durante modificaciones críticas de inventario.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Cantidades positivas, importes no negativos y estados dentro de catálogos controlados.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Unicidad para códigos, correos, documentos y números de operación.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Índices en claves de consulta, fechas y relaciones frecuentes.</w:t>
      </w:r>
    </w:p>
    <w:p>
      <w:pPr>
        <w:pStyle w:val="Heading2"/>
        <w:keepNext/>
        <w:spacing w:before="140" w:after="100"/>
      </w:pPr>
      <w:r>
        <w:rPr>
          <w:lang w:val="es-PE"/>
        </w:rPr>
        <w:t>8.2 Datos de prueba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Las entidades maestras principales cumplen al menos cinco registros locales. Los datos son ficticios y no deben reutilizarse como credenciales o datos productivos.</w:t>
      </w:r>
    </w:p>
    <w:p>
      <w:r>
        <w:br w:type="page"/>
      </w:r>
    </w:p>
    <w:p>
      <w:pPr>
        <w:pStyle w:val="Heading3"/>
        <w:keepNext/>
        <w:spacing w:before="140" w:after="100"/>
      </w:pPr>
      <w:r>
        <w:rPr>
          <w:lang w:val="es-PE"/>
        </w:rPr>
        <w:t>Usuarios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40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Nombres</w:t>
            </w:r>
          </w:p>
        </w:tc>
        <w:tc>
          <w:tcPr>
            <w:tcW w:type="dxa" w:w="408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Correo</w:t>
            </w:r>
          </w:p>
        </w:tc>
        <w:tc>
          <w:tcPr>
            <w:tcW w:type="dxa" w:w="204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Rol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Gerardo Favian Palacios Bazan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gerardofavianpalaciosbazan@gmail.com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Administrador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Joel Alexander Diaz Gutierrez</w:t>
            </w:r>
          </w:p>
        </w:tc>
        <w:tc>
          <w:tcPr>
            <w:tcW w:type="dxa" w:w="408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joelalexanderdiazgutierrez@gmail.com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Asistente de compras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Luis Fabricio Durand Durand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luisfabricioduranddurand@gmail.com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Almacén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Marlon Mario Piscoya Jayme</w:t>
            </w:r>
          </w:p>
        </w:tc>
        <w:tc>
          <w:tcPr>
            <w:tcW w:type="dxa" w:w="408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marlonmariopiscoyajayme@gmail.com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Cajero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Roberto Jim Marlo Garcia Esquen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robertojimmarlogarciaesquen@gmail.com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Administrador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lang w:val="es-PE"/>
        </w:rPr>
        <w:t>Productos representativos (5 de 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96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175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Precio venta</w:t>
            </w:r>
          </w:p>
        </w:tc>
        <w:tc>
          <w:tcPr>
            <w:tcW w:type="dxa" w:w="221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Stock / mínimo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PROD-001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Funda iPhone 14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S/ 25,00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120 / 15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PROD-002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Cargador USB-C 20W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S/ 30,00</w:t>
            </w:r>
          </w:p>
        </w:tc>
        <w:tc>
          <w:tcPr>
            <w:tcW w:type="dxa" w:w="221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85 / 10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PROD-003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Audífonos Bluetooth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S/ 45,00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60 / 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PROD-004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Mica templada 9H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S/ 12,00</w:t>
            </w:r>
          </w:p>
        </w:tc>
        <w:tc>
          <w:tcPr>
            <w:tcW w:type="dxa" w:w="221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150 / 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PROD-005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Power Bank 10000 mAh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S/ 65,00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7 / 10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lang w:val="es-PE"/>
        </w:rPr>
        <w:t>Clientes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5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49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Cliente</w:t>
            </w:r>
          </w:p>
        </w:tc>
        <w:tc>
          <w:tcPr>
            <w:tcW w:type="dxa" w:w="198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Teléfono</w:t>
            </w:r>
          </w:p>
        </w:tc>
        <w:tc>
          <w:tcPr>
            <w:tcW w:type="dxa" w:w="328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Correo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45678912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María Torres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987654321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maria.torres@mail.com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71234567</w:t>
            </w:r>
          </w:p>
        </w:tc>
        <w:tc>
          <w:tcPr>
            <w:tcW w:type="dxa" w:w="24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Luis Herrera</w:t>
            </w:r>
          </w:p>
        </w:tc>
        <w:tc>
          <w:tcPr>
            <w:tcW w:type="dxa" w:w="198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976543210</w:t>
            </w:r>
          </w:p>
        </w:tc>
        <w:tc>
          <w:tcPr>
            <w:tcW w:type="dxa" w:w="328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luis.herrera@mail.com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70011223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Camila Rojas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965432109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camila.rojas@mail.com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43098765</w:t>
            </w:r>
          </w:p>
        </w:tc>
        <w:tc>
          <w:tcPr>
            <w:tcW w:type="dxa" w:w="24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Jorge Salas</w:t>
            </w:r>
          </w:p>
        </w:tc>
        <w:tc>
          <w:tcPr>
            <w:tcW w:type="dxa" w:w="198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954321098</w:t>
            </w:r>
          </w:p>
        </w:tc>
        <w:tc>
          <w:tcPr>
            <w:tcW w:type="dxa" w:w="328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jorge.salas@mail.com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00000001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Cliente Demo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900000001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cliente.demo@example.com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lang w:val="es-PE"/>
        </w:rPr>
        <w:t>Proveedores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RUC</w:t>
            </w:r>
          </w:p>
        </w:tc>
        <w:tc>
          <w:tcPr>
            <w:tcW w:type="dxa" w:w="4706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Razón social</w:t>
            </w:r>
          </w:p>
        </w:tc>
        <w:tc>
          <w:tcPr>
            <w:tcW w:type="dxa" w:w="277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Contacto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20123456789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Tecnología Perú S.A.C.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Rosa Medina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20555111222</w:t>
            </w:r>
          </w:p>
        </w:tc>
        <w:tc>
          <w:tcPr>
            <w:tcW w:type="dxa" w:w="470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CompuSolutions S.A.C.</w:t>
            </w:r>
          </w:p>
        </w:tc>
        <w:tc>
          <w:tcPr>
            <w:tcW w:type="dxa" w:w="277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Carlos Paredes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20666777888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Importaciones Móvil E.I.R.L.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Lucía Vargas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20999999991</w:t>
            </w:r>
          </w:p>
        </w:tc>
        <w:tc>
          <w:tcPr>
            <w:tcW w:type="dxa" w:w="470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Proveedor Demo SAC</w:t>
            </w:r>
          </w:p>
        </w:tc>
        <w:tc>
          <w:tcPr>
            <w:tcW w:type="dxa" w:w="277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Contacto Demo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20444555666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Accesorios Inclusivos del Perú S.A.C.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Elena Chávez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9. Estrategia inicial de calidad</w:t>
      </w:r>
    </w:p>
    <w:p>
      <w:pPr>
        <w:pStyle w:val="Heading2"/>
        <w:keepNext/>
        <w:spacing w:before="140" w:after="100"/>
      </w:pPr>
      <w:r>
        <w:rPr>
          <w:lang w:val="es-PE"/>
        </w:rPr>
        <w:t>9.1 Objetivo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Validar que DataCell satisface los requisitos funcionales y atributos de calidad con evidencia repetible, priorizando integridad del inventario, exactitud monetaria, autorización, accesibilidad y recuperación ante fallos. La estrategia aplica prevención, detección temprana y aprendizaje mediante métricas.</w:t>
      </w:r>
    </w:p>
    <w:p>
      <w:pPr>
        <w:pStyle w:val="Heading2"/>
        <w:keepNext/>
        <w:spacing w:before="140" w:after="100"/>
      </w:pPr>
      <w:r>
        <w:rPr>
          <w:lang w:val="es-PE"/>
        </w:rPr>
        <w:t>9.2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28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Riesgo dominante</w:t>
            </w:r>
          </w:p>
        </w:tc>
        <w:tc>
          <w:tcPr>
            <w:tcW w:type="dxa" w:w="385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Cobertura objetivo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Autenticación y autorización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Acceso indebido o sesión débil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Unitarias, integración, seguridad y abuso.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Ventas y pagos</w:t>
            </w:r>
          </w:p>
        </w:tc>
        <w:tc>
          <w:tcPr>
            <w:tcW w:type="dxa" w:w="328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Stock o importes inconsistentes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Unitarias, integración DB, funcionales y concurrencia.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Compras y cotizaciones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Proveedores/productos inválidos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Unitarias, funcionales y validación de datos.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Recepciones e inventario</w:t>
            </w:r>
          </w:p>
        </w:tc>
        <w:tc>
          <w:tcPr>
            <w:tcW w:type="dxa" w:w="328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Ingreso superior al pendiente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Integración transaccional y concurrencia.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Reclamos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Referencia inválida o pérdida de trazabilidad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Unitarias, funcionales y privacidad.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Interfaz común</w:t>
            </w:r>
          </w:p>
        </w:tc>
        <w:tc>
          <w:tcPr>
            <w:tcW w:type="dxa" w:w="328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Barreras de uso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Accesibilidad, responsive, teclado y compatibilidad.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9.3 Tipos de prueba previstos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96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Finalidad</w:t>
            </w:r>
          </w:p>
        </w:tc>
        <w:tc>
          <w:tcPr>
            <w:tcW w:type="dxa" w:w="385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Herramienta / evidencia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Estática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Tipos, reglas, accesibilidad sintáctica y formato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TypeScript, ESLint, jsx-a11y, Prettier.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Unitaria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Validadores, permisos, cálculos y servicios aislados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Vitest con dobles controlados.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Componente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Formularios, tablas, selección y estados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Testing Library; consultas por rol/nombre.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Integración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Comandos con PostgreSQL y rollback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Base efímera o proyecto Supabase de pruebas.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Funcional / E2E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Flujos completos por rol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Playwright en navegador real.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Aceptación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Criterios BDD con Product Owner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Testomat + acta de aceptación.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Accesibilidad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WCAG AA y experiencia asistida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axe, Lighthouse, WAVE y prueba manual.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Rendimiento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Latencia, concurrencia y volumen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k6 o JMeter; p50, p95, error rate.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Seguridad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Sesión, autorización, inyección y exposición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OWASP WSTG/ASVS y revisión de dependencias.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Regresión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Evitar reintroducción de defectos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Suite automática en cada cambio.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9.4 Proceso de aceptación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1.  Refinar cada historia con reglas del negocio, ejemplos y datos límite.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2.  Relacionar requisito, historia, criterio y caso de prueba en la herramienta de gestión.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3.  Ejecutar la puerta automática de calidad y adjuntar evidencia.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4.  Probar el flujo en un entorno aislado con una base de datos limpia y datos controlados.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5.  Registrar defectos con severidad, pasos, resultado esperado, evidencia y versión.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6.  Reprobar los defectos corregidos y ejecutar la regresión afectada.</w:t>
      </w:r>
    </w:p>
    <w:p>
      <w:pPr>
        <w:spacing w:after="40"/>
        <w:ind w:left="425" w:hanging="312"/>
      </w:pPr>
      <w:r>
        <w:rPr>
          <w:rFonts w:ascii="Aptos" w:hAnsi="Aptos" w:eastAsia="Aptos"/>
          <w:color w:val="172033"/>
          <w:sz w:val="19"/>
          <w:lang w:val="es-PE"/>
        </w:rPr>
        <w:t>7.  El Product Owner acepta solo si no existen defectos críticos/altos abiertos y los criterios pactados pasan.</w:t>
      </w:r>
    </w:p>
    <w:p>
      <w:pPr>
        <w:pStyle w:val="Heading3"/>
        <w:keepNext/>
        <w:spacing w:before="140" w:after="100"/>
      </w:pPr>
      <w:r>
        <w:rPr>
          <w:lang w:val="es-PE"/>
        </w:rPr>
        <w:t>Definition of Done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Criterios de aceptación revisados y aprobados.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Tipos, lint, formato, pruebas y build en verde.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Cobertura del código nuevo ≥ 80 % de líneas y ramas críticas; la cobertura global no disminuye.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Sin defectos críticos o altos abiertos; medios con decisión documentada.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Teclado, foco, contraste y lector de pantalla revisados en los componentes afectados.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Documentación, datos de prueba, trazabilidad y riesgos actualizados.</w:t>
      </w:r>
    </w:p>
    <w:p>
      <w:pPr>
        <w:pStyle w:val="Heading2"/>
        <w:keepNext/>
        <w:spacing w:before="140" w:after="100"/>
      </w:pPr>
      <w:r>
        <w:rPr>
          <w:lang w:val="es-PE"/>
        </w:rPr>
        <w:t>9.5 Accesibilidad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385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396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Criterio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Contraste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Medición de colores de texto, controles y estados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≥ 4,5:1 texto normal; ≥ 3:1 texto grande/elementos UI.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Teclado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Tab, Shift+Tab, Enter, Space y Escape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Sin trampas; orden lógico; menú cierra con Escape.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Foco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Inspección visual y estilos forced-colors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Indicador visible en cada elemento interactivo.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Nombres y errores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Árbol accesible y lector de pantalla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Todo campo tiene etiqueta; errores anunciados y asociados.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Responsive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390, 768 y 1440 px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Sin pérdida de contenido ni desplazamiento horizontal de página.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Automática</w:t>
            </w:r>
          </w:p>
        </w:tc>
        <w:tc>
          <w:tcPr>
            <w:tcW w:type="dxa" w:w="385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axe/Lighthouse/WAVE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Cero violaciones críticas o serias antes de liberar.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Manual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NVDA/VoiceOver y prueba con usuarios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Tareas críticas completables sin ayuda externa.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9.6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F"/>
            <w:tcBorders>
              <w:top w:val="single" w:sz="10" w:color="155EEF"/>
              <w:left w:val="single" w:sz="10" w:color="155EEF"/>
              <w:bottom w:val="single" w:sz="10" w:color="155EEF"/>
              <w:right w:val="single" w:sz="10" w:color="155EEF"/>
              <w:insideH w:val="single" w:sz="10" w:color="155EEF"/>
              <w:insideV w:val="single" w:sz="10" w:color="155EE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55EEF"/>
                <w:sz w:val="18"/>
                <w:lang w:val="es-PE"/>
              </w:rPr>
              <w:t xml:space="preserve">Asignación propuesta.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La siguiente distribución usa los cinco integrantes encontrados en el proyecto y debe formalizarse por acuerdo del grupo; la calidad sigue siendo responsabilidad colectiva.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96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5556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Responsable propuesto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Product Owner / validación funcional</w:t>
            </w:r>
          </w:p>
        </w:tc>
        <w:tc>
          <w:tcPr>
            <w:tcW w:type="dxa" w:w="555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Gerardo Favian Palacios Bazan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Líder de proyecto / integración</w:t>
            </w:r>
          </w:p>
        </w:tc>
        <w:tc>
          <w:tcPr>
            <w:tcW w:type="dxa" w:w="555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Roberto Jim Marlo Garcia Esquen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Analista QA / trazabilidad</w:t>
            </w:r>
          </w:p>
        </w:tc>
        <w:tc>
          <w:tcPr>
            <w:tcW w:type="dxa" w:w="555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Joel Alexander Diaz Gutierrez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Desarrollo frontend / accesibilidad</w:t>
            </w:r>
          </w:p>
        </w:tc>
        <w:tc>
          <w:tcPr>
            <w:tcW w:type="dxa" w:w="555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Marlon Mario Piscoya Jayme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Desarrollo backend, datos y seguridad</w:t>
            </w:r>
          </w:p>
        </w:tc>
        <w:tc>
          <w:tcPr>
            <w:tcW w:type="dxa" w:w="555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Luis Fabricio Durand Durand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Aprobación final</w:t>
            </w:r>
          </w:p>
        </w:tc>
        <w:tc>
          <w:tcPr>
            <w:tcW w:type="dxa" w:w="555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Equipo DataCell, con conformidad del docente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10. Herramienta de gestión de pruebas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Borders>
              <w:top w:val="single" w:sz="8" w:color="155EEF"/>
              <w:left w:val="single" w:sz="8" w:color="155EEF"/>
              <w:bottom w:val="single" w:sz="8" w:color="155EEF"/>
              <w:right w:val="single" w:sz="8" w:color="155EEF"/>
              <w:insideH w:val="single" w:sz="8" w:color="155EEF"/>
              <w:insideV w:val="single" w:sz="8" w:color="155EEF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55EEF"/>
                <w:sz w:val="18"/>
              </w:rPr>
              <w:t>HERRAMIENTA PROPUESTA · TESTOMAT.IO</w:t>
            </w:r>
          </w:p>
        </w:tc>
      </w:tr>
    </w:tbl>
    <w:p>
      <w:pPr>
        <w:spacing w:after="0"/>
      </w:pP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Se propone Testomat.io porque el proyecto ya usa TypeScript, Vitest y una canalización automatizada, y necesita relacionar casos manuales, pruebas automáticas y resultados sin depender de una instalación compleja. La elección deberá validarse con las condiciones de licencia y privacidad vigentes de la institución antes de cargar datos reales.</w:t>
      </w:r>
    </w:p>
    <w:p>
      <w:pPr>
        <w:pStyle w:val="Heading2"/>
        <w:keepNext/>
        <w:spacing w:before="140" w:after="100"/>
      </w:pPr>
      <w:r>
        <w:rPr>
          <w:lang w:val="es-PE"/>
        </w:rPr>
        <w:t>Justificación y ventajas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Repositorio central de casos, suites, ejecuciones y evidencias.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Estructura compatible con historias BDD y trazabilidad por identificadores.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Separación de ambientes, ciclos y resultados por versión.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Visibilidad de cobertura, defectos vinculados y tendencias para el equipo.</w:t>
      </w:r>
    </w:p>
    <w:p>
      <w:pPr>
        <w:pStyle w:val="ListBullet"/>
        <w:spacing w:after="40"/>
        <w:ind w:left="397" w:hanging="198"/>
      </w:pPr>
      <w:r>
        <w:rPr>
          <w:rFonts w:ascii="Aptos" w:hAnsi="Aptos" w:eastAsia="Aptos"/>
          <w:color w:val="172033"/>
          <w:sz w:val="19"/>
          <w:lang w:val="es-PE"/>
        </w:rPr>
        <w:t>Posibilidad de integrar resultados automatizados de CI mediante formato JUnit u otro adaptador acordado.</w:t>
      </w:r>
    </w:p>
    <w:p>
      <w:pPr>
        <w:pStyle w:val="Heading2"/>
        <w:keepNext/>
        <w:spacing w:before="140" w:after="100"/>
      </w:pPr>
      <w:r>
        <w:rPr>
          <w:lang w:val="es-PE"/>
        </w:rPr>
        <w:t>Uso previsto durante el ciclo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25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Inicio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Crear proyecto, roles, módulos, requisitos e historias.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Diseño</w:t>
            </w:r>
          </w:p>
        </w:tc>
        <w:tc>
          <w:tcPr>
            <w:tcW w:type="dxa" w:w="72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Registrar casos, pasos, datos, precondiciones, prioridad y vínculo con criterios.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Implementación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Ejecutar suites por cambio y publicar resultados automáticos.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Aceptación</w:t>
            </w:r>
          </w:p>
        </w:tc>
        <w:tc>
          <w:tcPr>
            <w:tcW w:type="dxa" w:w="72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Crear ciclo de UAT, adjuntar evidencias y obtener conformidad.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Cierre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Exportar matriz de trazabilidad, métricas, defectos y lecciones aprendidas.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11. Riesgos iniciales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9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3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113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1020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Prob.</w:t>
            </w:r>
          </w:p>
        </w:tc>
        <w:tc>
          <w:tcPr>
            <w:tcW w:type="dxa" w:w="374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Mitigación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Venta concurrente deja stock negativo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Bloqueo de fila, transacción serializable y prueba concurrente.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R02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Cambio de alcance tardío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Backlog priorizado y validación semanal del Product Owner.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R03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Cobertura automática insuficiente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Priorizar rutas críticas y exigir cobertura del código nuevo.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R04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Autorización aplicada solo en la interfaz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Verificación de rol por comando backend y pruebas negativas.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R05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Fuerza bruta de credenciales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Rate limit, retardo progresivo, alertas y MFA futuro.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R06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Datos semilla llegan a producción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Separar entornos y rotar credenciales antes del despliegue.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R07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Esquema sin migraciones versionadas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Adoptar migraciones incrementales y prueba de rollback/restauración.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R08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Listas crecen sin paginación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Paginación servidor, índices y pruebas de volumen.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R09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Barreras para teclado/lector de pantalla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axe + revisión manual + usuarios representativos.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R10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No existe observabilidad suficiente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Logs estructurados, correlación, alertas y métricas sin PII.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R11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Cálculo tributario interpretado de forma distinta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Definir si precios incluyen IGV y aprobar ejemplos contables.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R12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Proveedores/clientes con datos inválidos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Validaciones compartidas y restricciones de formato en DB.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R13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Proveedor SaaS de pruebas no disponible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Baja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Exportación periódica; alternativa TestLink autogestionada.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R14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Dependencias vulnerables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102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Auditoría en CI, actualizaciones programadas y revisión de cambios mayores.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R15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Contribución ODS 10 no demostrada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Pruebas con usuarios, métricas de tarea y evidencia de accesibilidad.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12. Contribución al ODS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6690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Respuesta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¿Qué desigualdad aborda?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Barreras digitales que excluyen a personas con discapacidad, baja alfabetización digital o menor acceso a herramientas empresariales costosas; también la asimetría de información en pequeños comercios.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¿Quiénes son los beneficiarios?</w:t>
            </w:r>
          </w:p>
        </w:tc>
        <w:tc>
          <w:tcPr>
            <w:tcW w:type="dxa" w:w="669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Trabajadores de la tienda en distintos roles, incluidos usuarios de teclado o tecnologías de asistencia; propietarios de pequeños negocios y, de forma indirecta, clientes y proveedores.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¿Cómo contribuye el software?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7"/>
                <w:lang w:val="es-PE"/>
              </w:rPr>
              <w:t>Centraliza información, reduce trabajo manual, usa lenguaje claro, conserva trazabilidad y adopta controles de accesibilidad y responsive que amplían la posibilidad de uso autónomo.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Indicadores de impacto propuestos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408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268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Línea base</w:t>
            </w:r>
          </w:p>
        </w:tc>
        <w:tc>
          <w:tcPr>
            <w:tcW w:type="dxa" w:w="317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Meta inicial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Tasa de finalización de venta por teclado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Por medir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≥ 95 % sin asistencia.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Errores de accesibilidad críticos/serios</w:t>
            </w:r>
          </w:p>
        </w:tc>
        <w:tc>
          <w:tcPr>
            <w:tcW w:type="dxa" w:w="226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No automatizado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0 por liberación.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Tiempo mediano de registro de venta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Por medir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≤ 2 min con usuarios entrenados.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Errores de inventario atribuibles al sistema</w:t>
            </w:r>
          </w:p>
        </w:tc>
        <w:tc>
          <w:tcPr>
            <w:tcW w:type="dxa" w:w="2268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Por medir</w:t>
            </w:r>
          </w:p>
        </w:tc>
        <w:tc>
          <w:tcPr>
            <w:tcW w:type="dxa" w:w="317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0 críticos; tendencia decreciente.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Satisfacción de usuarios internos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Por medir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≥ 4/5.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D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  <w:insideH w:val="single" w:sz="10" w:color="B45309"/>
              <w:insideV w:val="single" w:sz="10" w:color="B45309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5309"/>
                <w:sz w:val="18"/>
                <w:lang w:val="es-PE"/>
              </w:rPr>
              <w:t xml:space="preserve">Límite de la afirmación.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La accesibilidad técnica favorece la inclusión, pero el impacto en el ODS 10 debe demostrarse con evidencia de usuarios y tratamiento responsable de datos.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Anexo A. Hallazgos de auditoría y cambios locales</w:t>
      </w:r>
    </w:p>
    <w:p>
      <w:pPr>
        <w:pStyle w:val="Heading2"/>
        <w:keepNext/>
        <w:spacing w:before="140" w:after="100"/>
      </w:pPr>
      <w:r>
        <w:rPr>
          <w:lang w:val="es-PE"/>
        </w:rPr>
        <w:t>Cambios aplicados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850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13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Severidad</w:t>
            </w:r>
          </w:p>
        </w:tc>
        <w:tc>
          <w:tcPr>
            <w:tcW w:type="dxa" w:w="340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413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Tratamiento aplicado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AC-01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Crítico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La cantidad de compra/cotización estaba limitada por el stock actual.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El límite solo se usa en venta; compra y cotización aceptan necesidad real.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AC-02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Una venta podía ajustar silenciosamente la cantidad ante cambio de stock.</w:t>
            </w:r>
          </w:p>
        </w:tc>
        <w:tc>
          <w:tcPr>
            <w:tcW w:type="dxa" w:w="413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Se rechaza atómicamente con conflicto; el usuario debe revisar.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AC-03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Productos inexistentes podían omitirse sin explicar el error.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Validación estricta y rechazo de toda la operación.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AC-04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Frontend y comandos backend concentraban múltiples dominios.</w:t>
            </w:r>
          </w:p>
        </w:tc>
        <w:tc>
          <w:tcPr>
            <w:tcW w:type="dxa" w:w="413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Separación por páginas, componentes, estilos y comandos de negocio.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AC-05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Fecha local podía desplazarse al convertir desde UTC.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Cálculo de fecha y año en zona America/Lima.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AC-06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Proveedor inválido podía persistirse como nulo.</w:t>
            </w:r>
          </w:p>
        </w:tc>
        <w:tc>
          <w:tcPr>
            <w:tcW w:type="dxa" w:w="413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Referencia inválida rechazada explícitamente.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AC-07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Reclamo podía perder silenciosamente una referencia inválida.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Venta/producto inexistente provoca rechazo y no guarda.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AC-08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Foco, etiquetas, menú móvil y tablas tenían brechas.</w:t>
            </w:r>
          </w:p>
        </w:tc>
        <w:tc>
          <w:tcPr>
            <w:tcW w:type="dxa" w:w="413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Skip link, foco visible, ARIA, captions, scope y estados anunciables.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AC-09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Medio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Paleta secundaria podía perder contraste.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Tokens accesibles y contrastes medidos de 5,57:1 a 14,14:1.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AC-10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Alto</w:t>
            </w:r>
          </w:p>
        </w:tc>
        <w:tc>
          <w:tcPr>
            <w:tcW w:type="dxa" w:w="340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Solo existían dos pruebas y no había puerta de calidad.</w:t>
            </w:r>
          </w:p>
        </w:tc>
        <w:tc>
          <w:tcPr>
            <w:tcW w:type="dxa" w:w="413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47 pruebas, lint, formato, cobertura, build y CI reproducible.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Hallazgos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6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5216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204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Fecha límite lógica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Crítico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Probar autorización backend para cada comando y cada rol.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piloto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HP-02</w:t>
            </w:r>
          </w:p>
        </w:tc>
        <w:tc>
          <w:tcPr>
            <w:tcW w:type="dxa" w:w="136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Alto</w:t>
            </w:r>
          </w:p>
        </w:tc>
        <w:tc>
          <w:tcPr>
            <w:tcW w:type="dxa" w:w="521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Pruebas de integración con PostgreSQL real y concurrencia.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piloto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Alto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Rate limiting, bloqueo/alerta y política de intentos de acceso.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Internet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HP-04</w:t>
            </w:r>
          </w:p>
        </w:tc>
        <w:tc>
          <w:tcPr>
            <w:tcW w:type="dxa" w:w="136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Alto</w:t>
            </w:r>
          </w:p>
        </w:tc>
        <w:tc>
          <w:tcPr>
            <w:tcW w:type="dxa" w:w="521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Migraciones versionadas, backup y restauración ensayada.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producción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Alto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E2E Playwright + axe de los flujos críticos.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Siguiente iteración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HP-06</w:t>
            </w:r>
          </w:p>
        </w:tc>
        <w:tc>
          <w:tcPr>
            <w:tcW w:type="dxa" w:w="136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Medio</w:t>
            </w:r>
          </w:p>
        </w:tc>
        <w:tc>
          <w:tcPr>
            <w:tcW w:type="dxa" w:w="521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Paginación y filtros del lado servidor.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crecimiento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Medio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Logs estructurados, correlación y monitoreo sin datos personales.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producción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HP-08</w:t>
            </w:r>
          </w:p>
        </w:tc>
        <w:tc>
          <w:tcPr>
            <w:tcW w:type="dxa" w:w="136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Medio</w:t>
            </w:r>
          </w:p>
        </w:tc>
        <w:tc>
          <w:tcPr>
            <w:tcW w:type="dxa" w:w="521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Validaciones DB de RUC, correo y número de comprobante.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Siguiente migración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HP-09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Medio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Definir formalmente tratamiento de IGV y redondeo con el Product Owner.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Próximo refinamiento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HP-10</w:t>
            </w:r>
          </w:p>
        </w:tc>
        <w:tc>
          <w:tcPr>
            <w:tcW w:type="dxa" w:w="136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Medio</w:t>
            </w:r>
          </w:p>
        </w:tc>
        <w:tc>
          <w:tcPr>
            <w:tcW w:type="dxa" w:w="5216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Pruebas con tecnologías de asistencia y usuarios representativos.</w:t>
            </w:r>
          </w:p>
        </w:tc>
        <w:tc>
          <w:tcPr>
            <w:tcW w:type="dxa" w:w="204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Antes de aceptación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Anexo B. Matriz de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170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Historia</w:t>
            </w:r>
          </w:p>
        </w:tc>
        <w:tc>
          <w:tcPr>
            <w:tcW w:type="dxa" w:w="238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Criterios</w:t>
            </w:r>
          </w:p>
        </w:tc>
        <w:tc>
          <w:tcPr>
            <w:tcW w:type="dxa" w:w="3742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Evidencia / prueba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RF01–RF02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HU01, HU08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CA01–CA02; CA15–CA16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auth.test, access.test, datacell.test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RF03–RF04</w:t>
            </w:r>
          </w:p>
        </w:tc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HU02</w:t>
            </w:r>
          </w:p>
        </w:tc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CA03–CA04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data.test; E2E pendiente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RF05–RF09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CA05–CA06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SalePage.test; sales.test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RF10</w:t>
            </w:r>
          </w:p>
        </w:tc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HU04</w:t>
            </w:r>
          </w:p>
        </w:tc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CA07–CA08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claims.test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RF11–RF12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HU05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CA09–CA10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ProductLines.test; procurement.test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RF13–RF14</w:t>
            </w:r>
          </w:p>
        </w:tc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HU06</w:t>
            </w:r>
          </w:p>
        </w:tc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CA11–CA12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procurement.test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RF15–RF18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HU07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CA13–CA14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receipts.test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RF19–RF20</w:t>
            </w:r>
          </w:p>
        </w:tc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HU02, HU10</w:t>
            </w:r>
          </w:p>
        </w:tc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CA04; CA19–CA20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DataTable.test; http.test; api.test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RNF09–RNF11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HU09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CA17–CA18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jsx-a11y + revisión visual; axe pendiente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RNF13–RNF14</w:t>
            </w:r>
          </w:p>
        </w:tc>
        <w:tc>
          <w:tcPr>
            <w:tcW w:type="dxa" w:w="170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HU10</w:t>
            </w:r>
          </w:p>
        </w:tc>
        <w:tc>
          <w:tcPr>
            <w:tcW w:type="dxa" w:w="238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CA19–CA20</w:t>
            </w:r>
          </w:p>
        </w:tc>
        <w:tc>
          <w:tcPr>
            <w:tcW w:type="dxa" w:w="3742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5"/>
                <w:lang w:val="es-PE"/>
              </w:rPr>
              <w:t>quality.yml y npm run quality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Anexo C. Catálogo inicial de casos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90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9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Caso</w:t>
            </w:r>
          </w:p>
        </w:tc>
        <w:tc>
          <w:tcPr>
            <w:tcW w:type="dxa" w:w="113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1757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283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CP-001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Login válido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Acceso y cookie segura.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CP-002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Login inválido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401 genérico; sin sesión.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CP-003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Rol sin acceso a comando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Pendiente integración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403 y cero cambios.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CP-004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Venta con stock suficiente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Documento, pago, movimiento y stock consistentes.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CP-005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Venta con stock insuficiente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409 y rollback total.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CP-006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Dos ventas concurrentes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Pendiente DB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Nunca stock negativo; una operación se reintenta/rechaza.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CP-007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Redondeo monetario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 parcial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Importes a dos decimales.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CP-008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Solicitud superior al stock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Cantidad permitida y guardada.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CP-009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Producto inexistente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400/404 y ninguna omisión silenciosa.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CP-010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Cotización con proveedor inactivo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Rechazo completo.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CP-011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Recepción parcial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Stock aumenta solo por recibido.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CP-012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Recepción sobre pendiente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Rechazo y rollback.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CP-013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Reclamo con referencia inválida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Rechazo con error claro.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CP-014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POST de origen ajeno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Automatizado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403.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CP-015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Teclado y foco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Manual parcial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Orden lógico y foco visible.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CP-016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Contraste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Medido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Todos los pares revisados cumplen AA.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CP-017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Móvil 390 px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Alta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Revisión visual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Sin overflow horizontal.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CP-018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Carga p95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Media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Pendiente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≤ 2 s en volumen acordado.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CP-019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Inyección SQL/XSS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Pendiente dinámica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Entrada neutralizada; salida codificada.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CP-020</w:t>
            </w:r>
          </w:p>
        </w:tc>
        <w:tc>
          <w:tcPr>
            <w:tcW w:type="dxa" w:w="289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Restauración de backup</w:t>
            </w:r>
          </w:p>
        </w:tc>
        <w:tc>
          <w:tcPr>
            <w:tcW w:type="dxa" w:w="113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Crítica</w:t>
            </w:r>
          </w:p>
        </w:tc>
        <w:tc>
          <w:tcPr>
            <w:tcW w:type="dxa" w:w="1757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Pendiente operativa</w:t>
            </w:r>
          </w:p>
        </w:tc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4"/>
                <w:lang w:val="es-PE"/>
              </w:rPr>
              <w:t>RPO/RTO alcanzados y evidencia.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Anexo D. Métricas verificadas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721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969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Pruebas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47 aprobadas en 14 archivos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Ejecución local Vitest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Cobertura de sentencias</w:t>
            </w:r>
          </w:p>
        </w:tc>
        <w:tc>
          <w:tcPr>
            <w:tcW w:type="dxa" w:w="272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49,76 %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625 totales / 311 cubiertas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Cobertura de líneas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51,05 %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570 totales / 291 cubiertas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Cobertura de funciones</w:t>
            </w:r>
          </w:p>
        </w:tc>
        <w:tc>
          <w:tcPr>
            <w:tcW w:type="dxa" w:w="272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44,32 %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185 totales / 82 cubiertas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Cobertura de ramas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48,52 %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373 totales / 181 cubiertas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Análisis estático</w:t>
            </w:r>
          </w:p>
        </w:tc>
        <w:tc>
          <w:tcPr>
            <w:tcW w:type="dxa" w:w="272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0 errores y 0 advertencias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ESLint con accesibilidad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Dependencias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0 vulnerabilidades reportadas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Auditoría de npm al instalar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Build</w:t>
            </w:r>
          </w:p>
        </w:tc>
        <w:tc>
          <w:tcPr>
            <w:tcW w:type="dxa" w:w="272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Correcto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JS 257,53 kB; 80,42 kB gzip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CSS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9,51 kB; 2,99 kB gzip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Bundle de producción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Contraste</w:t>
            </w:r>
          </w:p>
        </w:tc>
        <w:tc>
          <w:tcPr>
            <w:tcW w:type="dxa" w:w="2721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5,57:1 a 14,14:1</w:t>
            </w:r>
          </w:p>
        </w:tc>
        <w:tc>
          <w:tcPr>
            <w:tcW w:type="dxa" w:w="3969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Muestras de texto, botones, estados y navegación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Responsive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390 px y 1440 px sin overflow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Login, panel, ventas, compras, cotizaciones, reclamos y recepción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D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  <w:insideH w:val="single" w:sz="10" w:color="B45309"/>
              <w:insideV w:val="single" w:sz="10" w:color="B45309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5309"/>
                <w:sz w:val="18"/>
                <w:lang w:val="es-PE"/>
              </w:rPr>
              <w:t xml:space="preserve">Interpretación.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La suite ya detecta regresiones clave, pero una cobertura global inferior al 50 % no es suficiente para declarar el producto listo para producción. El siguiente incremento debe concentrarse en autenticación completa, layout/rutas, páginas de compras/recepciones/reclamos y pruebas contra PostgreSQL.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lang w:val="es-PE"/>
        </w:rPr>
        <w:t>Anexo E. Convenciones de interfaz y lenguaje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94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030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Aplicación en DataCell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Consistencia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Mismo patrón de título, ayuda, formulario, acciones, tabla y estado vacío.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Lenguaje del negocio</w:t>
            </w:r>
          </w:p>
        </w:tc>
        <w:tc>
          <w:tcPr>
            <w:tcW w:type="dxa" w:w="703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“Nueva venta”, “Recepción de compra”, “Solicitud de compra”; se evitan siglas no explicadas.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Acciones explícitas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Botones usan verbo + objeto: “Registrar venta”, “Crear solicitud”, “Guardar reclamo”.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Prevención de errores</w:t>
            </w:r>
          </w:p>
        </w:tc>
        <w:tc>
          <w:tcPr>
            <w:tcW w:type="dxa" w:w="703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Límites solo donde representan reglas reales; referencias inexistentes no se corrigen en silencio.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Retroalimentación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Estados de carga, error, éxito y vacío se anuncian y no dependen solo del color.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Accesibilidad</w:t>
            </w:r>
          </w:p>
        </w:tc>
        <w:tc>
          <w:tcPr>
            <w:tcW w:type="dxa" w:w="703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Skip link, foco visible, etiquetas, captions, encabezados de tabla y menú con estado.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Adaptación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Controles táctiles de 44 px, diseño móvil y respeto por reducción de movimiento.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Paleta</w:t>
            </w:r>
          </w:p>
        </w:tc>
        <w:tc>
          <w:tcPr>
            <w:tcW w:type="dxa" w:w="703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Azul marino para estructura, azul para acción, verde/ámbar/rojo para estados acompañados de texto.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lang w:val="es-PE"/>
        </w:rPr>
        <w:t>Glosario mínimo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6690"/>
            <w:vAlign w:val="center"/>
            <w:shd w:fill="0B1F3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Stock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Cantidad disponible de un producto.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Stock mínimo</w:t>
            </w:r>
          </w:p>
        </w:tc>
        <w:tc>
          <w:tcPr>
            <w:tcW w:type="dxa" w:w="669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Umbral que señala necesidad de reposición.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Solicitud de compra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Documento interno que formaliza una necesidad de abastecimiento.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Solicitud de cotización</w:t>
            </w:r>
          </w:p>
        </w:tc>
        <w:tc>
          <w:tcPr>
            <w:tcW w:type="dxa" w:w="669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Petición enviada a proveedores para obtener condiciones comerciales.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Recepción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Registro del ingreso físico de productos asociados a una compra.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Movimiento de inventario</w:t>
            </w:r>
          </w:p>
        </w:tc>
        <w:tc>
          <w:tcPr>
            <w:tcW w:type="dxa" w:w="669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Evidencia de cada variación de stock, con cantidad y valores anterior/nuevo.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IGV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Impuesto General a las Ventas; su tratamiento exacto debe acordarse con el Product Owner.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RLS</w:t>
            </w:r>
          </w:p>
        </w:tc>
        <w:tc>
          <w:tcPr>
            <w:tcW w:type="dxa" w:w="6690"/>
            <w:vAlign w:val="center"/>
            <w:shd w:fill="F4F7FB"/>
            <w:tcBorders>
              <w:top w:val="single" w:sz="6" w:color="D7E0EA"/>
              <w:left w:val="single" w:sz="6" w:color="D7E0EA"/>
              <w:bottom w:val="single" w:sz="6" w:color="D7E0EA"/>
              <w:right w:val="single" w:sz="6" w:color="D7E0EA"/>
              <w:insideH w:val="single" w:sz="6" w:color="D7E0EA"/>
              <w:insideV w:val="single" w:sz="6" w:color="D7E0EA"/>
            </w:tcBorders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color w:val="172033"/>
                <w:sz w:val="16"/>
                <w:lang w:val="es-PE"/>
              </w:rPr>
              <w:t>Seguridad a nivel de fila en PostgreSQL; limita acceso según políticas.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lang w:val="es-PE"/>
        </w:rPr>
        <w:t>Conclusión de auditoría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DataCell pasó de una implementación concentrada y con riesgos silenciosos a una base más modular, legible y verificable. Los controles locales finalizan correctamente y los defectos de mayor impacto identificados durante la revisión fueron tratados. La arquitectura actual es adecuada para continuar el proyecto académico, pero todavía no debe considerarse lista para producción.</w:t>
      </w:r>
    </w:p>
    <w:p>
      <w:pPr>
        <w:spacing w:after="120" w:line="259" w:lineRule="auto"/>
      </w:pPr>
      <w:r>
        <w:rPr>
          <w:rFonts w:ascii="Aptos" w:hAnsi="Aptos" w:eastAsia="Aptos"/>
          <w:color w:val="172033"/>
          <w:sz w:val="20"/>
          <w:lang w:val="es-PE"/>
        </w:rPr>
        <w:t>La decisión recomendada es “aprobación condicionada para la siguiente iteración”: continuar con pruebas de integración reales, autorización exhaustiva por rol, seguridad de acceso, migraciones, observabilidad, E2E y accesibilidad asistida. El documento y el código deben actualizarse juntos para preservar la trazabilidad exigida por el curso.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CFDF3"/>
            <w:tcBorders>
              <w:top w:val="single" w:sz="10" w:color="15803D"/>
              <w:left w:val="single" w:sz="10" w:color="15803D"/>
              <w:bottom w:val="single" w:sz="10" w:color="15803D"/>
              <w:right w:val="single" w:sz="10" w:color="15803D"/>
              <w:insideH w:val="single" w:sz="10" w:color="15803D"/>
              <w:insideV w:val="single" w:sz="10" w:color="15803D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5803D"/>
                <w:sz w:val="18"/>
                <w:lang w:val="es-PE"/>
              </w:rPr>
              <w:t xml:space="preserve">Estado del repositorio. </w:t>
            </w:r>
            <w:r>
              <w:rPr>
                <w:rFonts w:ascii="Aptos" w:hAnsi="Aptos" w:eastAsia="Aptos"/>
                <w:color w:val="172033"/>
                <w:sz w:val="18"/>
                <w:lang w:val="es-PE"/>
              </w:rPr>
              <w:t>Los cambios descritos se encuentran únicamente en el entorno local. No se creó ningún commit ni se publicó una versión.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261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26173"/>
        <w:sz w:val="16"/>
      </w:rPr>
      <w:t>DATACELL  /  INFORME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EE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y estrategia de calidad de DataCell</dc:title>
  <dc:subject>Calidad y Pruebas de Software · ODS 10</dc:subject>
  <dc:creator>Equipo DataCell</dc:creator>
  <cp:keywords>DataCell, calidad de software, pruebas, ISO 25010, WCAG, ODS 10</cp:keywords>
  <dc:description>Generado a partir de la inspección del repositorio local y el temario del curso.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