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</w:pPr>
      <w:r>
        <w:rPr>
          <w:rFonts w:ascii="DM Mono" w:cs="DM Mono" w:eastAsia="DM Mono" w:hAnsi="DM Mono"/>
          <w:b/>
          <w:bCs/>
          <w:color w:val="C9A84C"/>
          <w:sz w:val="20"/>
          <w:szCs w:val="20"/>
        </w:rPr>
        <w:t xml:space="preserve">PRIVATE AI OPS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F1C35"/>
          <w:sz w:val="44"/>
          <w:szCs w:val="44"/>
        </w:rPr>
        <w:t xml:space="preserve">GTM Addendum · Channel Partnership Strategy</w:t>
      </w:r>
    </w:p>
    <w:p>
      <w:pPr>
        <w:spacing w:after="6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Broward County &amp; Miami-Dade MSP Channel — Partner, Don't Compete</w:t>
      </w:r>
    </w:p>
    <w:p>
      <w:pPr>
        <w:pBdr>
          <w:bottom w:val="single" w:color="C9A84C" w:sz="10" w:space="8"/>
        </w:pBdr>
        <w:spacing w:after="500"/>
      </w:pPr>
      <w:r>
        <w:rPr>
          <w:rFonts w:ascii="DM Mono" w:cs="DM Mono" w:eastAsia="DM Mono" w:hAnsi="DM Mono"/>
          <w:color w:val="5A6472"/>
          <w:sz w:val="20"/>
          <w:szCs w:val="20"/>
        </w:rPr>
        <w:t xml:space="preserve">September 2026  |  Companion to the Private AI Ops Strategy Suite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addendum answers a specific question raised in strategy review: should Private AI Ops position itself as an “AI-forward MSP” to compete directly in the Broward/Miami managed-IT market? The assessment concluded no — the MSP category is commoditizing, carries a structurally worse margin and liability profile than the managed AI Ops model, and “AI-forward” is now parity messaging across the entire MSP channel, not a differentiator. This document operationalizes the recommended alternative: treat local MSPs as a channel-partner and referral layer, not a category to enter.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A84C" w:sz="4"/>
              <w:left w:val="single" w:color="C9A84C" w:sz="24"/>
              <w:bottom w:val="single" w:color="C9A84C" w:sz="4"/>
              <w:right w:val="single" w:color="C9A84C" w:sz="4"/>
            </w:tcBorders>
            <w:shd w:fill="F2E9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DM Mono" w:cs="DM Mono" w:eastAsia="DM Mono" w:hAnsi="DM Mono"/>
                <w:b/>
                <w:bCs/>
                <w:color w:val="0F1C35"/>
                <w:sz w:val="20"/>
                <w:szCs w:val="20"/>
              </w:rPr>
              <w:t xml:space="preserve">Strategic Anchor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Private AI Ops remains a managed AI operations firm, sold direct into privacy-sensitive verticals (law, dental/healthcare, property management, marine). Local MSPs become a secondary, capped distribution channel — not the identity of the business, and not the primary source of pipeline.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1. Why a Channel Strategy, Not a Category Pivot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Becoming an MSP means absorbing help-desk staffing, 24/7 monitoring obligations, patch/backup/security-stack liability, and the margin compression that comes with all of it. The financial model underpinning this business (~71.8% EBITDA margin at $602K Year 1 revenue) depends on staying asset-light. A literal MSP pivot trades that margin profile for a commoditizing, price-pressured category where every incumbent is already adding “AI” to its pitch.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But the instinct behind the MSP idea is directionally right: local MSPs already hold something valuable that Private AI Ops does not yet have — a warm, trusted, recurring-billing relationship with exactly the SMB base this business targets. The correct move is to rent that distribution, not build it from scratch or absorb its cost structure.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What this channel strategy is / is not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50"/>
      </w:tblGrid>
      <w:tr>
        <w:trPr>
          <w:tblHeader/>
        </w:trPr>
        <w:tc>
          <w:tcPr>
            <w:tcW w:type="dxa" w:w="16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This strategy IS</w:t>
            </w:r>
          </w:p>
        </w:tc>
        <w:tc>
          <w:tcPr>
            <w:tcW w:type="dxa" w:w="385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This strategy is NOT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Private AI Ops stays the vendor of record for AI workflow, prompts, and compliance-sensitive infrastructure.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Private AI Ops is not a subcontractor or white-label back office for an MSP's brand.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3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MSPs refer or co-sell; the client relationship and billing run through Private AI Ops.</w:t>
            </w:r>
          </w:p>
        </w:tc>
        <w:tc>
          <w:tcPr>
            <w:tcW w:type="dxa" w:w="38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MSPs do not resell Private AI Ops services under their own contract at a markup.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Scope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capped, secondary pipeline source alongside direct vertical outreach (law firms first).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The channel is not the primary GTM motion — direct vertical selling remains primary.</w:t>
            </w:r>
          </w:p>
        </w:tc>
      </w:tr>
      <w:tr>
        <w:tc>
          <w:tcPr>
            <w:tcW w:type="dxa" w:w="1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Effort</w:t>
            </w:r>
          </w:p>
        </w:tc>
        <w:tc>
          <w:tcPr>
            <w:tcW w:type="dxa" w:w="39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Founder-led relationship building with 3–6 targeted local partners.</w:t>
            </w:r>
          </w:p>
        </w:tc>
        <w:tc>
          <w:tcPr>
            <w:tcW w:type="dxa" w:w="38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Not a broad, unfocused MSP-partner mass-outreach program.</w:t>
            </w:r>
          </w:p>
        </w:tc>
      </w:tr>
    </w:tbl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2. Broward/Miami MSP Landscape — What We're Working With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South Florida managed-IT market is dense and fragmented: dozens of independent and franchise MSPs serve overlapping SMB bases across Broward and Miami-Dade, most competing on price, response time, and bundled cybersecurity — not on vertical or compliance depth. That fragmentation is exactly what makes a channel strategy viable: no single incumbent owns the relationship with law firms, dental practices, property managers, or marine operators specifically, and most have no interest in building an AI workflow practice themselves.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Nationally, 2026 industry reporting describes an MSP sector where organic growth is difficult outside the most differentiated or acquisitive players, contract sizes are under pressure, and AI/automation is being adopted broadly as a defensive differentiator — which means most local MSPs know they need an AI story and don't have the bandwidth or expertise to build one themselves. That gap is the opening.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Illustrative local partner candidates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Identified via public search — verify current ownership, decision-maker, and service scope before outreach. This is a starting list to research, not a vetted target list.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00"/>
        <w:gridCol w:w="2250"/>
      </w:tblGrid>
      <w:tr>
        <w:trPr>
          <w:tblHeader/>
        </w:trPr>
        <w:tc>
          <w:tcPr>
            <w:tcW w:type="dxa" w:w="20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Firm</w:t>
            </w:r>
          </w:p>
        </w:tc>
        <w:tc>
          <w:tcPr>
            <w:tcW w:type="dxa" w:w="51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Footprint / Notes</w:t>
            </w:r>
          </w:p>
        </w:tc>
        <w:tc>
          <w:tcPr>
            <w:tcW w:type="dxa" w:w="225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Fit Signal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ITP360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HQ Miami (Coral Gables); dispatches across Broward. Explicitly markets to downtown Fort Lauderdale legal/finance, Port Everglades marine economy, Memorial Healthcare (Hollywood/Pembroke Pines), and a property-management/trade-contractor client base.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Highest priority — overlaps all four target verticals in one relationship.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Network Computer Pros</w:t>
            </w:r>
          </w:p>
        </w:tc>
        <w:tc>
          <w:tcPr>
            <w:tcW w:type="dxa" w:w="5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23+ years in Fort Lauderdale/Broward; serves 10–400 employee businesses; 110+ reviews.</w:t>
            </w:r>
          </w:p>
        </w:tc>
        <w:tc>
          <w:tcPr>
            <w:tcW w:type="dxa" w:w="22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Broad SMB base, good volume test for referral mechanics.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Mindcore Technologies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Fort Lauderdale; named principal (verify current leadership).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Single accountable owner-operator — easier to reach a real decision-maker directly.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Corsica Technologies</w:t>
            </w:r>
          </w:p>
        </w:tc>
        <w:tc>
          <w:tcPr>
            <w:tcW w:type="dxa" w:w="5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Fort Lauderdale; already markets “AI, automation and consulting” as part of its stack.</w:t>
            </w:r>
          </w:p>
        </w:tc>
        <w:tc>
          <w:tcPr>
            <w:tcW w:type="dxa" w:w="22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Caution: may see Private AI Ops as competitive rather than complementary — qualify carefully before pitching.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CMIT Solutions of Fort Lauderdale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National franchise brand, local operator.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Scale advantage, less flexibility — test after independents.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Far Out Solutions / Tecnologia</w:t>
            </w:r>
          </w:p>
        </w:tc>
        <w:tc>
          <w:tcPr>
            <w:tcW w:type="dxa" w:w="51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Publicly caps new onboarding (~2 clients/month), signaling capacity constraints.</w:t>
            </w:r>
          </w:p>
        </w:tc>
        <w:tc>
          <w:tcPr>
            <w:tcW w:type="dxa" w:w="22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Capacity-constrained MSPs may welcome an outsourced AI Ops arm rather than build one — also may not want added scope. Small test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3. Ideal Partner Profile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every MSP is a good channel fit. Screen for these characteristics before investing founder time: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Serves 10–250 employee SMBs (matches the target client size for onboarding/retainer pricing)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Has visible presence in at least one target vertical — legal, healthcare/dental, property management, or marine/hospitality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Does not already offer a competing “AI workflow” or “managed automation” service 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Independently owned or founder-led (faster decisions, more relationship-driven than a national franchise or PE-backed platform)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Has an existing quarterly business review (QBR) or account-management cadence — this is the natural venue for a warm introduction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Client base skews toward regulated or reputation-sensitive industries, where the privilege/compliance pitch resonates with the MSP's own clients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Disqualifiers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Already selling an in-house “AI-powered” or automation product — direct competitive overlap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Large PE-backed regional/national platform with centralized sales — slow, low relationship leverage for a founder-led approach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Pure break/fix or project-only shops with no recurring retainer relationship — no natural cross-sell moment</w:t>
      </w:r>
    </w:p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4. Partnership Structures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Three structures were considered. One is recommended for launch; one is a graduated option; one is explicitly deferred.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Tier 1 — Referral (recommended for launch)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MSP makes a warm introduction when a client mentions AI, compliance concerns, or workflow pain. Private AI Ops runs the entire sales, delivery, and billing relationship directly with the client. The MSP is paid a flat, one-time referral fee upon signed onboarding — no ongoing revenue share, no involvement in delivery.</w:t>
      </w:r>
    </w:p>
    <w:p>
      <w:pPr>
        <w:spacing w:after="60" w:before="120"/>
      </w:pPr>
      <w:r>
        <w:rPr>
          <w:rFonts w:ascii="DM Mono" w:cs="DM Mono" w:eastAsia="DM Mono" w:hAnsi="DM Mono"/>
          <w:b/>
          <w:bCs/>
          <w:color w:val="5A6472"/>
          <w:sz w:val="18"/>
          <w:szCs w:val="18"/>
        </w:rPr>
        <w:t xml:space="preserve">RECOMMENDED TERMS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$750 flat referral fee, paid within 15 days of signed onboarding contract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fee for a referral that does not convert — protects margin, keeps the ask low-risk for the MSP to say yes 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Private AI Ops retains 100% of onboarding and retainer revenue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Tier 2 — Co-Sell (graduated, after 2–3 proven referrals)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MSPs willing to actively position Private AI Ops in their own QBRs and account reviews — effectively acting as a distribution arm rather than a passive referrer.</w:t>
      </w:r>
    </w:p>
    <w:p>
      <w:pPr>
        <w:spacing w:after="60" w:before="120"/>
      </w:pPr>
      <w:r>
        <w:rPr>
          <w:rFonts w:ascii="DM Mono" w:cs="DM Mono" w:eastAsia="DM Mono" w:hAnsi="DM Mono"/>
          <w:b/>
          <w:bCs/>
          <w:color w:val="5A6472"/>
          <w:sz w:val="18"/>
          <w:szCs w:val="18"/>
        </w:rPr>
        <w:t xml:space="preserve">RECOMMENDED TERMS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15% revenue share on the monthly retainer only (not onboarding), paid monthly, capped at 12 months per referred client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single co-sell partner may exceed 30% of active referred pipeline — prevents channel dependency risk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Joint one-page vertical one-pager co-branded with the MSP's logo for use in their own client conversations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Tier 3 — White-Label / Reseller (explicitly deferred)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Not recommended at launch. If an MSP resells Private AI Ops work under its own brand, three things break: (1) the client no longer knows who is actually accountable for BAA/DPA compliance language, which undermines the privilege/compliance pitch this business is built on; (2) pricing and margin control shift to the reseller; (3) the vertical playbook IP that is the long-term moat gets diluted into someone else's service catalog. Revisit only in Phase 3+, once playbooks are fully standardized and legal templates are locked.</w:t>
      </w:r>
    </w:p>
    <w:p>
      <w:r>
        <w:br w:type="page"/>
      </w:r>
    </w:p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5. The Partner Pitch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pitch to an MSP is different from the pitch to an end client. An MSP does not care about workflow outcomes in the abstract — they care about protecting their client relationship and not taking on delivery risk they don't want.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Core talking points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Your clients are already asking about AI. Most MSPs are not staffed to build a workflow/prompt/compliance practice — and building one in-house means new hires, new liability, and a slower path than referring it out.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isn't a competing IT stack. Private AI Ops doesn't touch networks, endpoints, or backups — zero overlap with your core managed-services contract.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It protects your relationship, not threatens it. If your client goes looking for an AI vendor on their own, they may find someone who also pitches managed IT. A referral partnership keeps you positioned as the trusted advisor who found them the right specialist.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Low-risk to try. No cost to refer, no revenue share unless it closes, no obligation to sell anything you're not comfortable with.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Vertical depth you don't have to build. Especially relevant if the MSP already serves legal, healthcare, or property management clients — the compliance/privilege angle (e.g., the Heppner ruling for law firms) is a specific, documentable hook their generalist stack doesn't cover.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What to avoid saying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Anything implying Private AI Ops could eventually replace parts of their IT stack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Overpromising compliance guarantees (“fully HIPAA compliant,” “guaranteed privilege protection”) — same discipline as client-facing language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Asking for exclusivity or a large minimum referral volume before any track record exists</w:t>
      </w:r>
    </w:p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6. Outreach Sequence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5300"/>
        <w:gridCol w:w="2500"/>
      </w:tblGrid>
      <w:tr>
        <w:trPr>
          <w:tblHeader/>
        </w:trPr>
        <w:tc>
          <w:tcPr>
            <w:tcW w:type="dxa" w:w="155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3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5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 Research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Verify current ownership, decision-maker, and service scope for each target (see Section 2 list). Confirm no competing AI/automation offering.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Avoid wasted outreach to disqualified or outdated targets.</w:t>
            </w:r>
          </w:p>
        </w:tc>
      </w:tr>
      <w:tr>
        <w:tc>
          <w:tcPr>
            <w:tcW w:type="dxa" w:w="15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 Warm touch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LinkedIn connection with a short, specific note referencing their client base (e.g., “saw you serve the Port Everglades marine accounts”) — no pitch yet.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Open the door without triggering a sales-defense reflex.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 Value email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Short email framing the referral opportunity: their clients are asking about AI, you handle the workflow/compliance layer, zero overlap with their stack, no cost to try.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Get a 15-minute call scheduled.</w:t>
            </w:r>
          </w:p>
        </w:tc>
      </w:tr>
      <w:tr>
        <w:tc>
          <w:tcPr>
            <w:tcW w:type="dxa" w:w="15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 Intro call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15 minutes. Explain Tier 1 referral terms. Offer to co-present a 10-minute AI-readiness segment at their next client QBR.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Secure one pilot referral or one QBR speaking slot.</w:t>
            </w:r>
          </w:p>
        </w:tc>
      </w:tr>
      <w:tr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5. Pilot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Close one referred client under Tier 1 terms. Deliver visibly well.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Proof point to justify graduating the partner to Tier 2.</w:t>
            </w:r>
          </w:p>
        </w:tc>
      </w:tr>
      <w:tr>
        <w:tc>
          <w:tcPr>
            <w:tcW w:type="dxa" w:w="15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6. Formalize</w:t>
            </w:r>
          </w:p>
        </w:tc>
        <w:tc>
          <w:tcPr>
            <w:tcW w:type="dxa" w:w="53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If the pilot produces a closed client, propose Tier 2 co-sell terms with a simple one-page agreement.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Convert a one-off referral into a repeatable pipeline source.</w:t>
            </w:r>
          </w:p>
        </w:tc>
      </w:tr>
    </w:tbl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7. Guardrails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Cap total channel-sourced pipeline at roughly 20–30% of active deal flow. Direct vertical outreach (law firms first) remains the primary GTM motion — the channel is additive, not foundational.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single partner exceeds 30% of channel-sourced pipeline, to avoid dependency on one relationship.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Billing and contracting always run directly between Private AI Ops and the client — never through the MSP's invoicing.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Compliance language (BAA/DPA/MSA templates) stays owned and issued by Private AI Ops, never by the referring MSP, to keep the privilege/compliance story intact.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Re-evaluate any partner relationship that starts asking for exclusivity, volume minimums, or margin share beyond Tier 2 terms — that's a sign of drifting toward the deferred Tier 3 model.</w:t>
      </w:r>
    </w:p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8. Integration with the Existing GTM Roadmap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channel motion runs in parallel with, not instead of, the existing phased roadmap: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600"/>
        <w:gridCol w:w="3400"/>
      </w:tblGrid>
      <w:tr>
        <w:trPr>
          <w:tblHeader/>
        </w:trPr>
        <w:tc>
          <w:tcPr>
            <w:tcW w:type="dxa" w:w="235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6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Existing GTM Focus</w:t>
            </w:r>
          </w:p>
        </w:tc>
        <w:tc>
          <w:tcPr>
            <w:tcW w:type="dxa" w:w="34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Channel-Partner Activity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Phase 1 — Services-First Validation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Direct outreach to South Florida law firms; free tool distribution; first onboarding/retainer conversions.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Begin research and warm-touch outreach to 3–6 ICP-fit local MSPs (Section 6, Steps 1–2). Low cost, no infrastructure dependency.</w:t>
            </w:r>
          </w:p>
        </w:tc>
      </w:tr>
      <w:tr>
        <w:tc>
          <w:tcPr>
            <w:tcW w:type="dxa" w:w="23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Phase 2 — Infrastructure-Enabled Differentiation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Deploy private infrastructure only against pre-sold demand.</w:t>
            </w:r>
          </w:p>
        </w:tc>
        <w:tc>
          <w:tcPr>
            <w:tcW w:type="dxa" w:w="3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Convert 1–2 pilot referrals into closed clients; formalize first Tier 2 co-sell agreement if warranted.</w:t>
            </w:r>
          </w:p>
        </w:tc>
      </w:tr>
      <w:tr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Phase 3 — Vertical Playbook Expansion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Package reusable onboarding checklists, SOP libraries, prompts.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Revisit whether a limited, tightly-scoped Tier 3 white-label arrangement makes sense for a single, deeply trusted partner — not before.</w:t>
            </w:r>
          </w:p>
        </w:tc>
      </w:tr>
      <w:tr>
        <w:tc>
          <w:tcPr>
            <w:tcW w:type="dxa" w:w="23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Phase 4 — Platformization</w:t>
            </w:r>
          </w:p>
        </w:tc>
        <w:tc>
          <w:tcPr>
            <w:tcW w:type="dxa" w:w="3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Client portal, workflow monitoring, control plane.</w:t>
            </w:r>
          </w:p>
        </w:tc>
        <w:tc>
          <w:tcPr>
            <w:tcW w:type="dxa" w:w="34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If channel volume justifies it, consider a lightweight partner portal for referral tracking and co-branded collateral.</w:t>
            </w:r>
          </w:p>
        </w:tc>
      </w:tr>
    </w:tbl>
    <w:p>
      <w:pPr>
        <w:pStyle w:val="Heading1"/>
        <w:pBdr>
          <w:bottom w:val="single" w:color="C9A84C" w:sz="6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1C35"/>
          <w:sz w:val="30"/>
          <w:szCs w:val="30"/>
        </w:rPr>
        <w:t xml:space="preserve">9. Success Metrics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0"/>
        <w:gridCol w:w="4700"/>
      </w:tblGrid>
      <w:tr>
        <w:trPr>
          <w:tblHeader/>
        </w:trPr>
        <w:tc>
          <w:tcPr>
            <w:tcW w:type="dxa" w:w="465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700"/>
            <w:shd w:fill="0F1C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/ Signal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Partners actively engaged (responded, took a call)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3–6 within first 90 days of outreach</w:t>
            </w:r>
          </w:p>
        </w:tc>
      </w:tr>
      <w:tr>
        <w:tc>
          <w:tcPr>
            <w:tcW w:type="dxa" w:w="46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Pilot referrals generated</w:t>
            </w:r>
          </w:p>
        </w:tc>
        <w:tc>
          <w:tcPr>
            <w:tcW w:type="dxa" w:w="4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≥1 per engaged partner within 60 days of first call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Referral-to-close conversion rate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Track separately from direct-outreach conversion — expect lower initial trust, higher over time</w:t>
            </w:r>
          </w:p>
        </w:tc>
      </w:tr>
      <w:tr>
        <w:tc>
          <w:tcPr>
            <w:tcW w:type="dxa" w:w="46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Channel share of total pipeline</w:t>
            </w:r>
          </w:p>
        </w:tc>
        <w:tc>
          <w:tcPr>
            <w:tcW w:type="dxa" w:w="4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Cap at 20–30%; treat anything higher as a concentration risk to correct</w:t>
            </w:r>
          </w:p>
        </w:tc>
      </w:tr>
      <w:tr>
        <w:tc>
          <w:tcPr>
            <w:tcW w:type="dxa" w:w="4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Partners graduated to Tier 2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1–2 within first 6 months, based on proven referral performance</w:t>
            </w:r>
          </w:p>
        </w:tc>
      </w:tr>
      <w:tr>
        <w:tc>
          <w:tcPr>
            <w:tcW w:type="dxa" w:w="46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Single-partner concentration</w:t>
            </w:r>
          </w:p>
        </w:tc>
        <w:tc>
          <w:tcPr>
            <w:tcW w:type="dxa" w:w="47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 partner above 30% of channel-sourced pipeline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A84C" w:sz="4"/>
              <w:left w:val="single" w:color="C9A84C" w:sz="24"/>
              <w:bottom w:val="single" w:color="C9A84C" w:sz="4"/>
              <w:right w:val="single" w:color="C9A84C" w:sz="4"/>
            </w:tcBorders>
            <w:shd w:fill="F2E9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DM Mono" w:cs="DM Mono" w:eastAsia="DM Mono" w:hAnsi="DM Mono"/>
                <w:b/>
                <w:bCs/>
                <w:color w:val="0F1C35"/>
                <w:sz w:val="20"/>
                <w:szCs w:val="20"/>
              </w:rPr>
              <w:t xml:space="preserve">Bottom Line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Local MSPs are a distribution asset to rent, not a category to become. Keep the channel capped, keep billing and compliance ownership direct, and keep the primary GTM motion pointed at the law-firm beachhead. If the channel produces 20–30% of pipeline within two quarters without diluting positioning or margin, it's working as designed.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2026-09-05T19:12:19.928Z</dcterms:created>
  <dcterms:modified xsi:type="dcterms:W3CDTF">2026-09-05T19:12:19.942Z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