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DM Mono" w:cs="DM Mono" w:eastAsia="DM Mono" w:hAnsi="DM Mono"/>
          <w:b/>
          <w:bCs/>
          <w:color w:val="C9A84C"/>
          <w:sz w:val="16"/>
          <w:szCs w:val="16"/>
        </w:rPr>
        <w:t xml:space="preserve">PRIVATE AI OPS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1C35"/>
          <w:sz w:val="32"/>
          <w:szCs w:val="32"/>
        </w:rPr>
        <w:t xml:space="preserve">Opex, Capex &amp; Net ARR Model</w:t>
      </w:r>
    </w:p>
    <w:p>
      <w:pPr>
        <w:pBdr>
          <w:bottom w:val="single" w:color="C9A84C" w:sz="8" w:space="6"/>
        </w:pBdr>
        <w:spacing w:after="160"/>
      </w:pPr>
      <w:r>
        <w:rPr>
          <w:rFonts w:ascii="DM Mono" w:cs="DM Mono" w:eastAsia="DM Mono" w:hAnsi="DM Mono"/>
          <w:color w:val="5A6472"/>
          <w:sz w:val="16"/>
          <w:szCs w:val="16"/>
        </w:rPr>
        <w:t xml:space="preserve">Mapping the SKU &amp; Pricing Catalog to the Tech Infrastructure Cost Inventory  |  September 2026</w:t>
      </w:r>
    </w:p>
    <w:p>
      <w:pPr>
        <w:spacing w:after="100" w:line="25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This one-pager connects the two companion workbooks: the SKU Catalog's revenue and margin data, and the Tech Infrastructure Cost Inventory's cash cost data. Ranges are pulled directly from those two sources; the Month-6 snapshot below is illustrative, using catalog midpoints.</w:t>
      </w:r>
    </w:p>
    <w:p>
      <w:pPr>
        <w:pStyle w:val="Heading1"/>
        <w:pBdr>
          <w:bottom w:val="single" w:color="C9A84C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Capex — Mapped to Infrastructure SKUs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350"/>
        <w:gridCol w:w="1900"/>
      </w:tblGrid>
      <w:tr>
        <w:trPr>
          <w:tblHeader/>
        </w:trPr>
        <w:tc>
          <w:tcPr>
            <w:tcW w:type="dxa" w:w="27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3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19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One-Time Cost</w:t>
            </w:r>
          </w:p>
        </w:tc>
      </w:tr>
      <w:t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Phase 0–1 (required to launch)</w:t>
            </w:r>
          </w:p>
        </w:tc>
        <w:tc>
          <w:tcPr>
            <w:tcW w:type="dxa" w:w="5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Core hardware + BAA/DPA/MSA legal templates — not tied to any specific SKU, needed regardless of client mix.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$5,350 – $9,450</w:t>
            </w:r>
          </w:p>
        </w:tc>
      </w:tr>
      <w:tr>
        <w:tc>
          <w:tcPr>
            <w:tcW w:type="dxa" w:w="27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Phase 2 — GPU infrastructure (demand-gated)</w:t>
            </w:r>
          </w:p>
        </w:tc>
        <w:tc>
          <w:tcPr>
            <w:tcW w:type="dxa" w:w="53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Triggered specifically by PAO-INF-RAG or PAO-INF-MGD demand — NOT by PAO-INF-END or PAO-INF-BAA, which can be fulfilled on isolated cloud API deployments without owned hardware.</w:t>
            </w:r>
          </w:p>
        </w:tc>
        <w:tc>
          <w:tcPr>
            <w:tcW w:type="dxa" w:w="19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$15,300 – $16,100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9A84C" w:sz="4"/>
              <w:left w:val="single" w:color="C9A84C" w:sz="20"/>
              <w:bottom w:val="single" w:color="C9A84C" w:sz="4"/>
              <w:right w:val="single" w:color="C9A84C" w:sz="4"/>
            </w:tcBorders>
            <w:shd w:fill="F2E9D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DM Mono" w:cs="DM Mono" w:eastAsia="DM Mono" w:hAnsi="DM Mono"/>
                <w:b/>
                <w:bCs/>
                <w:color w:val="0F1C35"/>
                <w:sz w:val="17"/>
                <w:szCs w:val="17"/>
              </w:rPr>
              <w:t xml:space="preserve">Capex trigger rule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Deploy the GPU node once ≥1 signed PAO-INF-MGD contract or ≥2 signed PAO-INF-RAG contracts are in hand — that mix pays back the $15.3–$16.1K capex in roughly 7–9 months of gross margin on those SKUs alone. Do not deploy against PAO-INF-END/BAA demand; those tiers don't require it.</w:t>
            </w:r>
          </w:p>
        </w:tc>
      </w:tr>
    </w:tbl>
    <w:p>
      <w:pPr>
        <w:pStyle w:val="Heading1"/>
        <w:pBdr>
          <w:bottom w:val="single" w:color="C9A84C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Opex — Fixed, Variable &amp; Labor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0"/>
        <w:gridCol w:w="3450"/>
        <w:gridCol w:w="2550"/>
      </w:tblGrid>
      <w:tr>
        <w:trPr>
          <w:tblHeader/>
        </w:trPr>
        <w:tc>
          <w:tcPr>
            <w:tcW w:type="dxa" w:w="39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4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5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 (founder-solo)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Fixed recurring (business ops + AI seat + security/compliance)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Tech Infra Cost Inventory §3.1–3.3, net of client-driven API usage</w:t>
            </w:r>
          </w:p>
        </w:tc>
        <w:tc>
          <w:tcPr>
            <w:tcW w:type="dxa" w:w="2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$215 – $470</w:t>
            </w:r>
          </w:p>
        </w:tc>
      </w:tr>
      <w:tr>
        <w:tc>
          <w:tcPr>
            <w:tcW w:type="dxa" w:w="39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Variable COGS (client-driven API/infra usage)</w:t>
            </w:r>
          </w:p>
        </w:tc>
        <w:tc>
          <w:tcPr>
            <w:tcW w:type="dxa" w:w="34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SKU Catalog → Margin Reference, summed per active SKU mix</w:t>
            </w:r>
          </w:p>
        </w:tc>
        <w:tc>
          <w:tcPr>
            <w:tcW w:type="dxa" w:w="25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Scales with book — see snapshot below</w:t>
            </w:r>
          </w:p>
        </w:tc>
      </w:tr>
      <w:tr>
        <w:tc>
          <w:tcPr>
            <w:tcW w:type="dxa" w:w="39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Labor (blended $75/hr vs. catalog hour assumptions)</w:t>
            </w:r>
          </w:p>
        </w:tc>
        <w:tc>
          <w:tcPr>
            <w:tcW w:type="dxa" w:w="34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SKU Catalog → Margin Reference hour estimates</w:t>
            </w:r>
          </w:p>
        </w:tc>
        <w:tc>
          <w:tcPr>
            <w:tcW w:type="dxa" w:w="25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Scales with book — see snapshot below</w:t>
            </w:r>
          </w:p>
        </w:tc>
      </w:tr>
    </w:tbl>
    <w:p>
      <w:pPr>
        <w:pStyle w:val="Heading1"/>
        <w:pBdr>
          <w:bottom w:val="single" w:color="C9A84C" w:sz="6" w:space="3"/>
        </w:pBdr>
        <w:spacing w:after="90" w:before="160"/>
      </w:pPr>
      <w:r>
        <w:rPr>
          <w:rFonts w:ascii="Calibri" w:cs="Calibri" w:eastAsia="Calibri" w:hAnsi="Calibri"/>
          <w:b/>
          <w:bCs/>
          <w:color w:val="0F1C35"/>
          <w:sz w:val="24"/>
          <w:szCs w:val="24"/>
        </w:rPr>
        <w:t xml:space="preserve">Illustrative Net ARR — Month 6 Client Mix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300"/>
        <w:gridCol w:w="3350"/>
      </w:tblGrid>
      <w:tr>
        <w:trPr>
          <w:tblHeader/>
        </w:trPr>
        <w:tc>
          <w:tcPr>
            <w:tcW w:type="dxa" w:w="47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Active SKU</w:t>
            </w:r>
          </w:p>
        </w:tc>
        <w:tc>
          <w:tcPr>
            <w:tcW w:type="dxa" w:w="13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33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 Revenue</w:t>
            </w:r>
          </w:p>
        </w:tc>
      </w:tr>
      <w:tr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PAO-RET-SM (Retainer, Small)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$6,750</w:t>
            </w:r>
          </w:p>
        </w:tc>
      </w:tr>
      <w:tr>
        <w:tc>
          <w:tcPr>
            <w:tcW w:type="dxa" w:w="47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PAO-RET-MX (Retainer, Regulated/Multi-loc)</w:t>
            </w:r>
          </w:p>
        </w:tc>
        <w:tc>
          <w:tcPr>
            <w:tcW w:type="dxa" w:w="13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3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$5,250</w:t>
            </w:r>
          </w:p>
        </w:tc>
      </w:tr>
      <w:tr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PAO-INF-END (Private Endpoint add-on)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$650</w:t>
            </w:r>
          </w:p>
        </w:tc>
      </w:tr>
      <w:tr>
        <w:tc>
          <w:tcPr>
            <w:tcW w:type="dxa" w:w="47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MRR / ARR</w:t>
            </w:r>
          </w:p>
        </w:tc>
        <w:tc>
          <w:tcPr>
            <w:tcW w:type="dxa" w:w="13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  <w:tc>
          <w:tcPr>
            <w:tcW w:type="dxa" w:w="33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$12,650  →  $151,800 ARR</w:t>
            </w:r>
          </w:p>
        </w:tc>
      </w:tr>
    </w:tbl>
    <w:p>
      <w:pPr>
        <w:spacing w:after="8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50"/>
        <w:gridCol w:w="1900"/>
        <w:gridCol w:w="1500"/>
      </w:tblGrid>
      <w:tr>
        <w:trPr>
          <w:tblHeader/>
        </w:trPr>
        <w:tc>
          <w:tcPr>
            <w:tcW w:type="dxa" w:w="42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Net ARR Bridge</w:t>
            </w:r>
          </w:p>
        </w:tc>
        <w:tc>
          <w:tcPr>
            <w:tcW w:type="dxa" w:w="175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  <w:tc>
          <w:tcPr>
            <w:tcW w:type="dxa" w:w="19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Annualized</w:t>
            </w:r>
          </w:p>
        </w:tc>
        <w:tc>
          <w:tcPr>
            <w:tcW w:type="dxa" w:w="1500"/>
            <w:shd w:fill="0F1C3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Margin %</w:t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Gross ARR (from mix above)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$12,650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$151,800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Less: Fixed Opex + Variable COGS (cash only)</w:t>
            </w:r>
          </w:p>
        </w:tc>
        <w:tc>
          <w:tcPr>
            <w:tcW w:type="dxa" w:w="17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$517</w:t>
            </w:r>
          </w:p>
        </w:tc>
        <w:tc>
          <w:tcPr>
            <w:tcW w:type="dxa" w:w="19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$6,204</w:t>
            </w:r>
          </w:p>
        </w:tc>
        <w:tc>
          <w:tcPr>
            <w:tcW w:type="dxa" w:w="15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Net ARR — cash basis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$12,133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$145,596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95.9%</w:t>
            </w:r>
          </w:p>
        </w:tc>
      </w:tr>
      <w:tr>
        <w:tc>
          <w:tcPr>
            <w:tcW w:type="dxa" w:w="42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Less: Founder labor (32 hrs/mo @ $75/hr blended)</w:t>
            </w:r>
          </w:p>
        </w:tc>
        <w:tc>
          <w:tcPr>
            <w:tcW w:type="dxa" w:w="175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$2,400</w:t>
            </w:r>
          </w:p>
        </w:tc>
        <w:tc>
          <w:tcPr>
            <w:tcW w:type="dxa" w:w="19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$28,800</w:t>
            </w:r>
          </w:p>
        </w:tc>
        <w:tc>
          <w:tcPr>
            <w:tcW w:type="dxa" w:w="1500"/>
            <w:shd w:fill="F5F5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Net ARR — fully loaded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$9,733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$116,796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77.0%</w:t>
            </w:r>
          </w:p>
        </w:tc>
      </w:tr>
    </w:tbl>
    <w:p>
      <w:pPr>
        <w:spacing w:after="100" w:line="2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The fully-loaded 77.0% margin lands close to the core financial model's modeled ~71.8% Year-1 EBITDA margin — the gap is explained by this snapshot excluding onboarding revenue/one-time costs and SG&amp;A/marketing overhead. Re-run this bridge whenever the active client mix changes; it's the fastest way to sanity-check pricing and infra-deployment timing against the full model.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2026-09-05T19:44:21.098Z</dcterms:created>
  <dcterms:modified xsi:type="dcterms:W3CDTF">2026-09-05T19:44:21.116Z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