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DM Mono" w:cs="DM Mono" w:eastAsia="DM Mono" w:hAnsi="DM Mono"/>
          <w:b/>
          <w:bCs/>
          <w:color w:val="C9A84C"/>
          <w:sz w:val="20"/>
          <w:szCs w:val="20"/>
        </w:rPr>
        <w:t xml:space="preserve">PRIVATE AI OPS</w:t>
      </w:r>
    </w:p>
    <w:p>
      <w:pPr>
        <w:spacing w:after="200"/>
      </w:pPr>
      <w:r>
        <w:rPr>
          <w:rFonts w:ascii="Calibri" w:cs="Calibri" w:eastAsia="Calibri" w:hAnsi="Calibri"/>
          <w:b/>
          <w:bCs/>
          <w:color w:val="0F1C35"/>
          <w:sz w:val="40"/>
          <w:szCs w:val="40"/>
        </w:rPr>
        <w:t xml:space="preserve">Technical Skills, Infrastructure &amp; Startup Cost Inventory</w:t>
      </w:r>
    </w:p>
    <w:p>
      <w:pPr>
        <w:spacing w:after="60"/>
      </w:pPr>
      <w:r>
        <w:rPr>
          <w:rFonts w:ascii="Calibri" w:cs="Calibri" w:eastAsia="Calibri" w:hAnsi="Calibri"/>
          <w:color w:val="5A6472"/>
          <w:sz w:val="26"/>
          <w:szCs w:val="26"/>
        </w:rPr>
        <w:t xml:space="preserve">Founder Skills · Hardware · Software · Business Technology Architecture</w:t>
      </w:r>
    </w:p>
    <w:p>
      <w:pPr>
        <w:pBdr>
          <w:bottom w:val="single" w:color="C9A84C" w:sz="10" w:space="8"/>
        </w:pBdr>
        <w:spacing w:after="500"/>
      </w:pPr>
      <w:r>
        <w:rPr>
          <w:rFonts w:ascii="DM Mono" w:cs="DM Mono" w:eastAsia="DM Mono" w:hAnsi="DM Mono"/>
          <w:color w:val="5A6472"/>
          <w:sz w:val="20"/>
          <w:szCs w:val="20"/>
        </w:rPr>
        <w:t xml:space="preserve">September 2026 (Rev. 2 — Microsoft 365-optimized)  |  Companion to the Private AI Ops Strategy Suite</w:t>
      </w:r>
    </w:p>
    <w:p>
      <w:pPr>
        <w:spacing w:after="160" w:line="276"/>
      </w:pPr>
      <w:r>
        <w:rPr>
          <w:rFonts w:ascii="Calibri" w:cs="Calibri" w:eastAsia="Calibri" w:hAnsi="Calibri"/>
          <w:color w:val="222222"/>
          <w:sz w:val="21"/>
          <w:szCs w:val="21"/>
        </w:rPr>
        <w:t xml:space="preserve">This document inventories what it actually takes to run Private AI Ops as a lean, founder-led operation: the technical skills required, the hardware and software stack with real costs, and the overall business-technology architecture that supports both day-to-day operations and the eventual private-infrastructure add-on. It is scoped deliberately to stay asset-light through Phase 1–2 — consistent with the services-first strategic decision that anchors this project.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84C" w:sz="4"/>
              <w:left w:val="single" w:color="C9A84C" w:sz="24"/>
              <w:bottom w:val="single" w:color="C9A84C" w:sz="4"/>
              <w:right w:val="single" w:color="C9A84C" w:sz="4"/>
            </w:tcBorders>
            <w:shd w:fill="F2E9D2" w:val="clear"/>
            <w:tcMar>
              <w:top w:type="dxa" w:w="160"/>
              <w:left w:type="dxa" w:w="200"/>
              <w:bottom w:type="dxa" w:w="160"/>
              <w:right w:type="dxa" w:w="200"/>
            </w:tcMar>
          </w:tcPr>
          <w:p>
            <w:pPr>
              <w:spacing w:after="60"/>
            </w:pPr>
            <w:r>
              <w:rPr>
                <w:rFonts w:ascii="DM Mono" w:cs="DM Mono" w:eastAsia="DM Mono" w:hAnsi="DM Mono"/>
                <w:b/>
                <w:bCs/>
                <w:color w:val="0F1C35"/>
                <w:sz w:val="20"/>
                <w:szCs w:val="20"/>
              </w:rPr>
              <w:t xml:space="preserve">How to read the costs in this document</w:t>
            </w:r>
          </w:p>
          <w:p>
            <w:pPr>
              <w:spacing w:after="0" w:line="276"/>
            </w:pPr>
            <w:r>
              <w:rPr>
                <w:rFonts w:ascii="Calibri" w:cs="Calibri" w:eastAsia="Calibri" w:hAnsi="Calibri"/>
                <w:color w:val="222222"/>
                <w:sz w:val="20"/>
                <w:szCs w:val="20"/>
              </w:rPr>
              <w:t xml:space="preserve">Software/SaaS pricing changes frequently and varies by promotion, region, and negotiated discount. Figures below are current as of September 2026 research and should be re-verified against vendor pricing pages before committing spend. Ranges marked “estimate” have not been directly quoted and should be confirmed with the vendor. Where multiple vendors serve a category, the top 2–3 options are listed — the first named is the recommendation for this business specifically, not necessarily the market leader overall.</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84C" w:sz="4"/>
              <w:left w:val="single" w:color="C9A84C" w:sz="24"/>
              <w:bottom w:val="single" w:color="C9A84C" w:sz="4"/>
              <w:right w:val="single" w:color="C9A84C" w:sz="4"/>
            </w:tcBorders>
            <w:shd w:fill="F2E9D2" w:val="clear"/>
            <w:tcMar>
              <w:top w:type="dxa" w:w="160"/>
              <w:left w:type="dxa" w:w="200"/>
              <w:bottom w:type="dxa" w:w="160"/>
              <w:right w:type="dxa" w:w="200"/>
            </w:tcMar>
          </w:tcPr>
          <w:p>
            <w:pPr>
              <w:spacing w:after="60"/>
            </w:pPr>
            <w:r>
              <w:rPr>
                <w:rFonts w:ascii="DM Mono" w:cs="DM Mono" w:eastAsia="DM Mono" w:hAnsi="DM Mono"/>
                <w:b/>
                <w:bCs/>
                <w:color w:val="0F1C35"/>
                <w:sz w:val="20"/>
                <w:szCs w:val="20"/>
              </w:rPr>
              <w:t xml:space="preserve">Revision note — Microsoft 365 as the preferred environment</w:t>
            </w:r>
          </w:p>
          <w:p>
            <w:pPr>
              <w:spacing w:after="0" w:line="276"/>
            </w:pPr>
            <w:r>
              <w:rPr>
                <w:rFonts w:ascii="Calibri" w:cs="Calibri" w:eastAsia="Calibri" w:hAnsi="Calibri"/>
                <w:color w:val="222222"/>
                <w:sz w:val="20"/>
                <w:szCs w:val="20"/>
              </w:rPr>
              <w:t xml:space="preserve">This revision replaces Google Workspace with Microsoft 365 as the recommended core business environment, for four concrete reasons specific to this business: (1) every client deliverable this project produces is already a native Microsoft Office format (docx, xlsx) — M365 removes a format-translation layer that Google Workspace would otherwise introduce; (2) Microsoft 365 Business Premium bundles Entra ID (identity/MFA), Intune (device management), Defender (threat protection), and Purview (compliance/audit logging) — consolidating several lines this document previously listed as separate tools, which directly reinforces the privacy-first, audit-friendly positioning; (3) Teams Phone and Power Automate replace two standalone paid tools (VoIP, automation) with M365-native equivalents, often at lower net cost; (4) the target verticals — law firms and property managers especially — skew toward Microsoft-based office environments, reducing client-side friction.</w:t>
            </w:r>
          </w:p>
        </w:tc>
      </w:tr>
    </w:tbl>
    <w:p>
      <w:r>
        <w:br w:type="page"/>
      </w:r>
    </w:p>
    <w:p>
      <w:pPr>
        <w:pStyle w:val="Heading1"/>
        <w:pBdr>
          <w:bottom w:val="single" w:color="C9A84C" w:sz="6" w:space="4"/>
        </w:pBdr>
        <w:spacing w:after="200" w:before="480"/>
      </w:pPr>
      <w:r>
        <w:rPr>
          <w:rFonts w:ascii="Calibri" w:cs="Calibri" w:eastAsia="Calibri" w:hAnsi="Calibri"/>
          <w:b/>
          <w:bCs/>
          <w:color w:val="0F1C35"/>
          <w:sz w:val="30"/>
          <w:szCs w:val="30"/>
        </w:rPr>
        <w:t xml:space="preserve">1. Founder Technical Skill Inventory</w:t>
      </w:r>
    </w:p>
    <w:p>
      <w:pPr>
        <w:spacing w:after="160" w:line="276"/>
      </w:pPr>
      <w:r>
        <w:rPr>
          <w:rFonts w:ascii="Calibri" w:cs="Calibri" w:eastAsia="Calibri" w:hAnsi="Calibri"/>
          <w:color w:val="222222"/>
          <w:sz w:val="21"/>
          <w:szCs w:val="21"/>
        </w:rPr>
        <w:t xml:space="preserve">Private AI Ops runs on a small set of hard skills the founder must either hold directly, contract out, or defer until hiring is justified by MRR. This matrix separates what's needed by category, flags likely current strength based on work already demonstrated in this project (financial modeling, docx/xlsx generation, prompt architecture), and recommends how to close remaining gaps.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650"/>
        <w:gridCol w:w="1950"/>
        <w:gridCol w:w="2300"/>
      </w:tblGrid>
      <w:tr>
        <w:trPr>
          <w:tblHeader/>
        </w:trPr>
        <w:tc>
          <w:tcPr>
            <w:tcW w:type="dxa" w:w="24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Skill Domain</w:t>
            </w:r>
          </w:p>
        </w:tc>
        <w:tc>
          <w:tcPr>
            <w:tcW w:type="dxa" w:w="26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Why It's Needed</w:t>
            </w:r>
          </w:p>
        </w:tc>
        <w:tc>
          <w:tcPr>
            <w:tcW w:type="dxa" w:w="19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Likely Status</w:t>
            </w:r>
          </w:p>
        </w:tc>
        <w:tc>
          <w:tcPr>
            <w:tcW w:type="dxa" w:w="23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Path to Close Gap</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Prompt engineering &amp; AI workflow design</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Core deliverable — every client engagement is built on prompt libraries and workflow logic.</w:t>
            </w:r>
          </w:p>
        </w:tc>
        <w:tc>
          <w:tcPr>
            <w:tcW w:type="dxa" w:w="19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Strong — demonstrated throughout this project's artifact suite.</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Maintain; formalize into a reusable internal prompt-pattern library per vertical.</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Financial modeling &amp; reporting</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Pricing, unit economics, investor-grade reporting.</w:t>
            </w:r>
          </w:p>
        </w:tc>
        <w:tc>
          <w:tcPr>
            <w:tcW w:type="dxa" w:w="19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Strong — existing financial model (5 sheets, 3-yr pro forma) demonstrates this.</w:t>
            </w:r>
          </w:p>
        </w:tc>
        <w:tc>
          <w:tcPr>
            <w:tcW w:type="dxa" w:w="23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Maintain; keep model updated monthly against actuals once revenue starts.</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Document/deliverable generation (docx, xlsx, HTML dashboards)</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Client-facing SOPs, playbooks, reports, and this project's own artifact suite.</w:t>
            </w:r>
          </w:p>
        </w:tc>
        <w:tc>
          <w:tcPr>
            <w:tcW w:type="dxa" w:w="19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Strong — already in active use, and natively Microsoft-format.</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Maintain.</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Systems integration / API &amp; webhook work</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Connecting client tools (FareHarbor, AppFolio/Buildium, Dentrix/Eaglesoft) into workflows.</w:t>
            </w:r>
          </w:p>
        </w:tc>
        <w:tc>
          <w:tcPr>
            <w:tcW w:type="dxa" w:w="19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Partial — depends on prior hands-on integration experience.</w:t>
            </w:r>
          </w:p>
        </w:tc>
        <w:tc>
          <w:tcPr>
            <w:tcW w:type="dxa" w:w="23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Learn via Power Automate/Zapier first (low-code); contract a developer for custom API work as client complexity requires it.</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Local LLM / GPU infrastructure ops (Ollama, vLLM, model serving)</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Required only once the private infrastructure add-on is sold — not needed for Phase 0–1 services.</w:t>
            </w:r>
          </w:p>
        </w:tc>
        <w:tc>
          <w:tcPr>
            <w:tcW w:type="dxa" w:w="19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Unverified — treat as a gap until proven.</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Defer. Use the GPU PoC environment as a learning sandbox before any client-facing deployment; contract a DevOps/MLOps specialist for the first production build if needed.</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RAG / vector database engineering</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Needed for document-heavy verticals (law, property management lease abstraction).</w:t>
            </w:r>
          </w:p>
        </w:tc>
        <w:tc>
          <w:tcPr>
            <w:tcW w:type="dxa" w:w="19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Unverified — treat as a gap.</w:t>
            </w:r>
          </w:p>
        </w:tc>
        <w:tc>
          <w:tcPr>
            <w:tcW w:type="dxa" w:w="23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Start with a managed vector DB (low setup cost) before self-hosting; learn via one applied project (e.g., Charter Brief Pro's ingestion flow).</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Network/endpoint security fundamentals (MFA, VPN, firewall config)</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Needed to credibly run — and speak about — a privacy-first operation, even without owning client IT.</w:t>
            </w:r>
          </w:p>
        </w:tc>
        <w:tc>
          <w:tcPr>
            <w:tcW w:type="dxa" w:w="19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Partial.</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Self-learn to a working level (this is configuration, not deep engineering); document internal security posture as a client-facing trust asset.</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Compliance literacy (HIPAA-adjacent, privilege, BAA/DPA scope)</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Needed to scope engagements correctly and avoid overclaiming.</w:t>
            </w:r>
          </w:p>
        </w:tc>
        <w:tc>
          <w:tcPr>
            <w:tcW w:type="dxa" w:w="19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Partial — strategic literacy strong; legal drafting is not a substitute for counsel.</w:t>
            </w:r>
          </w:p>
        </w:tc>
        <w:tc>
          <w:tcPr>
            <w:tcW w:type="dxa" w:w="23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Have all BAA/DPA/MSA templates reviewed by counsel before first regulated-vertical client (already an open Phase 0 task).</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Discovery-call / sales conversation skills</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Founder-led sales is the core GTM motion through at least Phase 2.</w:t>
            </w:r>
          </w:p>
        </w:tc>
        <w:tc>
          <w:tcPr>
            <w:tcW w:type="dxa" w:w="19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Unverified in a live sales context.</w:t>
            </w:r>
          </w:p>
        </w:tc>
        <w:tc>
          <w:tcPr>
            <w:tcW w:type="dxa" w:w="23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Rehearse using the discovery call script from the GTM plan; record and self-review early calls.</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Basic video/audio production for demos</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Vertical demo videos, free-tool walkthroughs, QBR co-presentations with channel partners.</w:t>
            </w:r>
          </w:p>
        </w:tc>
        <w:tc>
          <w:tcPr>
            <w:tcW w:type="dxa" w:w="19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Likely gap.</w:t>
            </w:r>
          </w:p>
        </w:tc>
        <w:tc>
          <w:tcPr>
            <w:tcW w:type="dxa" w:w="23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Low investment — webcam/mic hardware (Section 2) plus a simple screen-recording tool covers this; no need to hire out early.</w:t>
            </w:r>
          </w:p>
        </w:tc>
      </w:tr>
    </w:tbl>
    <w:p>
      <w:r>
        <w:br w:type="page"/>
      </w:r>
    </w:p>
    <w:p>
      <w:pPr>
        <w:pStyle w:val="Heading1"/>
        <w:pBdr>
          <w:bottom w:val="single" w:color="C9A84C" w:sz="6" w:space="4"/>
        </w:pBdr>
        <w:spacing w:after="200" w:before="480"/>
      </w:pPr>
      <w:r>
        <w:rPr>
          <w:rFonts w:ascii="Calibri" w:cs="Calibri" w:eastAsia="Calibri" w:hAnsi="Calibri"/>
          <w:b/>
          <w:bCs/>
          <w:color w:val="0F1C35"/>
          <w:sz w:val="30"/>
          <w:szCs w:val="30"/>
        </w:rPr>
        <w:t xml:space="preserve">2. Hardware Inventory &amp; Costs</w:t>
      </w:r>
    </w:p>
    <w:p>
      <w:pPr>
        <w:spacing w:after="160" w:line="276"/>
      </w:pPr>
      <w:r>
        <w:rPr>
          <w:rFonts w:ascii="Calibri" w:cs="Calibri" w:eastAsia="Calibri" w:hAnsi="Calibri"/>
          <w:color w:val="222222"/>
          <w:sz w:val="21"/>
          <w:szCs w:val="21"/>
        </w:rPr>
        <w:t xml:space="preserve">Hardware spend is deliberately split into two gates. Phase 0–1 hardware is what any founder-led service business needs regardless of AI infrastructure plans. Phase 2 hardware — the private GPU environment — is demand-gated and should not be purchased ahead of signed infrastructure-add-on revenue, consistent with the strategy's core risk mitigation on premature hardware spend. Vendor options are listed top-recommendation first.</w:t>
      </w:r>
    </w:p>
    <w:p>
      <w:pPr>
        <w:pStyle w:val="Heading2"/>
        <w:spacing w:after="140" w:before="320"/>
      </w:pPr>
      <w:r>
        <w:rPr>
          <w:rFonts w:ascii="Calibri" w:cs="Calibri" w:eastAsia="Calibri" w:hAnsi="Calibri"/>
          <w:b/>
          <w:bCs/>
          <w:color w:val="0F1C35"/>
          <w:sz w:val="24"/>
          <w:szCs w:val="24"/>
        </w:rPr>
        <w:t xml:space="preserve">2.1 Phase 0–1 — Core Operating Hardware (buy now)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1350"/>
        <w:gridCol w:w="2450"/>
      </w:tblGrid>
      <w:tr>
        <w:trPr>
          <w:tblHeader/>
        </w:trPr>
        <w:tc>
          <w:tcPr>
            <w:tcW w:type="dxa" w:w="23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Item</w:t>
            </w:r>
          </w:p>
        </w:tc>
        <w:tc>
          <w:tcPr>
            <w:tcW w:type="dxa" w:w="32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w:t>
            </w:r>
          </w:p>
        </w:tc>
        <w:tc>
          <w:tcPr>
            <w:tcW w:type="dxa" w:w="13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Est. Cost</w:t>
            </w:r>
          </w:p>
        </w:tc>
        <w:tc>
          <w:tcPr>
            <w:tcW w:type="dxa" w:w="24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Top Vendor Options</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Primary workstation/laptop</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Daily operations, client deliverable production, video calls.</w:t>
            </w:r>
          </w:p>
        </w:tc>
        <w:tc>
          <w:tcPr>
            <w:tcW w:type="dxa" w:w="1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$2,000 – $2,500</w:t>
            </w:r>
          </w:p>
        </w:tc>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Microsoft Surface Laptop (deepest Entra ID/Intune integration), Dell (XPS/Latitude), Lenovo (ThinkPad)</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Secondary/backup laptop</w:t>
            </w:r>
          </w:p>
        </w:tc>
        <w:tc>
          <w:tcPr>
            <w:tcW w:type="dxa" w:w="3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Failover for client calls and deliverable work — South Florida hurricane season makes single-device dependency a real operational risk.</w:t>
            </w:r>
          </w:p>
        </w:tc>
        <w:tc>
          <w:tcPr>
            <w:tcW w:type="dxa" w:w="1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$600 – $900</w:t>
            </w:r>
          </w:p>
        </w:tc>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Lenovo (ThinkPad E-series), Dell (Latitude entry), Microsoft Surface Laptop Go</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Business-grade router/firewall</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Segmented home/office network; baseline security posture that's client-defensible to describe.</w:t>
            </w:r>
          </w:p>
        </w:tc>
        <w:tc>
          <w:tcPr>
            <w:tcW w:type="dxa" w:w="1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$300 – $500</w:t>
            </w:r>
          </w:p>
        </w:tc>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Cisco Meraki (cloud-managed, pairs well with an M365/Azure admin mindset), Ubiquiti, Firewalla</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Battery backup / UPS for router + workstation</w:t>
            </w:r>
          </w:p>
        </w:tc>
        <w:tc>
          <w:tcPr>
            <w:tcW w:type="dxa" w:w="3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Power-outage continuity — directly relevant to South Florida storm risk.</w:t>
            </w:r>
          </w:p>
        </w:tc>
        <w:tc>
          <w:tcPr>
            <w:tcW w:type="dxa" w:w="1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 – $250</w:t>
            </w:r>
          </w:p>
        </w:tc>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APC (Schneider Electric), CyberPower, Tripp Lite</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Network-attached storage (2-bay NAS) — now optional</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Local encrypted backup, independent of cloud storage. With M365 Business Premium's per-user OneDrive/SharePoint storage as the primary store, this becomes a secondary/offline copy rather than a requirement.</w:t>
            </w:r>
          </w:p>
        </w:tc>
        <w:tc>
          <w:tcPr>
            <w:tcW w:type="dxa" w:w="1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$400 – $600</w:t>
            </w:r>
          </w:p>
        </w:tc>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Synology, QNAP, TrueNAS</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Webcam, microphone, ring light</w:t>
            </w:r>
          </w:p>
        </w:tc>
        <w:tc>
          <w:tcPr>
            <w:tcW w:type="dxa" w:w="3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Professional presence for discovery calls, demo recordings, QBR co-presentations with channel partners.</w:t>
            </w:r>
          </w:p>
        </w:tc>
        <w:tc>
          <w:tcPr>
            <w:tcW w:type="dxa" w:w="1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 – $300</w:t>
            </w:r>
          </w:p>
        </w:tc>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Logitech (Brio webcam), Elgato (Wave mic / Key Light), Shure (MV7 mic)</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Second monitor</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Working across client deliverables, dashboards, and live calls simultaneously.</w:t>
            </w:r>
          </w:p>
        </w:tc>
        <w:tc>
          <w:tcPr>
            <w:tcW w:type="dxa" w:w="1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$250 – $400</w:t>
            </w:r>
          </w:p>
        </w:tc>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Dell, LG, ASUS</w:t>
            </w:r>
          </w:p>
        </w:tc>
      </w:tr>
    </w:tbl>
    <w:p>
      <w:pPr>
        <w:spacing w:after="160" w:line="276"/>
      </w:pPr>
      <w:r>
        <w:rPr>
          <w:rFonts w:ascii="Calibri" w:cs="Calibri" w:eastAsia="Calibri" w:hAnsi="Calibri"/>
          <w:b/>
          <w:bCs/>
          <w:color w:val="222222"/>
          <w:sz w:val="21"/>
          <w:szCs w:val="21"/>
        </w:rPr>
        <w:t xml:space="preserve">Phase 0–1 hardware subtotal: approximately $3,850 – $5,450 one-time (unchanged — the NAS line can be deferred given M365 cloud storage, which would lower the low end by roughly $400 if excluded).</w:t>
      </w:r>
    </w:p>
    <w:p>
      <w:pPr>
        <w:pStyle w:val="Heading2"/>
        <w:spacing w:after="140" w:before="320"/>
      </w:pPr>
      <w:r>
        <w:rPr>
          <w:rFonts w:ascii="Calibri" w:cs="Calibri" w:eastAsia="Calibri" w:hAnsi="Calibri"/>
          <w:b/>
          <w:bCs/>
          <w:color w:val="0F1C35"/>
          <w:sz w:val="24"/>
          <w:szCs w:val="24"/>
        </w:rPr>
        <w:t xml:space="preserve">2.2 Phase 2 — Private AI Infrastructure Hardware (demand-gated)</w:t>
      </w:r>
    </w:p>
    <w:p>
      <w:pPr>
        <w:spacing w:after="160" w:line="276"/>
      </w:pPr>
      <w:r>
        <w:rPr>
          <w:rFonts w:ascii="Calibri" w:cs="Calibri" w:eastAsia="Calibri" w:hAnsi="Calibri"/>
          <w:color w:val="222222"/>
          <w:sz w:val="21"/>
          <w:szCs w:val="21"/>
        </w:rPr>
        <w:t xml:space="preserve">Do not purchase until private-infrastructure add-on demand is pre-sold or contractually committed, per the existing risk framework. This aligns with the GPU Hosting PoC already scoped in the project. Note: only the RAG and Managed-tier infrastructure SKUs require this owned hardware — the Private Endpoint and BAA-supported tiers can be fulfilled on a private cloud deployment (an Azure-hosted private endpoint is a natural fit if staying inside the Microsoft ecosystem) without this capex.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000"/>
        <w:gridCol w:w="1500"/>
        <w:gridCol w:w="2500"/>
      </w:tblGrid>
      <w:tr>
        <w:trPr>
          <w:tblHeader/>
        </w:trPr>
        <w:tc>
          <w:tcPr>
            <w:tcW w:type="dxa" w:w="23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Item</w:t>
            </w:r>
          </w:p>
        </w:tc>
        <w:tc>
          <w:tcPr>
            <w:tcW w:type="dxa" w:w="30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w:t>
            </w:r>
          </w:p>
        </w:tc>
        <w:tc>
          <w:tcPr>
            <w:tcW w:type="dxa" w:w="15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Est. Cost</w:t>
            </w:r>
          </w:p>
        </w:tc>
        <w:tc>
          <w:tcPr>
            <w:tcW w:type="dxa" w:w="25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Top Vendor Options</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4× RTX 4090 GPU workstation build</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Private inference/RAG environment for compliance-sensitive client workloads.</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~$14,000 (per existing PoC estimate)</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Board partners: ASUS, MSI, Gigabyte; or pre-built AI workstation integrators: Puget Systems, Lambda</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Rack/enclosure, additional PSU, cooling</w:t>
            </w:r>
          </w:p>
        </w:tc>
        <w:tc>
          <w:tcPr>
            <w:tcW w:type="dxa" w:w="30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Sustained-load reliability for a residential deployment.</w:t>
            </w:r>
          </w:p>
        </w:tc>
        <w:tc>
          <w:tcPr>
            <w:tcW w:type="dxa" w:w="15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$800 – $1,200</w:t>
            </w:r>
          </w:p>
        </w:tc>
        <w:tc>
          <w:tcPr>
            <w:tcW w:type="dxa" w:w="25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Corsair, be quiet!, Noctua (cooling)</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Dedicated UPS for the GPU node</w:t>
            </w:r>
          </w:p>
        </w:tc>
        <w:tc>
          <w:tcPr>
            <w:tcW w:type="dxa" w:w="30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Power continuity — higher stakes than the office UPS given client-facing uptime expectations.</w:t>
            </w:r>
          </w:p>
        </w:tc>
        <w:tc>
          <w:tcPr>
            <w:tcW w:type="dxa" w:w="15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$300 – $500</w:t>
            </w:r>
          </w:p>
        </w:tc>
        <w:tc>
          <w:tcPr>
            <w:tcW w:type="dxa" w:w="25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APC, CyberPower, Tripp Lite (size up from the office-UPS model)</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Network upgrade (managed switch, wired backbone)</w:t>
            </w:r>
          </w:p>
        </w:tc>
        <w:tc>
          <w:tcPr>
            <w:tcW w:type="dxa" w:w="30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Stable throughput for private endpoint traffic.</w:t>
            </w:r>
          </w:p>
        </w:tc>
        <w:tc>
          <w:tcPr>
            <w:tcW w:type="dxa" w:w="15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$200 – $400</w:t>
            </w:r>
          </w:p>
        </w:tc>
        <w:tc>
          <w:tcPr>
            <w:tcW w:type="dxa" w:w="25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Cisco Meraki, Ubiquiti, Netgear — stay in the same ecosystem chosen in §2.1 for single-pane management</w:t>
            </w:r>
          </w:p>
        </w:tc>
      </w:tr>
    </w:tbl>
    <w:p>
      <w:pPr>
        <w:spacing w:after="160" w:line="276"/>
      </w:pPr>
      <w:r>
        <w:rPr>
          <w:rFonts w:ascii="Calibri" w:cs="Calibri" w:eastAsia="Calibri" w:hAnsi="Calibri"/>
          <w:b/>
          <w:bCs/>
          <w:color w:val="222222"/>
          <w:sz w:val="21"/>
          <w:szCs w:val="21"/>
        </w:rPr>
        <w:t xml:space="preserve">Phase 2 hardware subtotal: approximately $15,300 – $16,100 one-time, only against pre-sold demand for the RAG/Managed-tier infrastructure SKUs specifically.</w:t>
      </w:r>
    </w:p>
    <w:p>
      <w:r>
        <w:br w:type="page"/>
      </w:r>
    </w:p>
    <w:p>
      <w:pPr>
        <w:pStyle w:val="Heading1"/>
        <w:pBdr>
          <w:bottom w:val="single" w:color="C9A84C" w:sz="6" w:space="4"/>
        </w:pBdr>
        <w:spacing w:after="200" w:before="480"/>
      </w:pPr>
      <w:r>
        <w:rPr>
          <w:rFonts w:ascii="Calibri" w:cs="Calibri" w:eastAsia="Calibri" w:hAnsi="Calibri"/>
          <w:b/>
          <w:bCs/>
          <w:color w:val="0F1C35"/>
          <w:sz w:val="30"/>
          <w:szCs w:val="30"/>
        </w:rPr>
        <w:t xml:space="preserve">3. Software &amp; SaaS Inventory &amp; Costs</w:t>
      </w:r>
    </w:p>
    <w:p>
      <w:pPr>
        <w:spacing w:after="160" w:line="276"/>
      </w:pPr>
      <w:r>
        <w:rPr>
          <w:rFonts w:ascii="Calibri" w:cs="Calibri" w:eastAsia="Calibri" w:hAnsi="Calibri"/>
          <w:color w:val="222222"/>
          <w:sz w:val="21"/>
          <w:szCs w:val="21"/>
        </w:rPr>
        <w:t xml:space="preserve">Organized by function. Phase 0–1 assumes a founder-solo operation (1 seat); scaling notes indicate what changes as the first hires or contractors come on. Microsoft 365 is the recommended core environment (see revision note above) — alternatives are listed for each category.</w:t>
      </w:r>
    </w:p>
    <w:p>
      <w:pPr>
        <w:pStyle w:val="Heading2"/>
        <w:spacing w:after="140" w:before="320"/>
      </w:pPr>
      <w:r>
        <w:rPr>
          <w:rFonts w:ascii="Calibri" w:cs="Calibri" w:eastAsia="Calibri" w:hAnsi="Calibri"/>
          <w:b/>
          <w:bCs/>
          <w:color w:val="0F1C35"/>
          <w:sz w:val="24"/>
          <w:szCs w:val="24"/>
        </w:rPr>
        <w:t xml:space="preserve">3.1 Business Operations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50"/>
        <w:gridCol w:w="2150"/>
        <w:gridCol w:w="2650"/>
      </w:tblGrid>
      <w:tr>
        <w:trPr>
          <w:tblHeader/>
        </w:trPr>
        <w:tc>
          <w:tcPr>
            <w:tcW w:type="dxa" w:w="19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Category</w:t>
            </w:r>
          </w:p>
        </w:tc>
        <w:tc>
          <w:tcPr>
            <w:tcW w:type="dxa" w:w="26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Recommended Tool</w:t>
            </w:r>
          </w:p>
        </w:tc>
        <w:tc>
          <w:tcPr>
            <w:tcW w:type="dxa" w:w="21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Est. Monthly Cost (1 seat)</w:t>
            </w:r>
          </w:p>
        </w:tc>
        <w:tc>
          <w:tcPr>
            <w:tcW w:type="dxa" w:w="26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Top Alternatives</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Core productivity, email, calendar, storage</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Microsoft 365 Business Premium — bundles Entra ID (MFA), Intune (device mgmt), Defender, and Purview audit logging, consolidating several lines below.</w:t>
            </w:r>
          </w:p>
        </w:tc>
        <w:tc>
          <w:tcPr>
            <w:tcW w:type="dxa" w:w="2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$22/user (Business Standard $14/user if a lighter security posture is acceptable at Phase 0)</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Google Workspace Business Plus ($22/user), Zoho Workplace ($3–$6/user)</w:t>
            </w:r>
          </w:p>
        </w:tc>
      </w:tr>
      <w:tr>
        <w:tc>
          <w:tcPr>
            <w:tcW w:type="dxa" w:w="1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Domain registration + DNS</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Namecheap</w:t>
            </w:r>
          </w:p>
        </w:tc>
        <w:tc>
          <w:tcPr>
            <w:tcW w:type="dxa" w:w="2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 (amortized from ~$15–$20/yr)</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Cloudflare Registrar, GoDaddy</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Website hosting</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Netlify</w:t>
            </w:r>
          </w:p>
        </w:tc>
        <w:tc>
          <w:tcPr>
            <w:tcW w:type="dxa" w:w="2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 (free tier) → $19 (Pro, once traffic scales)</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Vercel, Microsoft Azure Static Web Apps (native Azure/M365 fit)</w:t>
            </w:r>
          </w:p>
        </w:tc>
      </w:tr>
      <w:tr>
        <w:tc>
          <w:tcPr>
            <w:tcW w:type="dxa" w:w="1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CRM</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HubSpot</w:t>
            </w:r>
          </w:p>
        </w:tc>
        <w:tc>
          <w:tcPr>
            <w:tcW w:type="dxa" w:w="2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 (free CRM core) → $20/seat (Starter, once automation is needed)</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Zoho CRM, Pipedrive, Microsoft Dynamics 365 Sales (deepest M365 integration, pricier)</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Accounting</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QuickBooks Online — Simple Start</w:t>
            </w:r>
          </w:p>
        </w:tc>
        <w:tc>
          <w:tcPr>
            <w:tcW w:type="dxa" w:w="2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~$38</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Xero, FreshBooks</w:t>
            </w:r>
          </w:p>
        </w:tc>
      </w:tr>
      <w:tr>
        <w:tc>
          <w:tcPr>
            <w:tcW w:type="dxa" w:w="1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E-signature</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SignNow</w:t>
            </w:r>
          </w:p>
        </w:tc>
        <w:tc>
          <w:tcPr>
            <w:tcW w:type="dxa" w:w="2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~$20–$30 (estimate — confirm current plan pricing)</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DocuSign, Adobe Acrobat Sign</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Password manager</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1Password Business</w:t>
            </w:r>
          </w:p>
        </w:tc>
        <w:tc>
          <w:tcPr>
            <w:tcW w:type="dxa" w:w="2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~$8/user (estimate)</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Keeper, LastPass — note Entra ID's conditional access/MFA complements but doesn't replace a dedicated vault</w:t>
            </w:r>
          </w:p>
        </w:tc>
      </w:tr>
      <w:tr>
        <w:tc>
          <w:tcPr>
            <w:tcW w:type="dxa" w:w="1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Business phone / VoIP</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Microsoft Teams Phone — same admin console as M365; calling-plan add-on</w:t>
            </w:r>
          </w:p>
        </w:tc>
        <w:tc>
          <w:tcPr>
            <w:tcW w:type="dxa" w:w="2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~$8–$12/user calling plan on top of the Teams license already included in Business Premium</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OpenPhone (~$15–$23/user, simpler standalone), RingCentral</w:t>
            </w:r>
          </w:p>
        </w:tc>
      </w:tr>
      <w:tr>
        <w:tc>
          <w:tcPr>
            <w:tcW w:type="dxa" w:w="1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Automation/integration</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Microsoft Power Automate — native to M365, basic flows included in Business Premium</w:t>
            </w:r>
          </w:p>
        </w:tc>
        <w:tc>
          <w:tcPr>
            <w:tcW w:type="dxa" w:w="2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 (basic) → ~$15–$40 (premium connectors)</w:t>
            </w:r>
          </w:p>
        </w:tc>
        <w:tc>
          <w:tcPr>
            <w:tcW w:type="dxa" w:w="26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Zapier (~$20–$30), Make</w:t>
            </w:r>
          </w:p>
        </w:tc>
      </w:tr>
      <w:tr>
        <w:tc>
          <w:tcPr>
            <w:tcW w:type="dxa" w:w="1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Cloud backup</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OneDrive/SharePoint versioning (included in M365) at Phase 0–1; add a dedicated tool once scaling</w:t>
            </w:r>
          </w:p>
        </w:tc>
        <w:tc>
          <w:tcPr>
            <w:tcW w:type="dxa" w:w="2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 (Phase 0–1) → ~$10–$20 once a dedicated tool is added</w:t>
            </w:r>
          </w:p>
        </w:tc>
        <w:tc>
          <w:tcPr>
            <w:tcW w:type="dxa" w:w="26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Backblaze, Acronis, Veeam</w:t>
            </w:r>
          </w:p>
        </w:tc>
      </w:tr>
    </w:tbl>
    <w:p>
      <w:pPr>
        <w:spacing w:after="160" w:line="276"/>
      </w:pPr>
      <w:r>
        <w:rPr>
          <w:rFonts w:ascii="Calibri" w:cs="Calibri" w:eastAsia="Calibri" w:hAnsi="Calibri"/>
          <w:b/>
          <w:bCs/>
          <w:color w:val="222222"/>
          <w:sz w:val="21"/>
          <w:szCs w:val="21"/>
        </w:rPr>
        <w:t xml:space="preserve">Business operations stack subtotal: approximately $98 – $211/month. The M365 Premium seat costs more than the Google Workspace Starter tier it replaces, but Teams Phone and Power Automate typically cost less than the standalone VoIP/automation tools they replace — net effect is roughly cost-neutral, with a meaningfully stronger security/compliance bundle.</w:t>
      </w:r>
    </w:p>
    <w:p>
      <w:pPr>
        <w:pStyle w:val="Heading2"/>
        <w:spacing w:after="140" w:before="320"/>
      </w:pPr>
      <w:r>
        <w:rPr>
          <w:rFonts w:ascii="Calibri" w:cs="Calibri" w:eastAsia="Calibri" w:hAnsi="Calibri"/>
          <w:b/>
          <w:bCs/>
          <w:color w:val="0F1C35"/>
          <w:sz w:val="24"/>
          <w:szCs w:val="24"/>
        </w:rPr>
        <w:t xml:space="preserve">3.2 AI / LLM Delivery Stack</w:t>
      </w:r>
    </w:p>
    <w:p>
      <w:pPr>
        <w:spacing w:after="160" w:line="276"/>
      </w:pPr>
      <w:r>
        <w:rPr>
          <w:rFonts w:ascii="Calibri" w:cs="Calibri" w:eastAsia="Calibri" w:hAnsi="Calibri"/>
          <w:color w:val="222222"/>
          <w:sz w:val="21"/>
          <w:szCs w:val="21"/>
        </w:rPr>
        <w:t xml:space="preserve">This is the layer that actually produces client workflow outcomes. Two cost types apply: seat-based subscriptions for the founder's own working environment, and usage-based API costs for running client workflows — the latter should be tracked as a cost of goods sold (COGS) against each retainer, not a fixed overhead line. This stack is intentionally single-vendor (Anthropic) — it is the platform the entire business is built on, not a category to multi-source.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400"/>
        <w:gridCol w:w="2350"/>
        <w:gridCol w:w="1150"/>
      </w:tblGrid>
      <w:tr>
        <w:trPr>
          <w:tblHeader/>
        </w:trPr>
        <w:tc>
          <w:tcPr>
            <w:tcW w:type="dxa" w:w="24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Item</w:t>
            </w:r>
          </w:p>
        </w:tc>
        <w:tc>
          <w:tcPr>
            <w:tcW w:type="dxa" w:w="34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Function</w:t>
            </w:r>
          </w:p>
        </w:tc>
        <w:tc>
          <w:tcPr>
            <w:tcW w:type="dxa" w:w="23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Est. Cost</w:t>
            </w:r>
          </w:p>
        </w:tc>
        <w:tc>
          <w:tcPr>
            <w:tcW w:type="dxa" w:w="11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Vendor Notes</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Claude subscription (Pro)</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Founder's own daily research, drafting, and internal AI-Ops build work.</w:t>
            </w:r>
          </w:p>
        </w:tc>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$20/month</w:t>
            </w:r>
          </w:p>
        </w:tc>
        <w:tc>
          <w:tcPr>
            <w:tcW w:type="dxa" w:w="1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Anthropic — not a multi-vendor category for this business</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Claude Team — premium seat (includes Claude Code)</w:t>
            </w:r>
          </w:p>
        </w:tc>
        <w:tc>
          <w:tcPr>
            <w:tcW w:type="dxa" w:w="34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Upgrade path once the founder or a contractor needs the coding/agentic environment for building client integrations.</w:t>
            </w:r>
          </w:p>
        </w:tc>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$150/month per seat</w:t>
            </w:r>
          </w:p>
        </w:tc>
        <w:tc>
          <w:tcPr>
            <w:tcW w:type="dxa" w:w="1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Anthropic</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Claude API usage — client workflow execution</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Running prompt libraries and automations for live client workflows. Priced per model tier per million tokens.</w:t>
            </w:r>
          </w:p>
        </w:tc>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~$150–$400/month at early client volume, scaling with retainer count — track as COGS</w:t>
            </w:r>
          </w:p>
        </w:tc>
        <w:tc>
          <w:tcPr>
            <w:tcW w:type="dxa" w:w="1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Anthropic</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Managed vector database</w:t>
            </w:r>
          </w:p>
        </w:tc>
        <w:tc>
          <w:tcPr>
            <w:tcW w:type="dxa" w:w="34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RAG/document search for early document-heavy engagements, before self-hosting is justified.</w:t>
            </w:r>
          </w:p>
        </w:tc>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$0–$70/month depending on volume</w:t>
            </w:r>
          </w:p>
        </w:tc>
        <w:tc>
          <w:tcPr>
            <w:tcW w:type="dxa" w:w="11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Pinecone, Weaviate, Qdrant</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Web search / research tool add-ons</w:t>
            </w:r>
          </w:p>
        </w:tc>
        <w:tc>
          <w:tcPr>
            <w:tcW w:type="dxa" w:w="3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Case research, market research support for law-firm and vertical engagements.</w:t>
            </w:r>
          </w:p>
        </w:tc>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Usage-based, typically low at early volume</w:t>
            </w:r>
          </w:p>
        </w:tc>
        <w:tc>
          <w:tcPr>
            <w:tcW w:type="dxa" w:w="11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Built into Claude API tool use — no separate vendor needed at this stage</w:t>
            </w:r>
          </w:p>
        </w:tc>
      </w:tr>
    </w:tbl>
    <w:p>
      <w:pPr>
        <w:spacing w:after="160" w:line="276"/>
      </w:pPr>
      <w:r>
        <w:rPr>
          <w:rFonts w:ascii="Calibri" w:cs="Calibri" w:eastAsia="Calibri" w:hAnsi="Calibri"/>
          <w:i/>
          <w:iCs/>
          <w:color w:val="666666"/>
          <w:sz w:val="21"/>
          <w:szCs w:val="21"/>
        </w:rPr>
        <w:t xml:space="preserve">Note: exact current API pricing per model tier should always be checked at anthropic.com/pricing before budgeting — tiers and rates are revised periodically. As of current research, per-million-token pricing runs roughly $1/$5 (budget tier) to $3/$15 (mid tier) to $5/$25 (premium tier), input/output respectively.</w:t>
      </w:r>
    </w:p>
    <w:p>
      <w:pPr>
        <w:pStyle w:val="Heading2"/>
        <w:spacing w:after="140" w:before="320"/>
      </w:pPr>
      <w:r>
        <w:rPr>
          <w:rFonts w:ascii="Calibri" w:cs="Calibri" w:eastAsia="Calibri" w:hAnsi="Calibri"/>
          <w:b/>
          <w:bCs/>
          <w:color w:val="0F1C35"/>
          <w:sz w:val="24"/>
          <w:szCs w:val="24"/>
        </w:rPr>
        <w:t xml:space="preserve">3.3 Security &amp; Compliance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3350"/>
        <w:gridCol w:w="2100"/>
        <w:gridCol w:w="1550"/>
      </w:tblGrid>
      <w:tr>
        <w:trPr>
          <w:tblHeader/>
        </w:trPr>
        <w:tc>
          <w:tcPr>
            <w:tcW w:type="dxa" w:w="23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Item</w:t>
            </w:r>
          </w:p>
        </w:tc>
        <w:tc>
          <w:tcPr>
            <w:tcW w:type="dxa" w:w="33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Function</w:t>
            </w:r>
          </w:p>
        </w:tc>
        <w:tc>
          <w:tcPr>
            <w:tcW w:type="dxa" w:w="21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Est. Cost</w:t>
            </w:r>
          </w:p>
        </w:tc>
        <w:tc>
          <w:tcPr>
            <w:tcW w:type="dxa" w:w="15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Vendor Notes</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Cyber liability insurance</w:t>
            </w:r>
          </w:p>
        </w:tc>
        <w:tc>
          <w:tcPr>
            <w:tcW w:type="dxa" w:w="3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Direct risk-transfer for a business handling privacy-sensitive client data — already an identified Phase 0 pre-launch task.</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~$900–$1,800/year (get an actual quote)</w:t>
            </w:r>
          </w:p>
        </w:tc>
        <w:tc>
          <w:tcPr>
            <w:tcW w:type="dxa" w:w="15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Coalition, Hiscox, Chubb (top small-business carriers/MGAs)</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MFA enforcement</w:t>
            </w:r>
          </w:p>
        </w:tc>
        <w:tc>
          <w:tcPr>
            <w:tcW w:type="dxa" w:w="3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Baseline account security — no separate line item if bundled tools are configured correctly.</w:t>
            </w:r>
          </w:p>
        </w:tc>
        <w:tc>
          <w:tcPr>
            <w:tcW w:type="dxa" w:w="21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 incremental — included in M365 Business Premium (Entra ID) + 1Password</w:t>
            </w:r>
          </w:p>
        </w:tc>
        <w:tc>
          <w:tcPr>
            <w:tcW w:type="dxa" w:w="15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N/A — bundled</w:t>
            </w:r>
          </w:p>
        </w:tc>
      </w:tr>
      <w:tr>
        <w:tc>
          <w:tcPr>
            <w:tcW w:type="dxa" w:w="2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BAA/DPA/MSA legal templates</w:t>
            </w:r>
          </w:p>
        </w:tc>
        <w:tc>
          <w:tcPr>
            <w:tcW w:type="dxa" w:w="33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One-time legal cost to make compliance language usable and defensible — already an identified Phase 0 task.</w:t>
            </w:r>
          </w:p>
        </w:tc>
        <w:tc>
          <w:tcPr>
            <w:tcW w:type="dxa" w:w="21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$1,500–$4,000 one-time (varies by attorney/scope)</w:t>
            </w:r>
          </w:p>
        </w:tc>
        <w:tc>
          <w:tcPr>
            <w:tcW w:type="dxa" w:w="15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Use a licensed business/healthcare-compliance attorney — not a generic template vendor, given the compliance stakes</w:t>
            </w:r>
          </w:p>
        </w:tc>
      </w:tr>
      <w:tr>
        <w:tc>
          <w:tcPr>
            <w:tcW w:type="dxa" w:w="2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Audit logging / access log retention</w:t>
            </w:r>
          </w:p>
        </w:tc>
        <w:tc>
          <w:tcPr>
            <w:tcW w:type="dxa" w:w="33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Supports the “audit-friendly design” positioning for regulated clients.</w:t>
            </w:r>
          </w:p>
        </w:tc>
        <w:tc>
          <w:tcPr>
            <w:tcW w:type="dxa" w:w="21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$0 incremental at Phase 0–1 — covered by Microsoft Purview compliance logging (included in M365 Business Premium) + Claude API usage logs</w:t>
            </w:r>
          </w:p>
        </w:tc>
        <w:tc>
          <w:tcPr>
            <w:tcW w:type="dxa" w:w="15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N/A — bundled</w:t>
            </w:r>
          </w:p>
        </w:tc>
      </w:tr>
    </w:tbl>
    <w:p>
      <w:r>
        <w:br w:type="page"/>
      </w:r>
    </w:p>
    <w:p>
      <w:pPr>
        <w:pStyle w:val="Heading1"/>
        <w:pBdr>
          <w:bottom w:val="single" w:color="C9A84C" w:sz="6" w:space="4"/>
        </w:pBdr>
        <w:spacing w:after="200" w:before="480"/>
      </w:pPr>
      <w:r>
        <w:rPr>
          <w:rFonts w:ascii="Calibri" w:cs="Calibri" w:eastAsia="Calibri" w:hAnsi="Calibri"/>
          <w:b/>
          <w:bCs/>
          <w:color w:val="0F1C35"/>
          <w:sz w:val="30"/>
          <w:szCs w:val="30"/>
        </w:rPr>
        <w:t xml:space="preserve">4. Business Technology Infrastructure Design</w:t>
      </w:r>
    </w:p>
    <w:p>
      <w:pPr>
        <w:spacing w:after="160" w:line="276"/>
      </w:pPr>
      <w:r>
        <w:rPr>
          <w:rFonts w:ascii="Calibri" w:cs="Calibri" w:eastAsia="Calibri" w:hAnsi="Calibri"/>
          <w:color w:val="222222"/>
          <w:sz w:val="21"/>
          <w:szCs w:val="21"/>
        </w:rPr>
        <w:t xml:space="preserve">This section describes the operating architecture that ties the hardware and software inventories together. It complements — rather than duplicates — the existing AI infrastructure diagram in the project suite, which focuses on the private inference/RAG environment. This is the wider business-technology picture: how client work actually flows through tools day to day.</w:t>
      </w:r>
    </w:p>
    <w:p>
      <w:pPr>
        <w:pStyle w:val="Heading2"/>
        <w:spacing w:after="140" w:before="320"/>
      </w:pPr>
      <w:r>
        <w:rPr>
          <w:rFonts w:ascii="Calibri" w:cs="Calibri" w:eastAsia="Calibri" w:hAnsi="Calibri"/>
          <w:b/>
          <w:bCs/>
          <w:color w:val="0F1C35"/>
          <w:sz w:val="24"/>
          <w:szCs w:val="24"/>
        </w:rPr>
        <w:t xml:space="preserve">4.1 Four-Layer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50"/>
      </w:tblGrid>
      <w:tr>
        <w:trPr>
          <w:tblHeader/>
        </w:trPr>
        <w:tc>
          <w:tcPr>
            <w:tcW w:type="dxa" w:w="21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Layer</w:t>
            </w:r>
          </w:p>
        </w:tc>
        <w:tc>
          <w:tcPr>
            <w:tcW w:type="dxa" w:w="44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Components</w:t>
            </w:r>
          </w:p>
        </w:tc>
        <w:tc>
          <w:tcPr>
            <w:tcW w:type="dxa" w:w="28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 Client Delivery Layer</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Prompt libraries, workflow playbooks, client deliverables (native docx/xlsx/HTML — no format conversion needed), SharePoint/OneDrive shared folders with sensitivity labels, SignNow for execution.</w:t>
            </w:r>
          </w:p>
        </w:tc>
        <w:tc>
          <w:tcPr>
            <w:tcW w:type="dxa" w:w="28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Where client-facing outcomes are produced and delivered. This is the actual product.</w:t>
            </w:r>
          </w:p>
        </w:tc>
      </w:tr>
      <w:tr>
        <w:tc>
          <w:tcPr>
            <w:tcW w:type="dxa" w:w="21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2. Internal Operations Layer</w:t>
            </w:r>
          </w:p>
        </w:tc>
        <w:tc>
          <w:tcPr>
            <w:tcW w:type="dxa" w:w="44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Microsoft 365 (Teams, Outlook, SharePoint, OneDrive), HubSpot CRM, QuickBooks Online, Power Automate, Microsoft Teams Phone.</w:t>
            </w:r>
          </w:p>
        </w:tc>
        <w:tc>
          <w:tcPr>
            <w:tcW w:type="dxa" w:w="28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Runs the business itself — pipeline, billing, communication, scheduling.</w:t>
            </w:r>
          </w:p>
        </w:tc>
      </w:tr>
      <w:tr>
        <w:tc>
          <w:tcPr>
            <w:tcW w:type="dxa" w:w="21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3. AI / Compute Layer</w:t>
            </w:r>
          </w:p>
        </w:tc>
        <w:tc>
          <w:tcPr>
            <w:tcW w:type="dxa" w:w="4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Claude API (primary, public endpoint) for Phase 0–1; private GPU node (Phase 2, demand-gated — or an Azure-hosted private endpoint for the lighter infra tiers) for clients requiring dedicated/zero-retention inference; managed or self-hosted vector DB for RAG.</w:t>
            </w:r>
          </w:p>
        </w:tc>
        <w:tc>
          <w:tcPr>
            <w:tcW w:type="dxa" w:w="28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Executes the actual workflow automation and document intelligence behind client deliverables.</w:t>
            </w:r>
          </w:p>
        </w:tc>
      </w:tr>
      <w:tr>
        <w:tc>
          <w:tcPr>
            <w:tcW w:type="dxa" w:w="21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4. Security &amp; Compliance Layer</w:t>
            </w:r>
          </w:p>
        </w:tc>
        <w:tc>
          <w:tcPr>
            <w:tcW w:type="dxa" w:w="44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1Password, MFA via Entra ID across all tools, VPN-only access to any private endpoint, Microsoft Purview audit logging, encrypted local backup (optional), cloud backup, BAA/DPA/MSA templates, cyber liability insurance.</w:t>
            </w:r>
          </w:p>
        </w:tc>
        <w:tc>
          <w:tcPr>
            <w:tcW w:type="dxa" w:w="28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Protects client data and supports the privacy-first, audit-friendly positioning that differentiates this business from public-AI-only competitors.</w:t>
            </w:r>
          </w:p>
        </w:tc>
      </w:tr>
    </w:tbl>
    <w:p>
      <w:pPr>
        <w:pStyle w:val="Heading2"/>
        <w:spacing w:after="140" w:before="320"/>
      </w:pPr>
      <w:r>
        <w:rPr>
          <w:rFonts w:ascii="Calibri" w:cs="Calibri" w:eastAsia="Calibri" w:hAnsi="Calibri"/>
          <w:b/>
          <w:bCs/>
          <w:color w:val="0F1C35"/>
          <w:sz w:val="24"/>
          <w:szCs w:val="24"/>
        </w:rPr>
        <w:t xml:space="preserve">4.2 Data Flow &amp; Security Posture</w:t>
      </w:r>
    </w:p>
    <w:p>
      <w:pPr>
        <w:spacing w:after="160" w:line="276"/>
      </w:pPr>
      <w:r>
        <w:rPr>
          <w:rFonts w:ascii="Calibri" w:cs="Calibri" w:eastAsia="Calibri" w:hAnsi="Calibri"/>
          <w:color w:val="222222"/>
          <w:sz w:val="21"/>
          <w:szCs w:val="21"/>
        </w:rPr>
        <w:t xml:space="preserve">The intended flow for a typical engagement: client data and documents enter through a controlled intake point (a SharePoint/OneDrive shared folder with sensitivity labels applied, or direct upload — never email attachments as the primary channel) → processed through the AI/Compute layer using the lowest-privilege model tier that can do the job → output reviewed by a human (the “human-in-the-loop” principle already established in the core strategy) → delivered back through the Client Delivery Layer → logged in the Internal Operations Layer for billing and reporting.</w:t>
      </w:r>
    </w:p>
    <w:p>
      <w:pPr>
        <w:spacing w:after="160" w:line="276"/>
      </w:pPr>
      <w:r>
        <w:rPr>
          <w:rFonts w:ascii="Calibri" w:cs="Calibri" w:eastAsia="Calibri" w:hAnsi="Calibri"/>
          <w:color w:val="222222"/>
          <w:sz w:val="21"/>
          <w:szCs w:val="21"/>
        </w:rPr>
        <w:t xml:space="preserve">Three architectural decisions matter most at this stage:</w:t>
      </w:r>
    </w:p>
    <w:p>
      <w:pPr>
        <w:pStyle w:val="ListParagraph"/>
        <w:numPr>
          <w:ilvl w:val="0"/>
          <w:numId w:val="2"/>
        </w:numPr>
        <w:spacing w:after="90"/>
      </w:pPr>
      <w:r>
        <w:rPr>
          <w:rFonts w:ascii="Calibri" w:cs="Calibri" w:eastAsia="Calibri" w:hAnsi="Calibri"/>
          <w:color w:val="222222"/>
          <w:sz w:val="21"/>
          <w:szCs w:val="21"/>
        </w:rPr>
        <w:t xml:space="preserve">Public API by default, private infrastructure by exception. Claude's API is the default execution path for Phase 0–1 — it is dramatically cheaper and faster to operate than owned infrastructure, and Anthropic's standard API terms already support the “no training on API data” posture most clients need. The private GPU node is reserved specifically for clients whose compliance posture requires dedicated, non-shared inference — not used as the default.</w:t>
      </w:r>
    </w:p>
    <w:p>
      <w:pPr>
        <w:pStyle w:val="ListParagraph"/>
        <w:numPr>
          <w:ilvl w:val="0"/>
          <w:numId w:val="2"/>
        </w:numPr>
        <w:spacing w:after="90"/>
      </w:pPr>
      <w:r>
        <w:rPr>
          <w:rFonts w:ascii="Calibri" w:cs="Calibri" w:eastAsia="Calibri" w:hAnsi="Calibri"/>
          <w:color w:val="222222"/>
          <w:sz w:val="21"/>
          <w:szCs w:val="21"/>
        </w:rPr>
        <w:t xml:space="preserve">Every credential, every tool, MFA-enforced, password-manager-issued. This is a one-person (or two-person) operation handling privilege- and HIPAA-adjacent client data — the security baseline has to be genuinely defensible in a client conversation, not just described.</w:t>
      </w:r>
    </w:p>
    <w:p>
      <w:pPr>
        <w:pStyle w:val="ListParagraph"/>
        <w:numPr>
          <w:ilvl w:val="0"/>
          <w:numId w:val="2"/>
        </w:numPr>
        <w:spacing w:after="90"/>
      </w:pPr>
      <w:r>
        <w:rPr>
          <w:rFonts w:ascii="Calibri" w:cs="Calibri" w:eastAsia="Calibri" w:hAnsi="Calibri"/>
          <w:color w:val="222222"/>
          <w:sz w:val="21"/>
          <w:szCs w:val="21"/>
        </w:rPr>
        <w:t xml:space="preserve">Native file formats end-to-end. Because every deliverable is already docx/xlsx and the core environment is now Microsoft 365, there is no format-translation step between internal production and client delivery — one fewer place for formatting drift or a broken client experience to creep in.</w:t>
      </w:r>
    </w:p>
    <w:p>
      <w:r>
        <w:br w:type="page"/>
      </w:r>
    </w:p>
    <w:p>
      <w:pPr>
        <w:pStyle w:val="Heading1"/>
        <w:pBdr>
          <w:bottom w:val="single" w:color="C9A84C" w:sz="6" w:space="4"/>
        </w:pBdr>
        <w:spacing w:after="200" w:before="480"/>
      </w:pPr>
      <w:r>
        <w:rPr>
          <w:rFonts w:ascii="Calibri" w:cs="Calibri" w:eastAsia="Calibri" w:hAnsi="Calibri"/>
          <w:b/>
          <w:bCs/>
          <w:color w:val="0F1C35"/>
          <w:sz w:val="30"/>
          <w:szCs w:val="30"/>
        </w:rPr>
        <w:t xml:space="preserve">5. Consolidated Cost Summary</w:t>
      </w:r>
    </w:p>
    <w:p>
      <w:pPr>
        <w:pStyle w:val="Heading2"/>
        <w:spacing w:after="140" w:before="320"/>
      </w:pPr>
      <w:r>
        <w:rPr>
          <w:rFonts w:ascii="Calibri" w:cs="Calibri" w:eastAsia="Calibri" w:hAnsi="Calibri"/>
          <w:b/>
          <w:bCs/>
          <w:color w:val="0F1C35"/>
          <w:sz w:val="24"/>
          <w:szCs w:val="24"/>
        </w:rPr>
        <w:t xml:space="preserve">5.1 One-Time Capex by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550"/>
        <w:gridCol w:w="1400"/>
      </w:tblGrid>
      <w:tr>
        <w:trPr>
          <w:tblHeader/>
        </w:trPr>
        <w:tc>
          <w:tcPr>
            <w:tcW w:type="dxa" w:w="22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Phase</w:t>
            </w:r>
          </w:p>
        </w:tc>
        <w:tc>
          <w:tcPr>
            <w:tcW w:type="dxa" w:w="42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Category</w:t>
            </w:r>
          </w:p>
        </w:tc>
        <w:tc>
          <w:tcPr>
            <w:tcW w:type="dxa" w:w="15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Low</w:t>
            </w:r>
          </w:p>
        </w:tc>
        <w:tc>
          <w:tcPr>
            <w:tcW w:type="dxa" w:w="14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High</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Phase 0–1</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Core operating hardware (Section 2.1)</w:t>
            </w:r>
          </w:p>
        </w:tc>
        <w:tc>
          <w:tcPr>
            <w:tcW w:type="dxa" w:w="15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$3,850</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$5,450</w:t>
            </w:r>
          </w:p>
        </w:tc>
      </w:tr>
      <w:tr>
        <w:tc>
          <w:tcPr>
            <w:tcW w:type="dxa" w:w="2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Phase 0–1</w:t>
            </w:r>
          </w:p>
        </w:tc>
        <w:tc>
          <w:tcPr>
            <w:tcW w:type="dxa" w:w="4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Legal templates (BAA/DPA/MSA review)</w:t>
            </w:r>
          </w:p>
        </w:tc>
        <w:tc>
          <w:tcPr>
            <w:tcW w:type="dxa" w:w="15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$1,500</w:t>
            </w:r>
          </w:p>
        </w:tc>
        <w:tc>
          <w:tcPr>
            <w:tcW w:type="dxa" w:w="14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$4,000</w:t>
            </w:r>
          </w:p>
        </w:tc>
      </w:tr>
      <w:tr>
        <w:tc>
          <w:tcPr>
            <w:tcW w:type="dxa" w:w="2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Phase 0–1 subtotal</w:t>
            </w:r>
          </w:p>
        </w:tc>
        <w:tc>
          <w:tcPr>
            <w:tcW w:type="dxa" w:w="42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
            </w:r>
          </w:p>
        </w:tc>
        <w:tc>
          <w:tcPr>
            <w:tcW w:type="dxa" w:w="15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$5,350</w:t>
            </w:r>
          </w:p>
        </w:tc>
        <w:tc>
          <w:tcPr>
            <w:tcW w:type="dxa" w:w="14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$9,450</w:t>
            </w:r>
          </w:p>
        </w:tc>
      </w:tr>
      <w:tr>
        <w:tc>
          <w:tcPr>
            <w:tcW w:type="dxa" w:w="2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Phase 2 (demand-gated)</w:t>
            </w:r>
          </w:p>
        </w:tc>
        <w:tc>
          <w:tcPr>
            <w:tcW w:type="dxa" w:w="42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Private GPU infrastructure (Section 2.2)</w:t>
            </w:r>
          </w:p>
        </w:tc>
        <w:tc>
          <w:tcPr>
            <w:tcW w:type="dxa" w:w="15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$15,300</w:t>
            </w:r>
          </w:p>
        </w:tc>
        <w:tc>
          <w:tcPr>
            <w:tcW w:type="dxa" w:w="14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$16,100</w:t>
            </w:r>
          </w:p>
        </w:tc>
      </w:tr>
    </w:tbl>
    <w:p>
      <w:pPr>
        <w:pStyle w:val="Heading2"/>
        <w:spacing w:after="140" w:before="320"/>
      </w:pPr>
      <w:r>
        <w:rPr>
          <w:rFonts w:ascii="Calibri" w:cs="Calibri" w:eastAsia="Calibri" w:hAnsi="Calibri"/>
          <w:b/>
          <w:bCs/>
          <w:color w:val="0F1C35"/>
          <w:sz w:val="24"/>
          <w:szCs w:val="24"/>
        </w:rPr>
        <w:t xml:space="preserve">5.2 Monthly Recurring Opex by Phase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2900"/>
        <w:gridCol w:w="4000"/>
      </w:tblGrid>
      <w:tr>
        <w:trPr>
          <w:tblHeader/>
        </w:trPr>
        <w:tc>
          <w:tcPr>
            <w:tcW w:type="dxa" w:w="245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Category</w:t>
            </w:r>
          </w:p>
        </w:tc>
        <w:tc>
          <w:tcPr>
            <w:tcW w:type="dxa" w:w="29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Phase 0–1 (founder-solo)</w:t>
            </w:r>
          </w:p>
        </w:tc>
        <w:tc>
          <w:tcPr>
            <w:tcW w:type="dxa" w:w="4000"/>
            <w:shd w:fill="0F1C35" w:val="clear"/>
            <w:tcMar>
              <w:top w:type="dxa" w:w="80"/>
              <w:left w:type="dxa" w:w="100"/>
              <w:bottom w:type="dxa" w:w="80"/>
              <w:right w:type="dxa" w:w="100"/>
            </w:tcMar>
          </w:tcPr>
          <w:p>
            <w:pPr>
              <w:jc w:val="left"/>
            </w:pPr>
            <w:r>
              <w:rPr>
                <w:rFonts w:ascii="Calibri" w:cs="Calibri" w:eastAsia="Calibri" w:hAnsi="Calibri"/>
                <w:b/>
                <w:bCs/>
                <w:color w:val="FFFFFF"/>
                <w:sz w:val="18"/>
                <w:szCs w:val="18"/>
              </w:rPr>
              <w:t xml:space="preserve">Notes on scaling</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Business operations stack (3.1)</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~$98 – $211/month</w:t>
            </w:r>
          </w:p>
        </w:tc>
        <w:tc>
          <w:tcPr>
            <w:tcW w:type="dxa" w:w="40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M365 seat cost scales per user; Teams Phone/Power Automate costs scale more gently than the standalone tools they replace</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AI/LLM delivery stack (3.2)</w:t>
            </w:r>
          </w:p>
        </w:tc>
        <w:tc>
          <w:tcPr>
            <w:tcW w:type="dxa" w:w="2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~$320 – $640/month</w:t>
            </w:r>
          </w:p>
        </w:tc>
        <w:tc>
          <w:tcPr>
            <w:tcW w:type="dxa" w:w="40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Claude API usage line should scale with retainer count — track as COGS per client, not flat overhead</w:t>
            </w:r>
          </w:p>
        </w:tc>
      </w:tr>
      <w:tr>
        <w:tc>
          <w:tcPr>
            <w:tcW w:type="dxa" w:w="245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Security &amp; compliance stack (3.3)</w:t>
            </w:r>
          </w:p>
        </w:tc>
        <w:tc>
          <w:tcPr>
            <w:tcW w:type="dxa" w:w="29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~$75 – $150/month (insurance amortized)</w:t>
            </w:r>
          </w:p>
        </w:tc>
        <w:tc>
          <w:tcPr>
            <w:tcW w:type="dxa" w:w="4000"/>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Largely fixed regardless of scale; M365 Premium's bundled Purview/Entra ID reduces the odds of a new tool being needed here</w:t>
            </w:r>
          </w:p>
        </w:tc>
      </w:tr>
      <w:tr>
        <w:tc>
          <w:tcPr>
            <w:tcW w:type="dxa" w:w="245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Estimated total Phase 0–1 monthly</w:t>
            </w:r>
          </w:p>
        </w:tc>
        <w:tc>
          <w:tcPr>
            <w:tcW w:type="dxa" w:w="29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~$495 – $1,000/month</w:t>
            </w:r>
          </w:p>
        </w:tc>
        <w:tc>
          <w:tcPr>
            <w:tcW w:type="dxa" w:w="4000"/>
            <w:shd w:fill="F5F5F5" w:val="clear"/>
            <w:tcMar>
              <w:top w:type="dxa" w:w="80"/>
              <w:left w:type="dxa" w:w="100"/>
              <w:bottom w:type="dxa" w:w="80"/>
              <w:right w:type="dxa" w:w="100"/>
            </w:tcMar>
          </w:tcPr>
          <w:p>
            <w:pPr>
              <w:jc w:val="left"/>
            </w:pPr>
            <w:r>
              <w:rPr>
                <w:rFonts w:ascii="Calibri" w:cs="Calibri" w:eastAsia="Calibri" w:hAnsi="Calibri"/>
                <w:b w:val="false"/>
                <w:bCs w:val="false"/>
                <w:color w:val="222222"/>
                <w:sz w:val="18"/>
                <w:szCs w:val="18"/>
              </w:rPr>
              <w:t xml:space="preserve">Excludes one-time capex and Phase 2 GPU costs</w:t>
            </w:r>
          </w:p>
        </w:tc>
      </w:tr>
    </w:tbl>
    <w:p>
      <w:pPr>
        <w:pStyle w:val="Heading2"/>
        <w:spacing w:after="140" w:before="320"/>
      </w:pPr>
      <w:r>
        <w:rPr>
          <w:rFonts w:ascii="Calibri" w:cs="Calibri" w:eastAsia="Calibri" w:hAnsi="Calibri"/>
          <w:b/>
          <w:bCs/>
          <w:color w:val="0F1C35"/>
          <w:sz w:val="24"/>
          <w:szCs w:val="24"/>
        </w:rPr>
        <w:t xml:space="preserve">5.3 Sanity Check Against the Financial Model</w:t>
      </w:r>
    </w:p>
    <w:p>
      <w:pPr>
        <w:spacing w:after="160" w:line="276"/>
      </w:pPr>
      <w:r>
        <w:rPr>
          <w:rFonts w:ascii="Calibri" w:cs="Calibri" w:eastAsia="Calibri" w:hAnsi="Calibri"/>
          <w:color w:val="222222"/>
          <w:sz w:val="21"/>
          <w:szCs w:val="21"/>
        </w:rPr>
        <w:t xml:space="preserve">Against the existing financial model's Year 1 revenue target (~$602K) and modeled EBITDA margin (~71.8%), a fully-loaded technology run-rate of roughly $5,940–$12,000/year (Phase 0–1 recurring, at $495–$1,000/month) represents approximately 1–2% of Year 1 revenue — well within the assumptions already built into the model and consistent with the asset-light positioning this business depends on. The Microsoft 365 optimization is close to cost-neutral versus the prior Google Workspace-based estimate, while meaningfully strengthening the security/compliance story. The Phase 2 GPU capex ($15,300–$16,100) is a one-time, demand-gated investment that should only be triggered by signed RAG-tier or Managed-tier infrastructure contracts, not carried as a standing assumption.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9A84C" w:sz="4"/>
              <w:left w:val="single" w:color="C9A84C" w:sz="24"/>
              <w:bottom w:val="single" w:color="C9A84C" w:sz="4"/>
              <w:right w:val="single" w:color="C9A84C" w:sz="4"/>
            </w:tcBorders>
            <w:shd w:fill="F2E9D2" w:val="clear"/>
            <w:tcMar>
              <w:top w:type="dxa" w:w="160"/>
              <w:left w:type="dxa" w:w="200"/>
              <w:bottom w:type="dxa" w:w="160"/>
              <w:right w:type="dxa" w:w="200"/>
            </w:tcMar>
          </w:tcPr>
          <w:p>
            <w:pPr>
              <w:spacing w:after="60"/>
            </w:pPr>
            <w:r>
              <w:rPr>
                <w:rFonts w:ascii="DM Mono" w:cs="DM Mono" w:eastAsia="DM Mono" w:hAnsi="DM Mono"/>
                <w:b/>
                <w:bCs/>
                <w:color w:val="0F1C35"/>
                <w:sz w:val="20"/>
                <w:szCs w:val="20"/>
              </w:rPr>
              <w:t xml:space="preserve">Bottom Line</w:t>
            </w:r>
          </w:p>
          <w:p>
            <w:pPr>
              <w:spacing w:after="0" w:line="276"/>
            </w:pPr>
            <w:r>
              <w:rPr>
                <w:rFonts w:ascii="Calibri" w:cs="Calibri" w:eastAsia="Calibri" w:hAnsi="Calibri"/>
                <w:color w:val="222222"/>
                <w:sz w:val="20"/>
                <w:szCs w:val="20"/>
              </w:rPr>
              <w:t xml:space="preserve">The full technology stack to run Private AI Ops through Phase 1–2 costs roughly $5,000–$9,500 one-time and $495–$1,000/month recurring — a small fraction of the modeled revenue base. Standardizing on Microsoft 365 Business Premium as the core environment is close to cost-neutral against the prior Google Workspace baseline once Teams Phone and Power Automate replace pricier standalone tools, and it directly reinforces the audit-friendly, privacy-first positioning through bundled Entra ID, Intune, Defender, and Purview. The only large capital decision remains the private GPU environment, and it should stay gated behind pre-sold RAG/Managed-tier demand exactly as the core strategy already specifies. Re-quote every vendor line before committing spend; SaaS and API pricing shift often enough that this document should be refreshed quarterly.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2026-09-05T19:52:32.055Z</dcterms:created>
  <dcterms:modified xsi:type="dcterms:W3CDTF">2026-09-05T19:52:32.065Z</dcterms:modified>
</cp:coreProperties>
</file>

<file path=docProps/custom.xml><?xml version="1.0" encoding="utf-8"?>
<Properties xmlns="http://schemas.openxmlformats.org/officeDocument/2006/custom-properties" xmlns:vt="http://schemas.openxmlformats.org/officeDocument/2006/docPropsVTypes"/>
</file>