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B99F3" w14:textId="77777777" w:rsidR="00205384" w:rsidRDefault="00EA4DAF">
      <w:pPr>
        <w:spacing w:after="80"/>
        <w:jc w:val="center"/>
      </w:pPr>
      <w:r>
        <w:rPr>
          <w:b/>
          <w:sz w:val="32"/>
          <w:szCs w:val="32"/>
        </w:rPr>
        <w:t>Unexpected Online Financial News and Intraday Market Reactions</w:t>
      </w:r>
    </w:p>
    <w:p w14:paraId="1D6DE40F" w14:textId="77777777" w:rsidR="00205384" w:rsidRDefault="00EA4DAF">
      <w:pPr>
        <w:spacing w:after="20"/>
        <w:jc w:val="center"/>
      </w:pPr>
      <w:r>
        <w:t xml:space="preserve">Andrei Calin Nedelcu; Andrei </w:t>
      </w:r>
      <w:proofErr w:type="spellStart"/>
      <w:r>
        <w:t>Cheroiu</w:t>
      </w:r>
      <w:proofErr w:type="spellEnd"/>
    </w:p>
    <w:p w14:paraId="1BD2D2B1" w14:textId="0AC96BE7" w:rsidR="00205384" w:rsidRDefault="00FE3B11">
      <w:pPr>
        <w:spacing w:after="160"/>
        <w:jc w:val="center"/>
      </w:pPr>
      <w:r w:rsidRPr="00FE3B11">
        <w:rPr>
          <w:i/>
          <w:sz w:val="22"/>
          <w:szCs w:val="22"/>
        </w:rPr>
        <w:t xml:space="preserve">Tudor </w:t>
      </w:r>
      <w:proofErr w:type="spellStart"/>
      <w:r w:rsidRPr="00FE3B11">
        <w:rPr>
          <w:i/>
          <w:sz w:val="22"/>
          <w:szCs w:val="22"/>
        </w:rPr>
        <w:t>Vianu</w:t>
      </w:r>
      <w:proofErr w:type="spellEnd"/>
      <w:r w:rsidRPr="00FE3B11">
        <w:rPr>
          <w:i/>
          <w:sz w:val="22"/>
          <w:szCs w:val="22"/>
        </w:rPr>
        <w:t xml:space="preserve"> National College of Computer Science</w:t>
      </w:r>
      <w:r w:rsidR="00EA4DAF">
        <w:rPr>
          <w:i/>
          <w:sz w:val="22"/>
          <w:szCs w:val="22"/>
        </w:rPr>
        <w:t>, Bucharest</w:t>
      </w:r>
    </w:p>
    <w:p w14:paraId="01E98F78" w14:textId="77777777" w:rsidR="00205384" w:rsidRDefault="00EA4DAF">
      <w:pPr>
        <w:pStyle w:val="Heading1"/>
      </w:pPr>
      <w:r>
        <w:t>Abstract</w:t>
      </w:r>
    </w:p>
    <w:p w14:paraId="7831A6C9" w14:textId="77777777" w:rsidR="00205384" w:rsidRDefault="000D08CF">
      <w:pPr>
        <w:spacing w:after="80"/>
      </w:pPr>
      <w:r>
        <w:t xml:space="preserve">In this paper, we test whether unscheduled online financial news is followed by intraday market reactions. Using 2,449 </w:t>
      </w:r>
      <w:proofErr w:type="spellStart"/>
      <w:r>
        <w:t>FinancialJuice</w:t>
      </w:r>
      <w:proofErr w:type="spellEnd"/>
      <w:r>
        <w:t xml:space="preserve"> headlines and one-minute EUR/USD and Nasdaq-100 prices, we label events with a large language model and then compare event windows with matched baselines. During news windows, the price moves 1.4x-1.8x more than normal. Directional prediction, however, is weaker, with 49%-54% hit rates, so the main empirical result is volatility detection rather than directional prediction alone.</w:t>
      </w:r>
    </w:p>
    <w:p w14:paraId="23D87611" w14:textId="77777777" w:rsidR="00205384" w:rsidRDefault="00EA4DAF">
      <w:pPr>
        <w:spacing w:after="120"/>
      </w:pPr>
      <w:r>
        <w:rPr>
          <w:b/>
        </w:rPr>
        <w:t>Keywords: financial news; event study; intraday prices; EUR/USD; Nasdaq-100; sentiment analysis; large language models</w:t>
      </w:r>
    </w:p>
    <w:p w14:paraId="42363D1F" w14:textId="77777777" w:rsidR="00205384" w:rsidRDefault="00EA4DAF">
      <w:pPr>
        <w:pStyle w:val="Heading1"/>
      </w:pPr>
      <w:r>
        <w:t>Introduction</w:t>
      </w:r>
    </w:p>
    <w:p w14:paraId="35D3AB06" w14:textId="77777777" w:rsidR="00205384" w:rsidRDefault="00EA4DAF">
      <w:pPr>
        <w:spacing w:after="60"/>
        <w:ind w:firstLine="360"/>
      </w:pPr>
      <w:r>
        <w:t>Financial markets react to information, but the timing and strength of that reaction are hard to measure when news arrives continuously through online feeds. Scheduled macroeconomic announcements have exact release times and are widely studied. Unscheduled headlines are noisier: the</w:t>
      </w:r>
      <w:r w:rsidR="000D08CF">
        <w:t>y often arrive through feeds</w:t>
      </w:r>
      <w:r>
        <w:t>, social platforms, or public reposting channels.</w:t>
      </w:r>
    </w:p>
    <w:p w14:paraId="1454DA14" w14:textId="77777777" w:rsidR="00205384" w:rsidRDefault="00EA4DAF">
      <w:pPr>
        <w:spacing w:after="60"/>
        <w:ind w:firstLine="360"/>
      </w:pPr>
      <w:r>
        <w:t xml:space="preserve">Online newsfeeds such as the </w:t>
      </w:r>
      <w:proofErr w:type="spellStart"/>
      <w:r>
        <w:t>FinancialJuice</w:t>
      </w:r>
      <w:proofErr w:type="spellEnd"/>
      <w:r>
        <w:t xml:space="preserve"> Discord channel are followed in real time by many retail traders, yet evidence on whether such public feeds carry market-moving information at the </w:t>
      </w:r>
      <w:proofErr w:type="gramStart"/>
      <w:r>
        <w:t>publication moment</w:t>
      </w:r>
      <w:proofErr w:type="gramEnd"/>
      <w:r>
        <w:t xml:space="preserve"> is sparse. If the public timestamp is not the true event time, the visible headline can arrive after the market has started moving.</w:t>
      </w:r>
    </w:p>
    <w:p w14:paraId="04B20C05" w14:textId="77777777" w:rsidR="00205384" w:rsidRDefault="00EA4DAF">
      <w:pPr>
        <w:spacing w:after="60"/>
        <w:ind w:firstLine="360"/>
      </w:pPr>
      <w:r>
        <w:t>This paper asks whether EUR/USD and the Nasdaq-100 move more than normal after an unscheduled headline, and whether language-model sentiment can predict the direction of that move. Each event is independently labelled by an LLM with a distinct sentiment for USD and for NDX, an expected magnitude, a surprise level, and a self-reported confidence in the prediction. We also test whether LLM labels differ between USD and NDX, and we use pre-event drift as a warning that repost timestamps are not always the actual arrival times of information.</w:t>
      </w:r>
    </w:p>
    <w:p w14:paraId="3D83D151" w14:textId="77777777" w:rsidR="00205384" w:rsidRDefault="00EA4DAF">
      <w:pPr>
        <w:pStyle w:val="Heading1"/>
      </w:pPr>
      <w:r>
        <w:lastRenderedPageBreak/>
        <w:t>Scientific content</w:t>
      </w:r>
    </w:p>
    <w:p w14:paraId="0501DE6E" w14:textId="77777777" w:rsidR="00205384" w:rsidRDefault="00EA4DAF">
      <w:pPr>
        <w:pStyle w:val="Heading2"/>
        <w:spacing w:after="60"/>
      </w:pPr>
      <w:r>
        <w:t>Data</w:t>
      </w:r>
    </w:p>
    <w:p w14:paraId="33BED8CF" w14:textId="77777777" w:rsidR="00205384" w:rsidRDefault="00EA4DAF">
      <w:pPr>
        <w:spacing w:after="60"/>
        <w:ind w:firstLine="360"/>
      </w:pPr>
      <w:r>
        <w:t xml:space="preserve">The news source is a public Discord export of </w:t>
      </w:r>
      <w:proofErr w:type="spellStart"/>
      <w:r>
        <w:t>FinancialJuice</w:t>
      </w:r>
      <w:proofErr w:type="spellEnd"/>
      <w:r>
        <w:t xml:space="preserve"> headlines covering 24 March 2025 to 5 May 2026. The raw feed contains 63,016 messages. We keep only messages marked as breaking or high-importance and </w:t>
      </w:r>
      <w:proofErr w:type="gramStart"/>
      <w:r>
        <w:t>remove</w:t>
      </w:r>
      <w:proofErr w:type="gramEnd"/>
      <w:r>
        <w:t xml:space="preserve"> scheduled macroeconomic releases, leaving 2,449 unscheduled events. These events form 1,405 clusters when messages less than 15 minutes apart are grouped together.</w:t>
      </w:r>
    </w:p>
    <w:p w14:paraId="3B90558A" w14:textId="77777777" w:rsidR="00205384" w:rsidRDefault="00EA4DAF">
      <w:pPr>
        <w:spacing w:after="60"/>
        <w:ind w:firstLine="360"/>
      </w:pPr>
      <w:r>
        <w:t xml:space="preserve">The market data are one-minute price bars (open, high, low, close, volume) for EUR/USD and a Nasdaq-100 CFD from </w:t>
      </w:r>
      <w:proofErr w:type="spellStart"/>
      <w:r>
        <w:t>Dukascopy</w:t>
      </w:r>
      <w:proofErr w:type="spellEnd"/>
      <w:r>
        <w:t xml:space="preserve"> over the same period. EUR/USD proxies the U.S. dollar reaction, while the Nasdaq-100 captures a technology-heavy equity index. Each event produces one observation per asset and per window length (1, 5, 15, 60, and 240 minutes), so the 2,449 events generate 24,490 event-window observations and the 1,405 clusters generate 14,050 cluster-window observations used in the analysis.</w:t>
      </w:r>
    </w:p>
    <w:p w14:paraId="2B2E6EE5" w14:textId="77777777" w:rsidR="00205384" w:rsidRDefault="00EA4DAF">
      <w:pPr>
        <w:spacing w:after="60"/>
        <w:ind w:firstLine="360"/>
      </w:pPr>
      <w:r>
        <w:t>Scheduled macro releases are removed because they are anticipated and would overly influence the results with well-known events such as inflation, employment, and central-bank announcements. The remaining events are closer to the type of news a trader or analyst would experience as unexpected: geopolitical developments, policy comments, corporate-risk headlines, and market-moving updates that are not tied to a pre-announced calendar time.</w:t>
      </w:r>
    </w:p>
    <w:p w14:paraId="2F60FFEA" w14:textId="77777777" w:rsidR="00205384" w:rsidRDefault="00EA4DAF">
      <w:pPr>
        <w:pStyle w:val="Heading2"/>
        <w:spacing w:after="60"/>
      </w:pPr>
      <w:r>
        <w:t>Method</w:t>
      </w:r>
    </w:p>
    <w:p w14:paraId="37467ABE" w14:textId="77777777" w:rsidR="00205384" w:rsidRDefault="00EA4DAF">
      <w:pPr>
        <w:spacing w:after="60"/>
        <w:ind w:firstLine="360"/>
      </w:pPr>
      <w:proofErr w:type="gramStart"/>
      <w:r>
        <w:t>The empirical</w:t>
      </w:r>
      <w:proofErr w:type="gramEnd"/>
      <w:r>
        <w:t xml:space="preserve"> design is an event study (</w:t>
      </w:r>
      <w:proofErr w:type="spellStart"/>
      <w:r>
        <w:t>MacKinlay</w:t>
      </w:r>
      <w:proofErr w:type="spellEnd"/>
      <w:r>
        <w:t xml:space="preserve">, 1997). For each headline we measure log price changes after the event over </w:t>
      </w:r>
      <w:proofErr w:type="gramStart"/>
      <w:r>
        <w:t>5, 15, and 60 minute</w:t>
      </w:r>
      <w:proofErr w:type="gramEnd"/>
      <w:r>
        <w:t xml:space="preserve"> main windows. We compare those event-window moves with a matched baseline drawn from non-event minutes with the same asset, window length, hour-of-day and day-of-week. This matching step matters because intraday volatility is not constant. Market moves around the New York open or during active macro hours are naturally larger than moves during quiet periods. We do not claim causal identification; the identifying assumption is that, conditional on asset, hour-of-day and day-of-week, non-event minutes provide a valid counterfactual for what would have happened in event windows absent the headline.</w:t>
      </w:r>
    </w:p>
    <w:p w14:paraId="25DF907C" w14:textId="77777777" w:rsidR="00205384" w:rsidRDefault="00EA4DAF">
      <w:pPr>
        <w:spacing w:after="60"/>
        <w:ind w:firstLine="360"/>
      </w:pPr>
      <w:r>
        <w:t xml:space="preserve">Each headline is classified by DeepSeek-v4-flash, after setting its creativity low, seeking more deterministic results. The prompt asks for separate sentiment labels for USD and NDX, because the same news can be good for the dollar and bad for equities. We compare the LLM with two standard baselines: the Loughran-McDonald finance dictionary (Loughran and </w:t>
      </w:r>
      <w:r>
        <w:lastRenderedPageBreak/>
        <w:t xml:space="preserve">McDonald, 2011) and </w:t>
      </w:r>
      <w:proofErr w:type="spellStart"/>
      <w:r>
        <w:t>FinBERT</w:t>
      </w:r>
      <w:proofErr w:type="spellEnd"/>
      <w:r>
        <w:t>-tone (Yang et al., 2020), a model designed to analyze the sentiment of financial texts. Since many statistical tests are run, we report Benjamini-Hochberg adjusted q-values (Benjamini and Hochberg, 1995). This correction controls for testing many hypotheses at once, so a single lucky significant result receives less weight.</w:t>
      </w:r>
    </w:p>
    <w:p w14:paraId="0CB6A723" w14:textId="77777777" w:rsidR="00205384" w:rsidRDefault="00EA4DAF">
      <w:pPr>
        <w:spacing w:after="60"/>
        <w:ind w:firstLine="360"/>
      </w:pPr>
      <w:r>
        <w:t>For magnitude, the main statistic is the ratio between the average absolute return in an event window and the average absolute return in its matched baseline, that is, magnitude ratio = mean(|</w:t>
      </w:r>
      <w:proofErr w:type="spellStart"/>
      <w:r>
        <w:t>r_event</w:t>
      </w:r>
      <w:proofErr w:type="spellEnd"/>
      <w:r>
        <w:t>|) / mean(|</w:t>
      </w:r>
      <w:proofErr w:type="spellStart"/>
      <w:r>
        <w:t>r_baseline</w:t>
      </w:r>
      <w:proofErr w:type="spellEnd"/>
      <w:r>
        <w:t xml:space="preserve">|). A ratio above 1 means that the event window moved more than normal. For direction, the statistic is the hit rate: the percentage of non-neutral predictions </w:t>
      </w:r>
      <w:proofErr w:type="gramStart"/>
      <w:r>
        <w:t>whose sign</w:t>
      </w:r>
      <w:proofErr w:type="gramEnd"/>
      <w:r>
        <w:t xml:space="preserve"> matches the </w:t>
      </w:r>
      <w:proofErr w:type="spellStart"/>
      <w:r>
        <w:t>realised</w:t>
      </w:r>
      <w:proofErr w:type="spellEnd"/>
      <w:r>
        <w:t xml:space="preserve"> return. This asks whether the classifier correctly predicted the side of the market move.</w:t>
      </w:r>
    </w:p>
    <w:p w14:paraId="5636A522" w14:textId="77777777" w:rsidR="00205384" w:rsidRDefault="00EA4DAF">
      <w:pPr>
        <w:pStyle w:val="Heading2"/>
        <w:spacing w:after="60"/>
      </w:pPr>
      <w:r>
        <w:t>Main results</w:t>
      </w:r>
    </w:p>
    <w:p w14:paraId="0969E4C5" w14:textId="77777777" w:rsidR="00205384" w:rsidRDefault="00EA4DAF">
      <w:pPr>
        <w:spacing w:after="60"/>
        <w:ind w:firstLine="360"/>
      </w:pPr>
      <w:r>
        <w:t>The clearest finding is on magnitude. Direction is harder to predict, as shown below. Across both assets and all three main windows, event-window absolute values of the percent change are larger than in matched non-event windows. For EUR/USD, the event-to-baseline ratio is 1.76x at 5 minutes, 1.69x at 15 minutes, and 1.58x at 60 minutes. The Nasdaq-100 shows a similar pattern at slightly lower levels: 1.56x at 5 minutes, 1.57x at 15 minutes, and 1.43x at 60 minutes. All six ratios are significant under a one-sided Mann-Whitney U test after Benjamini-Hochberg correction.</w:t>
      </w:r>
    </w:p>
    <w:p w14:paraId="3E79FDC2" w14:textId="77777777" w:rsidR="0024087A" w:rsidRDefault="00EA4DAF">
      <w:pPr>
        <w:spacing w:after="60"/>
        <w:ind w:firstLine="360"/>
      </w:pPr>
      <w:r>
        <w:t xml:space="preserve">Table 1 reports the core magnitude result. The values are small in ordinary percentage-point terms because the windows are short, but they are economically meaningful relative to the normal one-minute market environment. </w:t>
      </w:r>
    </w:p>
    <w:p w14:paraId="6908CB0C" w14:textId="77777777" w:rsidR="00205384" w:rsidRDefault="00EA4DAF">
      <w:pPr>
        <w:spacing w:after="60"/>
        <w:ind w:firstLine="360"/>
      </w:pPr>
      <w:r>
        <w:t xml:space="preserve">A concrete example illustrates the magnitude effect at the upper end of its range. On 9 April 2025 at 17:21 UTC the </w:t>
      </w:r>
      <w:proofErr w:type="spellStart"/>
      <w:r>
        <w:t>FinancialJuice</w:t>
      </w:r>
      <w:proofErr w:type="spellEnd"/>
      <w:r>
        <w:t xml:space="preserve"> feed posted: "BREAKING: Trump: 90-day pause applies to reciprocal and 10% tariffs." The LLM labelled this event bullish for the Nasdaq-100 with 0.80 confidence and bearish for the U.S. dollar. Over the next 15 minutes the Nasdaq-100 rose by 2.53%, more than fifteen times the typical 15-minute baseline move, and EUR/USD moved consistently with the predicted USD weakness. Both signs of the LLM call matched the </w:t>
      </w:r>
      <w:proofErr w:type="spellStart"/>
      <w:r>
        <w:t>realised</w:t>
      </w:r>
      <w:proofErr w:type="spellEnd"/>
      <w:r>
        <w:t xml:space="preserve"> market response.</w:t>
      </w:r>
    </w:p>
    <w:p w14:paraId="116287D2" w14:textId="77777777" w:rsidR="00205384" w:rsidRDefault="00EA4DAF">
      <w:pPr>
        <w:spacing w:after="60"/>
        <w:ind w:firstLine="360"/>
      </w:pPr>
      <w:r>
        <w:t>The same week also shows why direction is harder than magnitude. In an isolated event on 11 April 2025, a headline that the United States had warned China against retaliation was labelled bearish for the Nasdaq-100, yet the index rose by about 1.00% over the next 15 minutes. Examples like this show that the predicted sentiment should be seen as a modest directional signal, not as the central result.</w:t>
      </w:r>
    </w:p>
    <w:p w14:paraId="0C012B74" w14:textId="77777777" w:rsidR="004B7435" w:rsidRDefault="004B7435">
      <w:pPr>
        <w:spacing w:after="60"/>
        <w:ind w:firstLine="360"/>
      </w:pPr>
    </w:p>
    <w:p w14:paraId="23ECC268" w14:textId="77777777" w:rsidR="0024087A" w:rsidRDefault="0024087A">
      <w:pPr>
        <w:spacing w:after="60"/>
        <w:ind w:firstLine="360"/>
      </w:pPr>
    </w:p>
    <w:tbl>
      <w:tblPr>
        <w:tblW w:w="0" w:type="auto"/>
        <w:tblInd w:w="981" w:type="dxa"/>
        <w:tblBorders>
          <w:top w:val="single" w:sz="4" w:space="0" w:color="808080"/>
          <w:left w:val="single" w:sz="4" w:space="0" w:color="808080"/>
          <w:bottom w:val="single" w:sz="4" w:space="0" w:color="808080"/>
          <w:right w:val="single" w:sz="4" w:space="0" w:color="808080"/>
          <w:insideH w:val="single" w:sz="4" w:space="0" w:color="D0D0D0"/>
          <w:insideV w:val="single" w:sz="4" w:space="0" w:color="D0D0D0"/>
        </w:tblBorders>
        <w:tblCellMar>
          <w:left w:w="10" w:type="dxa"/>
          <w:right w:w="10" w:type="dxa"/>
        </w:tblCellMar>
        <w:tblLook w:val="05E0" w:firstRow="1" w:lastRow="1" w:firstColumn="1" w:lastColumn="1" w:noHBand="0" w:noVBand="1"/>
      </w:tblPr>
      <w:tblGrid>
        <w:gridCol w:w="3200"/>
        <w:gridCol w:w="1300"/>
        <w:gridCol w:w="1300"/>
        <w:gridCol w:w="1300"/>
      </w:tblGrid>
      <w:tr w:rsidR="00205384" w14:paraId="5F074A10" w14:textId="77777777" w:rsidTr="006E4E37">
        <w:tc>
          <w:tcPr>
            <w:tcW w:w="3200" w:type="dxa"/>
            <w:shd w:val="clear" w:color="auto" w:fill="E9EEF5"/>
          </w:tcPr>
          <w:p w14:paraId="4CEACB46" w14:textId="77777777" w:rsidR="00205384" w:rsidRDefault="00EA4DAF">
            <w:r>
              <w:rPr>
                <w:b/>
                <w:sz w:val="20"/>
                <w:szCs w:val="20"/>
              </w:rPr>
              <w:t>Asset</w:t>
            </w:r>
          </w:p>
        </w:tc>
        <w:tc>
          <w:tcPr>
            <w:tcW w:w="1300" w:type="dxa"/>
            <w:shd w:val="clear" w:color="auto" w:fill="E9EEF5"/>
          </w:tcPr>
          <w:p w14:paraId="66851ECF" w14:textId="77777777" w:rsidR="00205384" w:rsidRDefault="00EA4DAF">
            <w:r>
              <w:rPr>
                <w:b/>
                <w:sz w:val="20"/>
                <w:szCs w:val="20"/>
              </w:rPr>
              <w:t>5 min</w:t>
            </w:r>
          </w:p>
        </w:tc>
        <w:tc>
          <w:tcPr>
            <w:tcW w:w="1300" w:type="dxa"/>
            <w:shd w:val="clear" w:color="auto" w:fill="E9EEF5"/>
          </w:tcPr>
          <w:p w14:paraId="1BFBD7FF" w14:textId="77777777" w:rsidR="00205384" w:rsidRDefault="00EA4DAF">
            <w:r>
              <w:rPr>
                <w:b/>
                <w:sz w:val="20"/>
                <w:szCs w:val="20"/>
              </w:rPr>
              <w:t>15 min</w:t>
            </w:r>
          </w:p>
        </w:tc>
        <w:tc>
          <w:tcPr>
            <w:tcW w:w="1300" w:type="dxa"/>
            <w:shd w:val="clear" w:color="auto" w:fill="E9EEF5"/>
          </w:tcPr>
          <w:p w14:paraId="279A2196" w14:textId="77777777" w:rsidR="00205384" w:rsidRDefault="00EA4DAF">
            <w:r>
              <w:rPr>
                <w:b/>
                <w:sz w:val="20"/>
                <w:szCs w:val="20"/>
              </w:rPr>
              <w:t>60 min</w:t>
            </w:r>
          </w:p>
        </w:tc>
      </w:tr>
      <w:tr w:rsidR="00205384" w14:paraId="24E352C6" w14:textId="77777777" w:rsidTr="006E4E37">
        <w:tc>
          <w:tcPr>
            <w:tcW w:w="3200" w:type="dxa"/>
          </w:tcPr>
          <w:p w14:paraId="35B12819" w14:textId="77777777" w:rsidR="00205384" w:rsidRDefault="00EA4DAF">
            <w:r>
              <w:rPr>
                <w:sz w:val="20"/>
                <w:szCs w:val="20"/>
              </w:rPr>
              <w:t>EUR/USD event |r|</w:t>
            </w:r>
          </w:p>
        </w:tc>
        <w:tc>
          <w:tcPr>
            <w:tcW w:w="1300" w:type="dxa"/>
          </w:tcPr>
          <w:p w14:paraId="685C0A37" w14:textId="77777777" w:rsidR="00205384" w:rsidRDefault="00EA4DAF">
            <w:r>
              <w:rPr>
                <w:sz w:val="20"/>
                <w:szCs w:val="20"/>
              </w:rPr>
              <w:t>0.0324%</w:t>
            </w:r>
          </w:p>
        </w:tc>
        <w:tc>
          <w:tcPr>
            <w:tcW w:w="1300" w:type="dxa"/>
          </w:tcPr>
          <w:p w14:paraId="2E00D698" w14:textId="77777777" w:rsidR="00205384" w:rsidRDefault="00EA4DAF">
            <w:r>
              <w:rPr>
                <w:sz w:val="20"/>
                <w:szCs w:val="20"/>
              </w:rPr>
              <w:t>0.0532%</w:t>
            </w:r>
          </w:p>
        </w:tc>
        <w:tc>
          <w:tcPr>
            <w:tcW w:w="1300" w:type="dxa"/>
          </w:tcPr>
          <w:p w14:paraId="71354D4C" w14:textId="77777777" w:rsidR="00205384" w:rsidRDefault="00EA4DAF">
            <w:r>
              <w:rPr>
                <w:sz w:val="20"/>
                <w:szCs w:val="20"/>
              </w:rPr>
              <w:t>0.0993%</w:t>
            </w:r>
          </w:p>
        </w:tc>
      </w:tr>
      <w:tr w:rsidR="00205384" w14:paraId="027B737A" w14:textId="77777777" w:rsidTr="006E4E37">
        <w:tc>
          <w:tcPr>
            <w:tcW w:w="3200" w:type="dxa"/>
          </w:tcPr>
          <w:p w14:paraId="3FEB3AA4" w14:textId="77777777" w:rsidR="00205384" w:rsidRDefault="00EA4DAF">
            <w:r>
              <w:rPr>
                <w:sz w:val="20"/>
                <w:szCs w:val="20"/>
              </w:rPr>
              <w:t>EUR/USD baseline |r|</w:t>
            </w:r>
          </w:p>
        </w:tc>
        <w:tc>
          <w:tcPr>
            <w:tcW w:w="1300" w:type="dxa"/>
          </w:tcPr>
          <w:p w14:paraId="3E356EB5" w14:textId="77777777" w:rsidR="00205384" w:rsidRDefault="00EA4DAF">
            <w:r>
              <w:rPr>
                <w:sz w:val="20"/>
                <w:szCs w:val="20"/>
              </w:rPr>
              <w:t>0.0184%</w:t>
            </w:r>
          </w:p>
        </w:tc>
        <w:tc>
          <w:tcPr>
            <w:tcW w:w="1300" w:type="dxa"/>
          </w:tcPr>
          <w:p w14:paraId="22E4FA62" w14:textId="77777777" w:rsidR="00205384" w:rsidRDefault="00EA4DAF">
            <w:r>
              <w:rPr>
                <w:sz w:val="20"/>
                <w:szCs w:val="20"/>
              </w:rPr>
              <w:t>0.0314%</w:t>
            </w:r>
          </w:p>
        </w:tc>
        <w:tc>
          <w:tcPr>
            <w:tcW w:w="1300" w:type="dxa"/>
          </w:tcPr>
          <w:p w14:paraId="45665945" w14:textId="77777777" w:rsidR="00205384" w:rsidRDefault="00EA4DAF">
            <w:r>
              <w:rPr>
                <w:sz w:val="20"/>
                <w:szCs w:val="20"/>
              </w:rPr>
              <w:t>0.0630%</w:t>
            </w:r>
          </w:p>
        </w:tc>
      </w:tr>
      <w:tr w:rsidR="00205384" w14:paraId="77ECDE2D" w14:textId="77777777" w:rsidTr="006E4E37">
        <w:tc>
          <w:tcPr>
            <w:tcW w:w="3200" w:type="dxa"/>
          </w:tcPr>
          <w:p w14:paraId="5509C6C4" w14:textId="77777777" w:rsidR="00205384" w:rsidRDefault="00EA4DAF">
            <w:r>
              <w:rPr>
                <w:sz w:val="20"/>
                <w:szCs w:val="20"/>
              </w:rPr>
              <w:t>EUR/USD ratio</w:t>
            </w:r>
          </w:p>
        </w:tc>
        <w:tc>
          <w:tcPr>
            <w:tcW w:w="1300" w:type="dxa"/>
          </w:tcPr>
          <w:p w14:paraId="731B36ED" w14:textId="77777777" w:rsidR="00205384" w:rsidRDefault="00EA4DAF">
            <w:r>
              <w:rPr>
                <w:sz w:val="20"/>
                <w:szCs w:val="20"/>
              </w:rPr>
              <w:t>1.76x</w:t>
            </w:r>
          </w:p>
        </w:tc>
        <w:tc>
          <w:tcPr>
            <w:tcW w:w="1300" w:type="dxa"/>
          </w:tcPr>
          <w:p w14:paraId="76171E40" w14:textId="77777777" w:rsidR="00205384" w:rsidRDefault="00EA4DAF">
            <w:r>
              <w:rPr>
                <w:sz w:val="20"/>
                <w:szCs w:val="20"/>
              </w:rPr>
              <w:t>1.69x</w:t>
            </w:r>
          </w:p>
        </w:tc>
        <w:tc>
          <w:tcPr>
            <w:tcW w:w="1300" w:type="dxa"/>
          </w:tcPr>
          <w:p w14:paraId="6FF07CB3" w14:textId="77777777" w:rsidR="00205384" w:rsidRDefault="00EA4DAF">
            <w:r>
              <w:rPr>
                <w:sz w:val="20"/>
                <w:szCs w:val="20"/>
              </w:rPr>
              <w:t>1.58x</w:t>
            </w:r>
          </w:p>
        </w:tc>
      </w:tr>
      <w:tr w:rsidR="00205384" w14:paraId="21057182" w14:textId="77777777" w:rsidTr="006E4E37">
        <w:tc>
          <w:tcPr>
            <w:tcW w:w="3200" w:type="dxa"/>
          </w:tcPr>
          <w:p w14:paraId="55146DFD" w14:textId="77777777" w:rsidR="00205384" w:rsidRDefault="00EA4DAF">
            <w:r>
              <w:rPr>
                <w:sz w:val="20"/>
                <w:szCs w:val="20"/>
              </w:rPr>
              <w:t>Nasdaq-100 event |r|</w:t>
            </w:r>
          </w:p>
        </w:tc>
        <w:tc>
          <w:tcPr>
            <w:tcW w:w="1300" w:type="dxa"/>
          </w:tcPr>
          <w:p w14:paraId="0BCC76AE" w14:textId="77777777" w:rsidR="00205384" w:rsidRDefault="00EA4DAF">
            <w:r>
              <w:rPr>
                <w:sz w:val="20"/>
                <w:szCs w:val="20"/>
              </w:rPr>
              <w:t>0.0839%</w:t>
            </w:r>
          </w:p>
        </w:tc>
        <w:tc>
          <w:tcPr>
            <w:tcW w:w="1300" w:type="dxa"/>
          </w:tcPr>
          <w:p w14:paraId="3DF196AD" w14:textId="77777777" w:rsidR="00205384" w:rsidRDefault="00EA4DAF">
            <w:r>
              <w:rPr>
                <w:sz w:val="20"/>
                <w:szCs w:val="20"/>
              </w:rPr>
              <w:t>0.1441%</w:t>
            </w:r>
          </w:p>
        </w:tc>
        <w:tc>
          <w:tcPr>
            <w:tcW w:w="1300" w:type="dxa"/>
          </w:tcPr>
          <w:p w14:paraId="782E3DCA" w14:textId="77777777" w:rsidR="00205384" w:rsidRDefault="00EA4DAF">
            <w:r>
              <w:rPr>
                <w:sz w:val="20"/>
                <w:szCs w:val="20"/>
              </w:rPr>
              <w:t>0.2682%</w:t>
            </w:r>
          </w:p>
        </w:tc>
      </w:tr>
      <w:tr w:rsidR="00205384" w14:paraId="416374F7" w14:textId="77777777" w:rsidTr="006E4E37">
        <w:tc>
          <w:tcPr>
            <w:tcW w:w="3200" w:type="dxa"/>
          </w:tcPr>
          <w:p w14:paraId="68E05D45" w14:textId="77777777" w:rsidR="00205384" w:rsidRDefault="00EA4DAF">
            <w:r>
              <w:rPr>
                <w:sz w:val="20"/>
                <w:szCs w:val="20"/>
              </w:rPr>
              <w:t>Nasdaq-100 baseline |r|</w:t>
            </w:r>
          </w:p>
        </w:tc>
        <w:tc>
          <w:tcPr>
            <w:tcW w:w="1300" w:type="dxa"/>
          </w:tcPr>
          <w:p w14:paraId="02670021" w14:textId="77777777" w:rsidR="00205384" w:rsidRDefault="00EA4DAF">
            <w:r>
              <w:rPr>
                <w:sz w:val="20"/>
                <w:szCs w:val="20"/>
              </w:rPr>
              <w:t>0.0539%</w:t>
            </w:r>
          </w:p>
        </w:tc>
        <w:tc>
          <w:tcPr>
            <w:tcW w:w="1300" w:type="dxa"/>
          </w:tcPr>
          <w:p w14:paraId="447CA038" w14:textId="77777777" w:rsidR="00205384" w:rsidRDefault="00EA4DAF">
            <w:r>
              <w:rPr>
                <w:sz w:val="20"/>
                <w:szCs w:val="20"/>
              </w:rPr>
              <w:t>0.0920%</w:t>
            </w:r>
          </w:p>
        </w:tc>
        <w:tc>
          <w:tcPr>
            <w:tcW w:w="1300" w:type="dxa"/>
          </w:tcPr>
          <w:p w14:paraId="7C1B60F4" w14:textId="77777777" w:rsidR="00205384" w:rsidRDefault="00EA4DAF">
            <w:r>
              <w:rPr>
                <w:sz w:val="20"/>
                <w:szCs w:val="20"/>
              </w:rPr>
              <w:t>0.1874%</w:t>
            </w:r>
          </w:p>
        </w:tc>
      </w:tr>
      <w:tr w:rsidR="00205384" w14:paraId="13541B92" w14:textId="77777777" w:rsidTr="006E4E37">
        <w:tc>
          <w:tcPr>
            <w:tcW w:w="3200" w:type="dxa"/>
          </w:tcPr>
          <w:p w14:paraId="1F8AF92E" w14:textId="77777777" w:rsidR="00205384" w:rsidRDefault="00EA4DAF">
            <w:r>
              <w:rPr>
                <w:sz w:val="20"/>
                <w:szCs w:val="20"/>
              </w:rPr>
              <w:t>Nasdaq-100 ratio</w:t>
            </w:r>
          </w:p>
        </w:tc>
        <w:tc>
          <w:tcPr>
            <w:tcW w:w="1300" w:type="dxa"/>
          </w:tcPr>
          <w:p w14:paraId="31861E32" w14:textId="77777777" w:rsidR="00205384" w:rsidRDefault="00EA4DAF">
            <w:r>
              <w:rPr>
                <w:sz w:val="20"/>
                <w:szCs w:val="20"/>
              </w:rPr>
              <w:t>1.56x</w:t>
            </w:r>
          </w:p>
        </w:tc>
        <w:tc>
          <w:tcPr>
            <w:tcW w:w="1300" w:type="dxa"/>
          </w:tcPr>
          <w:p w14:paraId="01413EC2" w14:textId="77777777" w:rsidR="00205384" w:rsidRDefault="00EA4DAF">
            <w:r>
              <w:rPr>
                <w:sz w:val="20"/>
                <w:szCs w:val="20"/>
              </w:rPr>
              <w:t>1.57x</w:t>
            </w:r>
          </w:p>
        </w:tc>
        <w:tc>
          <w:tcPr>
            <w:tcW w:w="1300" w:type="dxa"/>
          </w:tcPr>
          <w:p w14:paraId="3F113CBE" w14:textId="77777777" w:rsidR="00205384" w:rsidRDefault="00EA4DAF">
            <w:r>
              <w:rPr>
                <w:sz w:val="20"/>
                <w:szCs w:val="20"/>
              </w:rPr>
              <w:t>1.43x</w:t>
            </w:r>
          </w:p>
        </w:tc>
      </w:tr>
    </w:tbl>
    <w:p w14:paraId="1CB2671D" w14:textId="77777777" w:rsidR="00205384" w:rsidRDefault="00EA4DAF">
      <w:pPr>
        <w:spacing w:after="80"/>
        <w:jc w:val="center"/>
        <w:rPr>
          <w:i/>
          <w:sz w:val="20"/>
          <w:szCs w:val="20"/>
        </w:rPr>
      </w:pPr>
      <w:r>
        <w:rPr>
          <w:i/>
          <w:sz w:val="20"/>
          <w:szCs w:val="20"/>
        </w:rPr>
        <w:t>Table 1. Event-window absolute return magnitude versus matched baseline.</w:t>
      </w:r>
    </w:p>
    <w:p w14:paraId="2154A6A1" w14:textId="77777777" w:rsidR="006E4E37" w:rsidRDefault="006E4E37">
      <w:pPr>
        <w:spacing w:after="80"/>
        <w:jc w:val="center"/>
      </w:pPr>
    </w:p>
    <w:p w14:paraId="032A8A6C" w14:textId="77777777" w:rsidR="00205384" w:rsidRDefault="00EA4DAF">
      <w:pPr>
        <w:spacing w:before="60" w:after="60"/>
        <w:jc w:val="center"/>
      </w:pPr>
      <w:r>
        <w:rPr>
          <w:noProof/>
        </w:rPr>
        <w:drawing>
          <wp:inline distT="0" distB="0" distL="0" distR="0" wp14:anchorId="0AE7D5CE" wp14:editId="7B01F6D4">
            <wp:extent cx="5345738" cy="2514600"/>
            <wp:effectExtent l="0" t="0" r="0" b="0"/>
            <wp:docPr id="1" name="Event-time profile"/>
            <wp:cNvGraphicFramePr/>
            <a:graphic xmlns:a="http://schemas.openxmlformats.org/drawingml/2006/main">
              <a:graphicData uri="http://schemas.openxmlformats.org/drawingml/2006/picture">
                <pic:pic xmlns:pic="http://schemas.openxmlformats.org/drawingml/2006/picture">
                  <pic:nvPicPr>
                    <pic:cNvPr id="0" name="figure_1_event_time_profile.png"/>
                    <pic:cNvPicPr/>
                  </pic:nvPicPr>
                  <pic:blipFill>
                    <a:blip r:embed="rId4"/>
                    <a:stretch>
                      <a:fillRect/>
                    </a:stretch>
                  </pic:blipFill>
                  <pic:spPr>
                    <a:xfrm>
                      <a:off x="0" y="0"/>
                      <a:ext cx="5345738" cy="2514600"/>
                    </a:xfrm>
                    <a:prstGeom prst="rect">
                      <a:avLst/>
                    </a:prstGeom>
                  </pic:spPr>
                </pic:pic>
              </a:graphicData>
            </a:graphic>
          </wp:inline>
        </w:drawing>
      </w:r>
    </w:p>
    <w:p w14:paraId="120CFE45" w14:textId="77777777" w:rsidR="00205384" w:rsidRDefault="00EA4DAF">
      <w:pPr>
        <w:spacing w:after="80"/>
        <w:jc w:val="center"/>
      </w:pPr>
      <w:r>
        <w:rPr>
          <w:i/>
          <w:sz w:val="20"/>
          <w:szCs w:val="20"/>
        </w:rPr>
        <w:t xml:space="preserve">Figure 1. Average absolute-return profile around </w:t>
      </w:r>
      <w:proofErr w:type="spellStart"/>
      <w:r>
        <w:rPr>
          <w:i/>
          <w:sz w:val="20"/>
          <w:szCs w:val="20"/>
        </w:rPr>
        <w:t>FinancialJuice</w:t>
      </w:r>
      <w:proofErr w:type="spellEnd"/>
      <w:r>
        <w:rPr>
          <w:i/>
          <w:sz w:val="20"/>
          <w:szCs w:val="20"/>
        </w:rPr>
        <w:t xml:space="preserve"> headlines.</w:t>
      </w:r>
    </w:p>
    <w:p w14:paraId="178356EB" w14:textId="77777777" w:rsidR="00205384" w:rsidRDefault="00EA4DAF">
      <w:pPr>
        <w:spacing w:after="60"/>
        <w:ind w:firstLine="360"/>
      </w:pPr>
      <w:r>
        <w:t>The range and maximum-move measures lead to the same conclusion as absolute returns. Event-window high-low ranges are about 1.5x-1.8x the matched baseline, and maximum intra-window moves fall in the same 1.5x-1.8x band. This matters because the result is not driven by one particular return definition. Whether the window is measured by open-to-close movement, high-low range, or the largest move inside the window, the news windows are systematically more volatile.</w:t>
      </w:r>
    </w:p>
    <w:p w14:paraId="24AA222E" w14:textId="77777777" w:rsidR="00205384" w:rsidRDefault="00EA4DAF">
      <w:pPr>
        <w:spacing w:after="60"/>
        <w:ind w:firstLine="360"/>
      </w:pPr>
      <w:r>
        <w:t xml:space="preserve">The directional signal is weaker. When neutral labels are removed, the LLM hit rate ranges from 49% to 54% across the main </w:t>
      </w:r>
      <w:r w:rsidR="00727502">
        <w:t>asset-windows</w:t>
      </w:r>
      <w:r w:rsidR="00B95892">
        <w:t>. It beats interpretations with the</w:t>
      </w:r>
      <w:r>
        <w:t xml:space="preserve"> Loughran-McDonald dictionary by roughly 1-6 percentage points and is competitive with </w:t>
      </w:r>
      <w:proofErr w:type="spellStart"/>
      <w:r>
        <w:t>FinBERT</w:t>
      </w:r>
      <w:proofErr w:type="spellEnd"/>
      <w:r>
        <w:t xml:space="preserve">, but the advantage is not large enough to justify a standalone buy/sell rule after </w:t>
      </w:r>
      <w:r w:rsidR="0024087A">
        <w:t xml:space="preserve">factoring in </w:t>
      </w:r>
      <w:r>
        <w:t>typical intraday</w:t>
      </w:r>
      <w:r w:rsidR="0024087A">
        <w:t xml:space="preserve"> trading</w:t>
      </w:r>
      <w:r>
        <w:t xml:space="preserve"> costs. </w:t>
      </w:r>
      <w:r w:rsidR="00B95892">
        <w:t>This determines the relevance of the result</w:t>
      </w:r>
      <w:r w:rsidRPr="00727502">
        <w:t>: useful for interpreting sentiment, but much weaker than the magnitude signal.</w:t>
      </w:r>
    </w:p>
    <w:p w14:paraId="2DEE0A04" w14:textId="77777777" w:rsidR="00205384" w:rsidRDefault="00EA4DAF">
      <w:pPr>
        <w:spacing w:after="60"/>
        <w:ind w:firstLine="360"/>
      </w:pPr>
      <w:r>
        <w:lastRenderedPageBreak/>
        <w:t>When nearby headlines are grouped into event clusters, the strongest asset window is Nasdaq-100 at 5 minutes, with a 53.9% hit rate after false-discovery-rate correction. This confirms the signal but remains far weaker than the magnitude result.</w:t>
      </w:r>
    </w:p>
    <w:p w14:paraId="200303FC" w14:textId="77777777" w:rsidR="00205384" w:rsidRDefault="00727502">
      <w:pPr>
        <w:spacing w:after="60"/>
        <w:ind w:firstLine="360"/>
      </w:pPr>
      <w:r>
        <w:t xml:space="preserve">The 73.5% </w:t>
      </w:r>
      <w:r w:rsidR="00EA4DAF" w:rsidRPr="00727502">
        <w:t>disagreement rate</w:t>
      </w:r>
      <w:r>
        <w:t xml:space="preserve"> between the two assets</w:t>
      </w:r>
      <w:r w:rsidR="00EA4DAF">
        <w:t xml:space="preserve"> is a distinct advantage of the LLM approach. The language model gives different USD and NDX labels on nearly three quarters of events, which matters for macro-financial headlines where the dollar and equity market often react in opposite ways. A dictionary score or a single </w:t>
      </w:r>
      <w:proofErr w:type="spellStart"/>
      <w:r w:rsidR="00EA4DAF">
        <w:t>FinBERT</w:t>
      </w:r>
      <w:proofErr w:type="spellEnd"/>
      <w:r w:rsidR="00EA4DAF">
        <w:t xml:space="preserve"> polarity label cannot represent that two-asset lo</w:t>
      </w:r>
      <w:r>
        <w:t>gic without additional modifications</w:t>
      </w:r>
      <w:r w:rsidR="00EA4DAF">
        <w:t>.</w:t>
      </w:r>
    </w:p>
    <w:p w14:paraId="2EBCADCB" w14:textId="77777777" w:rsidR="00205384" w:rsidRDefault="00EA4DAF">
      <w:pPr>
        <w:spacing w:after="60"/>
        <w:ind w:firstLine="360"/>
      </w:pPr>
      <w:r>
        <w:t xml:space="preserve">To check whether the LLM is simply overfitting the event sample, we also run an external validation on Financial </w:t>
      </w:r>
      <w:proofErr w:type="spellStart"/>
      <w:r>
        <w:t>PhraseBank</w:t>
      </w:r>
      <w:proofErr w:type="spellEnd"/>
      <w:r>
        <w:t xml:space="preserve"> (Malo et al., 2014), a standard finance-NLP benchmark with human labels by sixteen finance professionals. On 4,840 sentences, the LLM reaches 84.6% accuracy, macro-F1 of 0.836, a balanced three-class score, and Cohen's kappa of 0.717, a measure of agreement beyond chance, against the gold labels. On the same benchmark, </w:t>
      </w:r>
      <w:proofErr w:type="spellStart"/>
      <w:r>
        <w:t>FinBERT</w:t>
      </w:r>
      <w:proofErr w:type="spellEnd"/>
      <w:r>
        <w:t xml:space="preserve">-tone reaches only 79.2% accuracy and kappa of 0.60, while using a Loughran-McDonald dictionary score reaches 57.4% accuracy and kappa of 0.22. This benchmark does not prove that every </w:t>
      </w:r>
      <w:proofErr w:type="spellStart"/>
      <w:r>
        <w:t>FinancialJuice</w:t>
      </w:r>
      <w:proofErr w:type="spellEnd"/>
      <w:r>
        <w:t xml:space="preserve"> label is correct, but it shows that the model performs well against an independent and </w:t>
      </w:r>
      <w:proofErr w:type="gramStart"/>
      <w:r>
        <w:t>well established</w:t>
      </w:r>
      <w:proofErr w:type="gramEnd"/>
      <w:r>
        <w:t xml:space="preserve"> finance-text standard.</w:t>
      </w:r>
    </w:p>
    <w:p w14:paraId="17641705" w14:textId="77777777" w:rsidR="00205384" w:rsidRDefault="00EA4DAF">
      <w:pPr>
        <w:spacing w:after="60"/>
        <w:ind w:firstLine="360"/>
      </w:pPr>
      <w:r>
        <w:t xml:space="preserve">Several robustness checks support the main interpretation. The magnitude result remains visible before and after the LLM training-data cutoff, which reduces the concern that the model simply </w:t>
      </w:r>
      <w:proofErr w:type="spellStart"/>
      <w:r>
        <w:t>memorised</w:t>
      </w:r>
      <w:proofErr w:type="spellEnd"/>
      <w:r>
        <w:t xml:space="preserve"> later events. It also survives </w:t>
      </w:r>
      <w:proofErr w:type="spellStart"/>
      <w:r>
        <w:t>winsorisation</w:t>
      </w:r>
      <w:proofErr w:type="spellEnd"/>
      <w:r>
        <w:t xml:space="preserve">, where extreme price moves are capped before re-estimating the tests. Finally, a descriptive cluster-gap check shows that the conclusion is stable when nearby headlines are grouped more tightly or more loosely. These checks make the core volatility finding harder to explain as </w:t>
      </w:r>
      <w:r w:rsidR="00727502">
        <w:t>the result of a single model configuration</w:t>
      </w:r>
      <w:r>
        <w:t>.</w:t>
      </w:r>
    </w:p>
    <w:p w14:paraId="75D3DF39" w14:textId="77777777" w:rsidR="00205384" w:rsidRDefault="00EA4DAF">
      <w:pPr>
        <w:spacing w:after="60"/>
        <w:ind w:firstLine="360"/>
      </w:pPr>
      <w:r>
        <w:t xml:space="preserve">The most important methodological finding concerns timing. The fifteen minutes before the Discord headline already </w:t>
      </w:r>
      <w:proofErr w:type="gramStart"/>
      <w:r>
        <w:t>contain</w:t>
      </w:r>
      <w:proofErr w:type="gramEnd"/>
      <w:r>
        <w:t xml:space="preserve"> abnormal movement: EUR/USD pre-event absolute return is 0.053% against a 0.031% baseline, while NDX is 0.158% against 0.092%. </w:t>
      </w:r>
      <w:r w:rsidR="00B168CC">
        <w:t>A possible</w:t>
      </w:r>
      <w:r>
        <w:t xml:space="preserve"> explanation is feed latency: the public Discord timestamp is not necessarily the first moment the market learned the information. Future event studies using online feeds should therefore report pre-event drift </w:t>
      </w:r>
      <w:r w:rsidR="00B168CC">
        <w:t>as a diagnostic since</w:t>
      </w:r>
      <w:r>
        <w:t xml:space="preserve"> the visible headline timestamp </w:t>
      </w:r>
      <w:r w:rsidR="00B168CC">
        <w:t>may not coincide with the true</w:t>
      </w:r>
      <w:r>
        <w:t xml:space="preserve"> event time.</w:t>
      </w:r>
    </w:p>
    <w:p w14:paraId="5C2787B0" w14:textId="77777777" w:rsidR="00205384" w:rsidRDefault="00EA4DAF">
      <w:pPr>
        <w:pStyle w:val="Heading2"/>
        <w:spacing w:after="60"/>
      </w:pPr>
      <w:r>
        <w:lastRenderedPageBreak/>
        <w:t>Implications and limitations</w:t>
      </w:r>
    </w:p>
    <w:p w14:paraId="738D600C" w14:textId="77777777" w:rsidR="00205384" w:rsidRDefault="00EA4DAF">
      <w:pPr>
        <w:spacing w:after="60"/>
        <w:ind w:firstLine="360"/>
      </w:pPr>
      <w:r>
        <w:t xml:space="preserve">The results connect two ideas from literature. </w:t>
      </w:r>
      <w:r w:rsidR="00B04699">
        <w:t>E</w:t>
      </w:r>
      <w:r>
        <w:t>vent-study methods provide a way to measure abnormal price movement around a timestamp, while financial-text methods provide a way to convert headlines into quantitative signals. The contribution here is to apply both to a modern online newsfeed, to compare an LLM with conventional text baselines on the same events, and to show why timestamp quality matters in online-news event studies.</w:t>
      </w:r>
    </w:p>
    <w:p w14:paraId="11AAA8E5" w14:textId="77777777" w:rsidR="00205384" w:rsidRDefault="00EA4DAF">
      <w:pPr>
        <w:spacing w:after="60"/>
        <w:ind w:firstLine="360"/>
      </w:pPr>
      <w:r>
        <w:t xml:space="preserve">The limitations are also clear. Public reposted news is not a clean timestamp of information arrival, and the LLM labels have not yet been manually audited on the specific </w:t>
      </w:r>
      <w:proofErr w:type="spellStart"/>
      <w:r>
        <w:t>FinancialJuice</w:t>
      </w:r>
      <w:proofErr w:type="spellEnd"/>
      <w:r>
        <w:t xml:space="preserve"> headlines. The external </w:t>
      </w:r>
      <w:proofErr w:type="spellStart"/>
      <w:r>
        <w:t>PhraseBank</w:t>
      </w:r>
      <w:proofErr w:type="spellEnd"/>
      <w:r>
        <w:t xml:space="preserve"> benchmark reduces this concern but does not eliminate it. Future work should add a human-labelled subsample and cleaner primary-source timestamps. For the present study, the conservative conclusion is that unexpected online headlines reliably identify abnormal short-term movement, while directional prediction remains much less certain.</w:t>
      </w:r>
    </w:p>
    <w:p w14:paraId="5B1E0878" w14:textId="77777777" w:rsidR="00205384" w:rsidRDefault="00EA4DAF">
      <w:pPr>
        <w:pStyle w:val="Heading1"/>
      </w:pPr>
      <w:r>
        <w:t>Conclusions</w:t>
      </w:r>
    </w:p>
    <w:p w14:paraId="2A37D509" w14:textId="77777777" w:rsidR="00205384" w:rsidRDefault="00EA4DAF">
      <w:pPr>
        <w:spacing w:after="60"/>
        <w:ind w:firstLine="360"/>
      </w:pPr>
      <w:r>
        <w:t xml:space="preserve">Unscheduled online financial news is associated with clear intraday market reactions. In a sample of 2,449 </w:t>
      </w:r>
      <w:proofErr w:type="spellStart"/>
      <w:r>
        <w:t>FinancialJuice</w:t>
      </w:r>
      <w:proofErr w:type="spellEnd"/>
      <w:r>
        <w:t xml:space="preserve"> headlines, EUR/USD and Nasdaq-100 event windows show absolute returns about 1.4x-1.8x larger than matched non-event windows. This result is robust across assets, windows, and several specification checks.</w:t>
      </w:r>
    </w:p>
    <w:p w14:paraId="3AF49442" w14:textId="77777777" w:rsidR="00205384" w:rsidRDefault="00EA4DAF">
      <w:pPr>
        <w:spacing w:after="60"/>
        <w:ind w:firstLine="360"/>
      </w:pPr>
      <w:r>
        <w:t xml:space="preserve">The direction of the reaction is harder to predict. LLM sentiment performs better than a finance dictionary and is competitive with </w:t>
      </w:r>
      <w:proofErr w:type="spellStart"/>
      <w:proofErr w:type="gramStart"/>
      <w:r>
        <w:t>FinBERT</w:t>
      </w:r>
      <w:proofErr w:type="spellEnd"/>
      <w:r>
        <w:t>, but</w:t>
      </w:r>
      <w:proofErr w:type="gramEnd"/>
      <w:r>
        <w:t xml:space="preserve"> hit rates of 49%-54% remain a modest directional signal. The main lesson is therefore not that online news directly predicts direction, but that it identifies moments when short-term volatility is unusually high.</w:t>
      </w:r>
    </w:p>
    <w:p w14:paraId="53E88796" w14:textId="77777777" w:rsidR="00205384" w:rsidRDefault="00EA4DAF">
      <w:pPr>
        <w:spacing w:after="60"/>
        <w:ind w:firstLine="360"/>
      </w:pPr>
      <w:r>
        <w:t xml:space="preserve">Future work should add a human validation sample for the specific </w:t>
      </w:r>
      <w:proofErr w:type="spellStart"/>
      <w:r>
        <w:t>FinancialJuice</w:t>
      </w:r>
      <w:proofErr w:type="spellEnd"/>
      <w:r>
        <w:t xml:space="preserve"> headlines, collect primary-source timestamps when possible, and test whether the same design </w:t>
      </w:r>
      <w:proofErr w:type="spellStart"/>
      <w:r>
        <w:t>generalises</w:t>
      </w:r>
      <w:proofErr w:type="spellEnd"/>
      <w:r>
        <w:t xml:space="preserve"> to other assets such as gold, oil, rates, or single stocks. The same tools also make this type of empirical finance research more accessible: the analysis relies on public APIs, open-source statistical libraries, and market data that can be audited and reused. This study shows that a reproducible pipeline can still produce a useful empirical finding: in modern markets, online news is immediately visible in intraday volatility, but direction remains the harder problem.</w:t>
      </w:r>
    </w:p>
    <w:p w14:paraId="1AA656A4" w14:textId="77777777" w:rsidR="00205384" w:rsidRDefault="00EA4DAF">
      <w:pPr>
        <w:pStyle w:val="Heading1"/>
      </w:pPr>
      <w:r>
        <w:lastRenderedPageBreak/>
        <w:t>References</w:t>
      </w:r>
    </w:p>
    <w:p w14:paraId="7A56A08D" w14:textId="77777777" w:rsidR="00205384" w:rsidRDefault="00EA4DAF">
      <w:pPr>
        <w:spacing w:after="20"/>
        <w:ind w:left="360" w:hanging="360"/>
      </w:pPr>
      <w:r>
        <w:rPr>
          <w:sz w:val="20"/>
          <w:szCs w:val="20"/>
        </w:rPr>
        <w:t>Andersen, T. G., Bollerslev, T., Diebold, F. X., and Vega, C. (2003). Micro effects of macro announcements: Real-time price discovery in foreign exchange. American Economic Review.</w:t>
      </w:r>
    </w:p>
    <w:p w14:paraId="685A2C4B" w14:textId="77777777" w:rsidR="00205384" w:rsidRDefault="00EA4DAF">
      <w:pPr>
        <w:spacing w:after="20"/>
        <w:ind w:left="360" w:hanging="360"/>
      </w:pPr>
      <w:r>
        <w:rPr>
          <w:sz w:val="20"/>
          <w:szCs w:val="20"/>
        </w:rPr>
        <w:t>Benjamini, Y., and Hochberg, Y. (1995). Controlling the false discovery rate: A practical and powerful approach to multiple testing. Journal of the Royal Statistical Society.</w:t>
      </w:r>
    </w:p>
    <w:p w14:paraId="666228D0" w14:textId="77777777" w:rsidR="00205384" w:rsidRDefault="00EA4DAF">
      <w:pPr>
        <w:spacing w:after="20"/>
        <w:ind w:left="360" w:hanging="360"/>
      </w:pPr>
      <w:r>
        <w:rPr>
          <w:sz w:val="20"/>
          <w:szCs w:val="20"/>
        </w:rPr>
        <w:t>Heston, S. L., and Sinha, N. R. (2017). News vs. sentiment: Predicting stock returns from news stories. Financial Analysts Journal.</w:t>
      </w:r>
    </w:p>
    <w:p w14:paraId="5EC49F28" w14:textId="77777777" w:rsidR="00205384" w:rsidRDefault="00EA4DAF">
      <w:pPr>
        <w:spacing w:after="20"/>
        <w:ind w:left="360" w:hanging="360"/>
      </w:pPr>
      <w:r>
        <w:rPr>
          <w:sz w:val="20"/>
          <w:szCs w:val="20"/>
        </w:rPr>
        <w:t>Loughran, T., and McDonald, B. (2011). When is a liability not a liability? Textual analysis, dictionaries, and 10-Ks. Journal of Finance.</w:t>
      </w:r>
    </w:p>
    <w:p w14:paraId="381ABB71" w14:textId="77777777" w:rsidR="00205384" w:rsidRDefault="00EA4DAF">
      <w:pPr>
        <w:spacing w:after="20"/>
        <w:ind w:left="360" w:hanging="360"/>
      </w:pPr>
      <w:proofErr w:type="spellStart"/>
      <w:r>
        <w:rPr>
          <w:sz w:val="20"/>
          <w:szCs w:val="20"/>
        </w:rPr>
        <w:t>MacKinlay</w:t>
      </w:r>
      <w:proofErr w:type="spellEnd"/>
      <w:r>
        <w:rPr>
          <w:sz w:val="20"/>
          <w:szCs w:val="20"/>
        </w:rPr>
        <w:t>, A. C. (1997). Event studies in economics and finance. Journal of Economic Literature.</w:t>
      </w:r>
    </w:p>
    <w:p w14:paraId="7495A5D4" w14:textId="77777777" w:rsidR="00205384" w:rsidRDefault="00EA4DAF">
      <w:pPr>
        <w:spacing w:after="20"/>
        <w:ind w:left="360" w:hanging="360"/>
      </w:pPr>
      <w:r>
        <w:rPr>
          <w:sz w:val="20"/>
          <w:szCs w:val="20"/>
        </w:rPr>
        <w:t>Malo, P., Sinha, A., Korhonen, P., Wallenius, J., and Takala, P. (2014). Good debt or bad debt: Detecting semantic orientations in economic texts. Journal of the Association for Information Science and Technology.</w:t>
      </w:r>
    </w:p>
    <w:p w14:paraId="3EF79351" w14:textId="77777777" w:rsidR="00205384" w:rsidRDefault="00EA4DAF">
      <w:pPr>
        <w:spacing w:after="20"/>
        <w:ind w:left="360" w:hanging="360"/>
      </w:pPr>
      <w:r>
        <w:rPr>
          <w:sz w:val="20"/>
          <w:szCs w:val="20"/>
        </w:rPr>
        <w:t>Tetlock, P. C. (2007). Giving content to investor sentiment: The role of media in the stock market. Journal of Finance.</w:t>
      </w:r>
    </w:p>
    <w:p w14:paraId="3ADB520F" w14:textId="77777777" w:rsidR="00205384" w:rsidRDefault="00EA4DAF">
      <w:pPr>
        <w:spacing w:after="20"/>
        <w:ind w:left="360" w:hanging="360"/>
      </w:pPr>
      <w:r>
        <w:rPr>
          <w:sz w:val="20"/>
          <w:szCs w:val="20"/>
        </w:rPr>
        <w:t xml:space="preserve">Yang, Y., Uy, M. C. S., and Huang, A. (2020). </w:t>
      </w:r>
      <w:proofErr w:type="spellStart"/>
      <w:r>
        <w:rPr>
          <w:sz w:val="20"/>
          <w:szCs w:val="20"/>
        </w:rPr>
        <w:t>FinBERT</w:t>
      </w:r>
      <w:proofErr w:type="spellEnd"/>
      <w:r>
        <w:rPr>
          <w:sz w:val="20"/>
          <w:szCs w:val="20"/>
        </w:rPr>
        <w:t xml:space="preserve">: A pretrained language model for financial communications. </w:t>
      </w:r>
      <w:proofErr w:type="spellStart"/>
      <w:r>
        <w:rPr>
          <w:sz w:val="20"/>
          <w:szCs w:val="20"/>
        </w:rPr>
        <w:t>arXiv</w:t>
      </w:r>
      <w:proofErr w:type="spellEnd"/>
      <w:r>
        <w:rPr>
          <w:sz w:val="20"/>
          <w:szCs w:val="20"/>
        </w:rPr>
        <w:t xml:space="preserve"> preprint.</w:t>
      </w:r>
    </w:p>
    <w:sectPr w:rsidR="00205384">
      <w:pgSz w:w="11906" w:h="16838"/>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05384"/>
    <w:rsid w:val="000B3D3B"/>
    <w:rsid w:val="000D08CF"/>
    <w:rsid w:val="00180BF1"/>
    <w:rsid w:val="001B444C"/>
    <w:rsid w:val="001D09D8"/>
    <w:rsid w:val="00205384"/>
    <w:rsid w:val="0024087A"/>
    <w:rsid w:val="004B7435"/>
    <w:rsid w:val="006E4E37"/>
    <w:rsid w:val="006F1131"/>
    <w:rsid w:val="00727502"/>
    <w:rsid w:val="0086104E"/>
    <w:rsid w:val="009A6C83"/>
    <w:rsid w:val="009B2C07"/>
    <w:rsid w:val="009F6FD2"/>
    <w:rsid w:val="00AA3C15"/>
    <w:rsid w:val="00B04699"/>
    <w:rsid w:val="00B168CC"/>
    <w:rsid w:val="00B95892"/>
    <w:rsid w:val="00CC5B1C"/>
    <w:rsid w:val="00D36B01"/>
    <w:rsid w:val="00E75016"/>
    <w:rsid w:val="00EA4DAF"/>
    <w:rsid w:val="00EC00EF"/>
    <w:rsid w:val="00FE3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9F173F"/>
  <w15:docId w15:val="{0C859897-4E89-49D2-828B-5A88B70EC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qFormat/>
    <w:pPr>
      <w:keepNext/>
      <w:spacing w:before="180" w:after="60"/>
      <w:outlineLvl w:val="0"/>
    </w:pPr>
    <w:rPr>
      <w:b/>
      <w:sz w:val="28"/>
    </w:rPr>
  </w:style>
  <w:style w:type="paragraph" w:styleId="Heading2">
    <w:name w:val="heading 2"/>
    <w:basedOn w:val="Normal"/>
    <w:next w:val="Normal"/>
    <w:qFormat/>
    <w:pPr>
      <w:keepNext/>
      <w:spacing w:before="120" w:after="40"/>
      <w:outlineLvl w:val="1"/>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7</Pages>
  <Words>2201</Words>
  <Characters>12549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Unexpected Online Financial News and Intraday Market Reactions</vt:lpstr>
    </vt:vector>
  </TitlesOfParts>
  <Company/>
  <LinksUpToDate>false</LinksUpToDate>
  <CharactersWithSpaces>14721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Unexpected Online Financial News and Intraday Market Reactions</dc:title>
  <dc:creator>Andrei Calin Nedelcu; Andrei Cheroiu</dc:creator>
  <cp:lastModifiedBy>Nedelcu Calin</cp:lastModifiedBy>
  <cp:revision>8</cp:revision>
  <dcterms:created xsi:type="dcterms:W3CDTF">2026-05-27T15:49:00Z</dcterms:created>
  <dcterms:modified xsi:type="dcterms:W3CDTF">2026-05-27T19:01:00Z</dcterms:modified>
</cp:coreProperties>
</file>