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A2B7" w14:textId="77777777" w:rsidR="0029153F" w:rsidRDefault="0029153F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3453F430" w14:textId="77777777" w:rsidR="0029153F" w:rsidRDefault="0029153F">
      <w:r>
        <w:t>TEXT FINAL NUMEROTAT</w:t>
      </w:r>
    </w:p>
    <w:p w14:paraId="13CBA7A3" w14:textId="77777777" w:rsidR="0029153F" w:rsidRDefault="0029153F"/>
    <w:p w14:paraId="06EAD5A9" w14:textId="77777777" w:rsidR="0029153F" w:rsidRDefault="0029153F">
      <w:r>
        <w:t>PARTEA III — BUSINESS, LEGAL &amp; SCALARE</w:t>
      </w:r>
    </w:p>
    <w:p w14:paraId="7A1365C5" w14:textId="77777777" w:rsidR="0029153F" w:rsidRDefault="0029153F"/>
    <w:p w14:paraId="55342B4E" w14:textId="77777777" w:rsidR="0029153F" w:rsidRDefault="0029153F"/>
    <w:p w14:paraId="4D6E2906" w14:textId="77777777" w:rsidR="0029153F" w:rsidRDefault="0029153F">
      <w:r>
        <w:t>CAPITOLUL 23 — COMPLIANCE MULTI-ȚARĂ ȘI ADAPTAREA LA UNIUNEA EUROPEANĂ (EASA)</w:t>
      </w:r>
    </w:p>
    <w:p w14:paraId="1628B548" w14:textId="77777777" w:rsidR="0029153F" w:rsidRDefault="0029153F"/>
    <w:p w14:paraId="32BF466D" w14:textId="77777777" w:rsidR="0029153F" w:rsidRDefault="0029153F"/>
    <w:p w14:paraId="6EFD9112" w14:textId="77777777" w:rsidR="0029153F" w:rsidRDefault="0029153F">
      <w:r>
        <w:t>23.1 Principiul fundamental al extinderii legale</w:t>
      </w:r>
    </w:p>
    <w:p w14:paraId="10B358B4" w14:textId="77777777" w:rsidR="0029153F" w:rsidRDefault="0029153F"/>
    <w:p w14:paraId="4B5E99ED" w14:textId="77777777" w:rsidR="0029153F" w:rsidRDefault="0029153F">
      <w:r>
        <w:t>Extinderea DROPi în afara Zonei 0 se face pe baza unui principiu clar:</w:t>
      </w:r>
    </w:p>
    <w:p w14:paraId="0743FD35" w14:textId="77777777" w:rsidR="0029153F" w:rsidRDefault="0029153F"/>
    <w:p w14:paraId="56558124" w14:textId="77777777" w:rsidR="0029153F" w:rsidRDefault="0029153F">
      <w:r>
        <w:t>DROPi nu modifică produsul pentru a se potrivi legislației, ci adaptează operarea locală peste aceeași arhitectură de produs.</w:t>
      </w:r>
    </w:p>
    <w:p w14:paraId="29482655" w14:textId="77777777" w:rsidR="0029153F" w:rsidRDefault="0029153F"/>
    <w:p w14:paraId="4FF36611" w14:textId="77777777" w:rsidR="0029153F" w:rsidRDefault="0029153F">
      <w:r>
        <w:t>Această abordare permite consistență tehnică și reduce riscul de fragmentare a platformei.</w:t>
      </w:r>
    </w:p>
    <w:p w14:paraId="479F7630" w14:textId="77777777" w:rsidR="0029153F" w:rsidRDefault="0029153F"/>
    <w:p w14:paraId="4B85EB60" w14:textId="77777777" w:rsidR="0029153F" w:rsidRDefault="0029153F"/>
    <w:p w14:paraId="6BA396D7" w14:textId="77777777" w:rsidR="0029153F" w:rsidRDefault="0029153F">
      <w:r>
        <w:t>23.2 Diferența de context între Filipine și Uniunea Europeană</w:t>
      </w:r>
    </w:p>
    <w:p w14:paraId="7DDEB58E" w14:textId="77777777" w:rsidR="0029153F" w:rsidRDefault="0029153F"/>
    <w:p w14:paraId="63E807BD" w14:textId="77777777" w:rsidR="0029153F" w:rsidRDefault="0029153F">
      <w:r>
        <w:t>23.2.1 Contextul Filipinelor (Zona 0)</w:t>
      </w:r>
    </w:p>
    <w:p w14:paraId="577DC0F0" w14:textId="77777777" w:rsidR="0029153F" w:rsidRDefault="0029153F">
      <w:r>
        <w:t>– reglementare mai flexibilă</w:t>
      </w:r>
    </w:p>
    <w:p w14:paraId="0E5FAAE1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Deschidere pentru programe pilot</w:t>
      </w:r>
    </w:p>
    <w:p w14:paraId="072B3E9A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Feedback rapid din partea autorităților</w:t>
      </w:r>
    </w:p>
    <w:p w14:paraId="210D4AA7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Operare zonală accelerată</w:t>
      </w:r>
    </w:p>
    <w:p w14:paraId="15F59EB2" w14:textId="77777777" w:rsidR="0029153F" w:rsidRDefault="0029153F"/>
    <w:p w14:paraId="0AD5C4B8" w14:textId="77777777" w:rsidR="0029153F" w:rsidRDefault="0029153F">
      <w:r>
        <w:t>23.2.2 Contextul Uniunii Europene</w:t>
      </w:r>
    </w:p>
    <w:p w14:paraId="45E88735" w14:textId="77777777" w:rsidR="0029153F" w:rsidRDefault="0029153F">
      <w:r>
        <w:t>– reglementare strictă și armonizată</w:t>
      </w:r>
    </w:p>
    <w:p w14:paraId="0497D739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Cerințe formale de documentație</w:t>
      </w:r>
    </w:p>
    <w:p w14:paraId="50284673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Accent pe evaluarea riscului</w:t>
      </w:r>
    </w:p>
    <w:p w14:paraId="34239214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Audit și raportare frecventă</w:t>
      </w:r>
    </w:p>
    <w:p w14:paraId="53A7DD1C" w14:textId="77777777" w:rsidR="0029153F" w:rsidRDefault="0029153F"/>
    <w:p w14:paraId="69DA5ED3" w14:textId="77777777" w:rsidR="0029153F" w:rsidRDefault="0029153F">
      <w:r>
        <w:t>Uniunea Europeană nu acceptă improvizația, dar recompensează disciplina și predictibilitatea.</w:t>
      </w:r>
    </w:p>
    <w:p w14:paraId="7974B4D1" w14:textId="77777777" w:rsidR="0029153F" w:rsidRDefault="0029153F"/>
    <w:p w14:paraId="0D49B2E9" w14:textId="77777777" w:rsidR="0029153F" w:rsidRDefault="0029153F"/>
    <w:p w14:paraId="5F614738" w14:textId="77777777" w:rsidR="0029153F" w:rsidRDefault="0029153F">
      <w:r>
        <w:t>23.3 Cadrul de reglementare EASA</w:t>
      </w:r>
    </w:p>
    <w:p w14:paraId="31F6207D" w14:textId="77777777" w:rsidR="0029153F" w:rsidRDefault="0029153F"/>
    <w:p w14:paraId="4A491987" w14:textId="77777777" w:rsidR="0029153F" w:rsidRDefault="0029153F">
      <w:r>
        <w:t>EASA (European Union Aviation Safety Agency) stabilește cadrul comun pentru operarea sistemelor de aeronave fără pilot în Uniunea Europeană.</w:t>
      </w:r>
    </w:p>
    <w:p w14:paraId="716519C5" w14:textId="77777777" w:rsidR="0029153F" w:rsidRDefault="0029153F"/>
    <w:p w14:paraId="4E9A9094" w14:textId="77777777" w:rsidR="0029153F" w:rsidRDefault="0029153F">
      <w:r>
        <w:t>DROPi se raportează la:</w:t>
      </w:r>
    </w:p>
    <w:p w14:paraId="1AA95AE7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Regulamentele UE privind UAS</w:t>
      </w:r>
    </w:p>
    <w:p w14:paraId="6E11214A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Ghidurile EASA</w:t>
      </w:r>
    </w:p>
    <w:p w14:paraId="2236F7C4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Autoritățile naționale de aviație civilă</w:t>
      </w:r>
    </w:p>
    <w:p w14:paraId="31CBD2A0" w14:textId="77777777" w:rsidR="0029153F" w:rsidRDefault="0029153F"/>
    <w:p w14:paraId="735C1558" w14:textId="77777777" w:rsidR="0029153F" w:rsidRDefault="0029153F"/>
    <w:p w14:paraId="2EABCD47" w14:textId="77777777" w:rsidR="0029153F" w:rsidRDefault="0029153F">
      <w:r>
        <w:t>23.4 Categoriile operaționale relevante pentru DROPi</w:t>
      </w:r>
    </w:p>
    <w:p w14:paraId="0FEEDD76" w14:textId="77777777" w:rsidR="0029153F" w:rsidRDefault="0029153F"/>
    <w:p w14:paraId="59B2A1FA" w14:textId="77777777" w:rsidR="0029153F" w:rsidRDefault="0029153F">
      <w:r>
        <w:t>DROPi este proiectat să opereze în principal în:</w:t>
      </w:r>
    </w:p>
    <w:p w14:paraId="34FCD0CF" w14:textId="77777777" w:rsidR="0029153F" w:rsidRDefault="0029153F"/>
    <w:p w14:paraId="61E358A2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Categoria Specific (Specific Category)</w:t>
      </w:r>
    </w:p>
    <w:p w14:paraId="69CC2AF9" w14:textId="77777777" w:rsidR="0029153F" w:rsidRDefault="0029153F"/>
    <w:p w14:paraId="5899706A" w14:textId="77777777" w:rsidR="0029153F" w:rsidRDefault="0029153F">
      <w:r>
        <w:t>Categoria Specific permite:</w:t>
      </w:r>
    </w:p>
    <w:p w14:paraId="117A8A2C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Operațiuni comerciale</w:t>
      </w:r>
    </w:p>
    <w:p w14:paraId="25137089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Zboruri BVLOS</w:t>
      </w:r>
    </w:p>
    <w:p w14:paraId="75D0F43C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Rute prestabilite</w:t>
      </w:r>
    </w:p>
    <w:p w14:paraId="6C369209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Operare condiționată de evaluare de risc</w:t>
      </w:r>
    </w:p>
    <w:p w14:paraId="048D6739" w14:textId="77777777" w:rsidR="0029153F" w:rsidRDefault="0029153F"/>
    <w:p w14:paraId="3FBDA43D" w14:textId="77777777" w:rsidR="0029153F" w:rsidRDefault="0029153F">
      <w:r>
        <w:t>Categoria Open este utilizată doar pentru teste limitate.</w:t>
      </w:r>
    </w:p>
    <w:p w14:paraId="69528A48" w14:textId="77777777" w:rsidR="0029153F" w:rsidRDefault="0029153F">
      <w:r>
        <w:t>Categoria Certified nu este vizată în fazele inițiale.</w:t>
      </w:r>
    </w:p>
    <w:p w14:paraId="1E8FC8FF" w14:textId="77777777" w:rsidR="0029153F" w:rsidRDefault="0029153F"/>
    <w:p w14:paraId="0D1E9424" w14:textId="77777777" w:rsidR="0029153F" w:rsidRDefault="0029153F"/>
    <w:p w14:paraId="6925D0B7" w14:textId="77777777" w:rsidR="0029153F" w:rsidRDefault="0029153F">
      <w:r>
        <w:t>23.5 Evaluarea riscului operațional (SORA)</w:t>
      </w:r>
    </w:p>
    <w:p w14:paraId="6AC4D9B0" w14:textId="77777777" w:rsidR="0029153F" w:rsidRDefault="0029153F"/>
    <w:p w14:paraId="1CE033A5" w14:textId="77777777" w:rsidR="0029153F" w:rsidRDefault="0029153F">
      <w:r>
        <w:t>Pentru fiecare zonă UE, DROPi utilizează metodologia SORA (Specific Operations Risk Assessment).</w:t>
      </w:r>
    </w:p>
    <w:p w14:paraId="6029FA69" w14:textId="77777777" w:rsidR="0029153F" w:rsidRDefault="0029153F"/>
    <w:p w14:paraId="45787432" w14:textId="77777777" w:rsidR="0029153F" w:rsidRDefault="0029153F">
      <w:r>
        <w:t>SORA analizează:</w:t>
      </w:r>
    </w:p>
    <w:p w14:paraId="390E8B24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Riscul la sol (GRC)</w:t>
      </w:r>
    </w:p>
    <w:p w14:paraId="7DFCA9E8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Riscul aerian (ARC)</w:t>
      </w:r>
    </w:p>
    <w:p w14:paraId="610F3492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Măsuri de mitigare</w:t>
      </w:r>
    </w:p>
    <w:p w14:paraId="1F60B8A8" w14:textId="77777777" w:rsidR="0029153F" w:rsidRDefault="0029153F"/>
    <w:p w14:paraId="5C98C2EC" w14:textId="77777777" w:rsidR="0029153F" w:rsidRDefault="0029153F">
      <w:r>
        <w:t>DronePort-urile și operarea zonală reduc semnificativ riscul evaluat.</w:t>
      </w:r>
    </w:p>
    <w:p w14:paraId="6B7AB2EB" w14:textId="77777777" w:rsidR="0029153F" w:rsidRDefault="0029153F"/>
    <w:p w14:paraId="5D2EE3BF" w14:textId="77777777" w:rsidR="0029153F" w:rsidRDefault="0029153F"/>
    <w:p w14:paraId="6AE3F252" w14:textId="77777777" w:rsidR="0029153F" w:rsidRDefault="0029153F">
      <w:r>
        <w:t>23.6 Documentația necesară în UE</w:t>
      </w:r>
    </w:p>
    <w:p w14:paraId="45D42F1F" w14:textId="77777777" w:rsidR="0029153F" w:rsidRDefault="0029153F"/>
    <w:p w14:paraId="78209159" w14:textId="77777777" w:rsidR="0029153F" w:rsidRDefault="0029153F">
      <w:r>
        <w:t>Operatorul Zonal din UE trebuie să prezinte:</w:t>
      </w:r>
    </w:p>
    <w:p w14:paraId="1475026A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CONOPS (Concept of Operations)</w:t>
      </w:r>
    </w:p>
    <w:p w14:paraId="67EA5261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SORA</w:t>
      </w:r>
    </w:p>
    <w:p w14:paraId="23674415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Proceduri operaționale</w:t>
      </w:r>
    </w:p>
    <w:p w14:paraId="4BABA23C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Proceduri de siguranță</w:t>
      </w:r>
    </w:p>
    <w:p w14:paraId="127BB203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Training piloți</w:t>
      </w:r>
    </w:p>
    <w:p w14:paraId="2E68EB3E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Descriere DronePort-urilor</w:t>
      </w:r>
    </w:p>
    <w:p w14:paraId="0A156E50" w14:textId="77777777" w:rsidR="0029153F" w:rsidRDefault="0029153F"/>
    <w:p w14:paraId="73359CCB" w14:textId="77777777" w:rsidR="0029153F" w:rsidRDefault="0029153F">
      <w:r>
        <w:t>DROPi Core furnizează șabloane și standarde pentru această documentație.</w:t>
      </w:r>
    </w:p>
    <w:p w14:paraId="6ACD1E9D" w14:textId="77777777" w:rsidR="0029153F" w:rsidRDefault="0029153F"/>
    <w:p w14:paraId="5A1C6B70" w14:textId="77777777" w:rsidR="0029153F" w:rsidRDefault="0029153F"/>
    <w:p w14:paraId="0F529204" w14:textId="77777777" w:rsidR="0029153F" w:rsidRDefault="0029153F">
      <w:r>
        <w:t>23.7 Rolul DronePort în contextul EASA</w:t>
      </w:r>
    </w:p>
    <w:p w14:paraId="6DB84D43" w14:textId="77777777" w:rsidR="0029153F" w:rsidRDefault="0029153F"/>
    <w:p w14:paraId="5278EAD1" w14:textId="77777777" w:rsidR="0029153F" w:rsidRDefault="0029153F">
      <w:r>
        <w:t>În cadrul UE, DronePort-ul:</w:t>
      </w:r>
    </w:p>
    <w:p w14:paraId="03D527ED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Reduce riscul pentru terți</w:t>
      </w:r>
    </w:p>
    <w:p w14:paraId="236953F7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Oferă puncte sigure de aterizare</w:t>
      </w:r>
    </w:p>
    <w:p w14:paraId="1AC6EC4C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Facilitează auditul</w:t>
      </w:r>
    </w:p>
    <w:p w14:paraId="5C63D09C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Crește acceptabilitatea operațiunilor</w:t>
      </w:r>
    </w:p>
    <w:p w14:paraId="7C46E8EE" w14:textId="77777777" w:rsidR="0029153F" w:rsidRDefault="0029153F"/>
    <w:p w14:paraId="4762E0C1" w14:textId="77777777" w:rsidR="0029153F" w:rsidRDefault="0029153F">
      <w:r>
        <w:t>DronePort-ul este un element-cheie în aprobarea operațiunilor în Categoria Specific.</w:t>
      </w:r>
    </w:p>
    <w:p w14:paraId="37553457" w14:textId="77777777" w:rsidR="0029153F" w:rsidRDefault="0029153F"/>
    <w:p w14:paraId="5AC5BA7B" w14:textId="77777777" w:rsidR="0029153F" w:rsidRDefault="0029153F"/>
    <w:p w14:paraId="6E8FE875" w14:textId="77777777" w:rsidR="0029153F" w:rsidRDefault="0029153F">
      <w:r>
        <w:t>23.8 Rolul operatorului zonal în UE</w:t>
      </w:r>
    </w:p>
    <w:p w14:paraId="21D5C04D" w14:textId="77777777" w:rsidR="0029153F" w:rsidRDefault="0029153F"/>
    <w:p w14:paraId="203EFDC0" w14:textId="77777777" w:rsidR="0029153F" w:rsidRDefault="0029153F">
      <w:r>
        <w:t>Operatorul Zonal din UE:</w:t>
      </w:r>
    </w:p>
    <w:p w14:paraId="2B9975EF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Aplică pentru autorizații</w:t>
      </w:r>
    </w:p>
    <w:p w14:paraId="394E1ABB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Menține relația cu autoritățile naționale</w:t>
      </w:r>
    </w:p>
    <w:p w14:paraId="046447A9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Operează local</w:t>
      </w:r>
    </w:p>
    <w:p w14:paraId="161DDC10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Respectă regulile DROPi</w:t>
      </w:r>
    </w:p>
    <w:p w14:paraId="12901819" w14:textId="77777777" w:rsidR="0029153F" w:rsidRDefault="0029153F"/>
    <w:p w14:paraId="3CF93918" w14:textId="77777777" w:rsidR="0029153F" w:rsidRDefault="0029153F">
      <w:r>
        <w:t>DROPi Core nu aplică direct pentru autorizații în UE.</w:t>
      </w:r>
    </w:p>
    <w:p w14:paraId="40102888" w14:textId="77777777" w:rsidR="0029153F" w:rsidRDefault="0029153F"/>
    <w:p w14:paraId="46EFC8F1" w14:textId="77777777" w:rsidR="0029153F" w:rsidRDefault="0029153F"/>
    <w:p w14:paraId="77FC8FBA" w14:textId="77777777" w:rsidR="0029153F" w:rsidRDefault="0029153F">
      <w:r>
        <w:t>23.9 Adaptări operaționale pentru UE</w:t>
      </w:r>
    </w:p>
    <w:p w14:paraId="2F22CC08" w14:textId="77777777" w:rsidR="0029153F" w:rsidRDefault="0029153F"/>
    <w:p w14:paraId="64FA1350" w14:textId="77777777" w:rsidR="0029153F" w:rsidRDefault="0029153F">
      <w:r>
        <w:t>În UE, sunt necesare adaptări precum:</w:t>
      </w:r>
    </w:p>
    <w:p w14:paraId="68C3DE0B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Documentație mai detaliată</w:t>
      </w:r>
    </w:p>
    <w:p w14:paraId="3D2A411C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Training piloți mai strict</w:t>
      </w:r>
    </w:p>
    <w:p w14:paraId="1910A558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Raportare formală a incidentelor</w:t>
      </w:r>
    </w:p>
    <w:p w14:paraId="2EA3D01A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Audit periodic</w:t>
      </w:r>
    </w:p>
    <w:p w14:paraId="5D733296" w14:textId="77777777" w:rsidR="0029153F" w:rsidRDefault="0029153F"/>
    <w:p w14:paraId="276886BA" w14:textId="77777777" w:rsidR="0029153F" w:rsidRDefault="0029153F">
      <w:r>
        <w:t>Aceste adaptări nu necesită modificarea produsului, ci doar a procedurilor locale.</w:t>
      </w:r>
    </w:p>
    <w:p w14:paraId="70054610" w14:textId="77777777" w:rsidR="0029153F" w:rsidRDefault="0029153F"/>
    <w:p w14:paraId="155DD25F" w14:textId="77777777" w:rsidR="0029153F" w:rsidRDefault="0029153F"/>
    <w:p w14:paraId="4B5C320B" w14:textId="77777777" w:rsidR="0029153F" w:rsidRDefault="0029153F">
      <w:r>
        <w:t>23.10 Ce NU face DROPi în UE</w:t>
      </w:r>
    </w:p>
    <w:p w14:paraId="2AF8BE4B" w14:textId="77777777" w:rsidR="0029153F" w:rsidRDefault="0029153F"/>
    <w:p w14:paraId="23A9051C" w14:textId="77777777" w:rsidR="0029153F" w:rsidRDefault="0029153F">
      <w:r>
        <w:t>DROPi NU:</w:t>
      </w:r>
    </w:p>
    <w:p w14:paraId="2635D00D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Operează fără autorizație</w:t>
      </w:r>
    </w:p>
    <w:p w14:paraId="797B4422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Încearcă ocolirea categoriei Specific</w:t>
      </w:r>
    </w:p>
    <w:p w14:paraId="08F1BC26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Promite livrări urbane masive din prima</w:t>
      </w:r>
    </w:p>
    <w:p w14:paraId="3CCBB195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Reduce standardele de siguranță</w:t>
      </w:r>
    </w:p>
    <w:p w14:paraId="6D68684F" w14:textId="77777777" w:rsidR="0029153F" w:rsidRDefault="0029153F"/>
    <w:p w14:paraId="59768DF7" w14:textId="77777777" w:rsidR="0029153F" w:rsidRDefault="0029153F">
      <w:r>
        <w:t>Extinderea se face progresiv și controlat.</w:t>
      </w:r>
    </w:p>
    <w:p w14:paraId="343132E5" w14:textId="77777777" w:rsidR="0029153F" w:rsidRDefault="0029153F"/>
    <w:p w14:paraId="5E7A3FD3" w14:textId="77777777" w:rsidR="0029153F" w:rsidRDefault="0029153F"/>
    <w:p w14:paraId="12EF6A2E" w14:textId="77777777" w:rsidR="0029153F" w:rsidRDefault="0029153F">
      <w:r>
        <w:t>23.11 Timeline realist pentru intrarea în UE</w:t>
      </w:r>
    </w:p>
    <w:p w14:paraId="05C9291A" w14:textId="77777777" w:rsidR="0029153F" w:rsidRDefault="0029153F"/>
    <w:p w14:paraId="113A7B60" w14:textId="77777777" w:rsidR="0029153F" w:rsidRDefault="0029153F">
      <w:r>
        <w:t>După validarea Zonei 0:</w:t>
      </w:r>
    </w:p>
    <w:p w14:paraId="0B9BDCCF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3–6 luni pentru pregătirea documentației</w:t>
      </w:r>
    </w:p>
    <w:p w14:paraId="757296E3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6–12 luni pentru obținerea primelor autorizații</w:t>
      </w:r>
    </w:p>
    <w:p w14:paraId="48136A51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Extindere zonală graduală ulterior</w:t>
      </w:r>
    </w:p>
    <w:p w14:paraId="2BE275D3" w14:textId="77777777" w:rsidR="0029153F" w:rsidRDefault="0029153F"/>
    <w:p w14:paraId="29CEF5AC" w14:textId="77777777" w:rsidR="0029153F" w:rsidRDefault="0029153F">
      <w:r>
        <w:t>Uniunea Europeană este abordată ca un proces pe termen mediu, nu ca o lansare rapidă.</w:t>
      </w:r>
    </w:p>
    <w:p w14:paraId="03B38F0B" w14:textId="77777777" w:rsidR="0029153F" w:rsidRDefault="0029153F"/>
    <w:p w14:paraId="1A835E62" w14:textId="77777777" w:rsidR="0029153F" w:rsidRDefault="0029153F"/>
    <w:p w14:paraId="3CC890B8" w14:textId="77777777" w:rsidR="0029153F" w:rsidRDefault="0029153F">
      <w:r>
        <w:t>23.12 Beneficiile abordării multi-țară</w:t>
      </w:r>
    </w:p>
    <w:p w14:paraId="7564C8BE" w14:textId="77777777" w:rsidR="0029153F" w:rsidRDefault="0029153F"/>
    <w:p w14:paraId="3676226D" w14:textId="77777777" w:rsidR="0029153F" w:rsidRDefault="0029153F">
      <w:r>
        <w:t>Prin această abordare, DROPi obține:</w:t>
      </w:r>
    </w:p>
    <w:p w14:paraId="6D137DBF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Consistență de produs</w:t>
      </w:r>
    </w:p>
    <w:p w14:paraId="1FCBF389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Încredere instituțională</w:t>
      </w:r>
    </w:p>
    <w:p w14:paraId="6E4A9EDE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Avantaj competitiv defensibil</w:t>
      </w:r>
    </w:p>
    <w:p w14:paraId="3FBD8B28" w14:textId="77777777" w:rsidR="0029153F" w:rsidRDefault="0029153F" w:rsidP="0029153F">
      <w:pPr>
        <w:pStyle w:val="Listparagraf"/>
        <w:numPr>
          <w:ilvl w:val="0"/>
          <w:numId w:val="1"/>
        </w:numPr>
      </w:pPr>
      <w:r>
        <w:t>Replicare controlată</w:t>
      </w:r>
    </w:p>
    <w:p w14:paraId="65905592" w14:textId="77777777" w:rsidR="0029153F" w:rsidRDefault="0029153F"/>
    <w:p w14:paraId="6D2FAC49" w14:textId="77777777" w:rsidR="0029153F" w:rsidRDefault="0029153F"/>
    <w:p w14:paraId="58F15C16" w14:textId="77777777" w:rsidR="0029153F" w:rsidRDefault="0029153F">
      <w:r>
        <w:t>23.13 Concluzia Capitolului 23</w:t>
      </w:r>
    </w:p>
    <w:p w14:paraId="3E66A3AA" w14:textId="77777777" w:rsidR="0029153F" w:rsidRDefault="0029153F"/>
    <w:p w14:paraId="02A18B46" w14:textId="77777777" w:rsidR="0029153F" w:rsidRDefault="0029153F">
      <w:r>
        <w:t>DROPi este construit pentru a funcționa în medii de reglementare diferite fără a-și compromite arhitectura sau valorile.</w:t>
      </w:r>
    </w:p>
    <w:p w14:paraId="0A68C018" w14:textId="77777777" w:rsidR="0029153F" w:rsidRDefault="0029153F"/>
    <w:p w14:paraId="6F9E0D05" w14:textId="77777777" w:rsidR="0029153F" w:rsidRDefault="0029153F">
      <w:r>
        <w:t>Prin adaptare procedurală, nu structurală, DROPi poate trece din Zona 0 în Uniunea Europeană într-un mod disciplinat, legal și sustenabil.</w:t>
      </w:r>
    </w:p>
    <w:sectPr w:rsidR="00291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1177"/>
    <w:multiLevelType w:val="hybridMultilevel"/>
    <w:tmpl w:val="C4DA6F3A"/>
    <w:lvl w:ilvl="0" w:tplc="FFFFFFFF">
      <w:start w:val="23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F"/>
    <w:rsid w:val="000349B8"/>
    <w:rsid w:val="0029153F"/>
    <w:rsid w:val="004C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9C739"/>
  <w15:chartTrackingRefBased/>
  <w15:docId w15:val="{284758F9-1867-C64E-8E22-9E83C3D3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91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91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91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91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91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91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91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91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91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91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91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91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9153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9153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9153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9153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9153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9153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91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91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91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91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91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9153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9153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9153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91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9153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91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2026-01-25T20:39:00Z</dcterms:created>
  <dcterms:modified xsi:type="dcterms:W3CDTF">2026-01-25T20:39:00Z</dcterms:modified>
</cp:coreProperties>
</file>