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389A" w14:textId="77777777" w:rsidR="0075221D" w:rsidRDefault="0075221D" w:rsidP="0075221D">
      <w:r>
        <w:t>DROPi — MASTER PLAN CANONIC</w:t>
      </w:r>
    </w:p>
    <w:p w14:paraId="6EBC5C56" w14:textId="77777777" w:rsidR="0075221D" w:rsidRDefault="0075221D" w:rsidP="0075221D">
      <w:r>
        <w:t>TEXT FINAL NUMEROTAT</w:t>
      </w:r>
    </w:p>
    <w:p w14:paraId="4B2F3AC4" w14:textId="77777777" w:rsidR="0075221D" w:rsidRDefault="0075221D" w:rsidP="0075221D"/>
    <w:p w14:paraId="6DEE3DDA" w14:textId="77777777" w:rsidR="0075221D" w:rsidRDefault="0075221D" w:rsidP="0075221D">
      <w:r>
        <w:t>PARTEA II — PRODUS &amp; TEHNOLOGIE</w:t>
      </w:r>
    </w:p>
    <w:p w14:paraId="67C7CD6D" w14:textId="77777777" w:rsidR="0075221D" w:rsidRDefault="0075221D" w:rsidP="0075221D"/>
    <w:p w14:paraId="7720CAC0" w14:textId="77777777" w:rsidR="0075221D" w:rsidRDefault="0075221D" w:rsidP="0075221D"/>
    <w:p w14:paraId="400F2721" w14:textId="77777777" w:rsidR="0075221D" w:rsidRDefault="0075221D" w:rsidP="0075221D">
      <w:r>
        <w:t>CAPITOLUL 20 — CONCLUZIA VOLUMULUI II ȘI CRITERIILE DE TRECERE LA VOLUMUL III</w:t>
      </w:r>
    </w:p>
    <w:p w14:paraId="205CEEBD" w14:textId="77777777" w:rsidR="0075221D" w:rsidRDefault="0075221D" w:rsidP="0075221D"/>
    <w:p w14:paraId="283F82A8" w14:textId="77777777" w:rsidR="0075221D" w:rsidRDefault="0075221D" w:rsidP="0075221D"/>
    <w:p w14:paraId="27843123" w14:textId="77777777" w:rsidR="0075221D" w:rsidRDefault="0075221D" w:rsidP="0075221D">
      <w:r>
        <w:t>20.1 Rolul Volumului II în arhitectura masterplanului</w:t>
      </w:r>
    </w:p>
    <w:p w14:paraId="155DD7D8" w14:textId="77777777" w:rsidR="0075221D" w:rsidRDefault="0075221D" w:rsidP="0075221D"/>
    <w:p w14:paraId="4C2E41ED" w14:textId="77777777" w:rsidR="0075221D" w:rsidRDefault="0075221D" w:rsidP="0075221D">
      <w:r>
        <w:t>Volumul II reprezintă manualul de construcție, operare și control al DROPi. Acesta stabilește modul în care produsul este proiectat, dezvoltat, testat și operat în condiții reale, sub constrângeri legale și de siguranță.</w:t>
      </w:r>
    </w:p>
    <w:p w14:paraId="25A3ED60" w14:textId="77777777" w:rsidR="0075221D" w:rsidRDefault="0075221D" w:rsidP="0075221D"/>
    <w:p w14:paraId="1CD65245" w14:textId="77777777" w:rsidR="0075221D" w:rsidRDefault="0075221D" w:rsidP="0075221D">
      <w:r>
        <w:t>Fără Volumul II, Volumul III (Business, Legal și Scalare) nu poate fi aplicat în mod responsabil.</w:t>
      </w:r>
    </w:p>
    <w:p w14:paraId="651EE519" w14:textId="77777777" w:rsidR="0075221D" w:rsidRDefault="0075221D" w:rsidP="0075221D"/>
    <w:p w14:paraId="6D47ED96" w14:textId="77777777" w:rsidR="0075221D" w:rsidRDefault="0075221D" w:rsidP="0075221D"/>
    <w:p w14:paraId="7B7276D8" w14:textId="77777777" w:rsidR="0075221D" w:rsidRDefault="0075221D" w:rsidP="0075221D">
      <w:r>
        <w:t>20.2 Ce a fost stabilit definitiv prin Volumul II</w:t>
      </w:r>
    </w:p>
    <w:p w14:paraId="71463720" w14:textId="77777777" w:rsidR="0075221D" w:rsidRDefault="0075221D" w:rsidP="0075221D"/>
    <w:p w14:paraId="2DBDADCD" w14:textId="77777777" w:rsidR="0075221D" w:rsidRDefault="0075221D" w:rsidP="0075221D">
      <w:r>
        <w:t>Prin capitolele 6–19, Volumul II a definit fără ambiguități:</w:t>
      </w:r>
    </w:p>
    <w:p w14:paraId="60C16FF5" w14:textId="77777777" w:rsidR="0075221D" w:rsidRDefault="0075221D" w:rsidP="0075221D"/>
    <w:p w14:paraId="77F0E5B7" w14:textId="77777777" w:rsidR="0075221D" w:rsidRDefault="0075221D" w:rsidP="0075221D">
      <w:r>
        <w:t>– structura produsului (site, aplicație, infrastructură)</w:t>
      </w:r>
    </w:p>
    <w:p w14:paraId="6FA983E8" w14:textId="77777777" w:rsidR="0075221D" w:rsidRDefault="0075221D" w:rsidP="0075221D">
      <w:r>
        <w:t>– principiile de dezvoltare tehnică</w:t>
      </w:r>
    </w:p>
    <w:p w14:paraId="553640CF" w14:textId="77777777" w:rsidR="0075221D" w:rsidRDefault="0075221D" w:rsidP="0075221D">
      <w:r>
        <w:t>– fluxurile operaționale pentru toate rolurile</w:t>
      </w:r>
    </w:p>
    <w:p w14:paraId="1D6123D6" w14:textId="77777777" w:rsidR="0075221D" w:rsidRDefault="0075221D" w:rsidP="0075221D">
      <w:r>
        <w:t>– arhitectura AI asistată (DSS)</w:t>
      </w:r>
    </w:p>
    <w:p w14:paraId="32A88C07" w14:textId="77777777" w:rsidR="0075221D" w:rsidRDefault="0075221D" w:rsidP="0075221D">
      <w:r>
        <w:t>– livrarea autonomă supervizată</w:t>
      </w:r>
    </w:p>
    <w:p w14:paraId="0710C6BB" w14:textId="77777777" w:rsidR="0075221D" w:rsidRDefault="0075221D" w:rsidP="0075221D">
      <w:r>
        <w:t>– infrastructura DronePort</w:t>
      </w:r>
    </w:p>
    <w:p w14:paraId="29A4B3C6" w14:textId="77777777" w:rsidR="0075221D" w:rsidRDefault="0075221D" w:rsidP="0075221D">
      <w:r>
        <w:t>– sistemul de date și audit</w:t>
      </w:r>
    </w:p>
    <w:p w14:paraId="2E91837B" w14:textId="77777777" w:rsidR="0075221D" w:rsidRDefault="0075221D" w:rsidP="0075221D">
      <w:r>
        <w:t>– disciplina de testare și release</w:t>
      </w:r>
    </w:p>
    <w:p w14:paraId="1F6DC347" w14:textId="77777777" w:rsidR="0075221D" w:rsidRDefault="0075221D" w:rsidP="0075221D">
      <w:r>
        <w:t>– integrarea controlată cu ecosistemul</w:t>
      </w:r>
    </w:p>
    <w:p w14:paraId="50E93A1B" w14:textId="77777777" w:rsidR="0075221D" w:rsidRDefault="0075221D" w:rsidP="0075221D">
      <w:r>
        <w:t>– guvernanța tehnică</w:t>
      </w:r>
    </w:p>
    <w:p w14:paraId="1E670A4F" w14:textId="77777777" w:rsidR="0075221D" w:rsidRDefault="0075221D" w:rsidP="0075221D">
      <w:r>
        <w:t>– managementul riscului</w:t>
      </w:r>
    </w:p>
    <w:p w14:paraId="72032CC6" w14:textId="77777777" w:rsidR="0075221D" w:rsidRDefault="0075221D" w:rsidP="0075221D">
      <w:r>
        <w:t>– KPI și unit economics</w:t>
      </w:r>
    </w:p>
    <w:p w14:paraId="7ED98AFB" w14:textId="77777777" w:rsidR="0075221D" w:rsidRDefault="0075221D" w:rsidP="0075221D">
      <w:r>
        <w:t>– delimitările explicite ale produsului</w:t>
      </w:r>
    </w:p>
    <w:p w14:paraId="7AB5C454" w14:textId="77777777" w:rsidR="0075221D" w:rsidRDefault="0075221D" w:rsidP="0075221D"/>
    <w:p w14:paraId="2A39C22E" w14:textId="77777777" w:rsidR="0075221D" w:rsidRDefault="0075221D" w:rsidP="0075221D">
      <w:r>
        <w:t>Aceste elemente sunt considerate definitive și obligatorii pentru orice implementare DROPi.</w:t>
      </w:r>
    </w:p>
    <w:p w14:paraId="04DB1556" w14:textId="77777777" w:rsidR="0075221D" w:rsidRDefault="0075221D" w:rsidP="0075221D"/>
    <w:p w14:paraId="63CE47AD" w14:textId="77777777" w:rsidR="0075221D" w:rsidRDefault="0075221D" w:rsidP="0075221D"/>
    <w:p w14:paraId="7BA0A3F7" w14:textId="77777777" w:rsidR="0075221D" w:rsidRDefault="0075221D" w:rsidP="0075221D">
      <w:r>
        <w:t>20.3 Definiția stării „Volumul II este finalizat”</w:t>
      </w:r>
    </w:p>
    <w:p w14:paraId="5CBF3F0D" w14:textId="77777777" w:rsidR="0075221D" w:rsidRDefault="0075221D" w:rsidP="0075221D"/>
    <w:p w14:paraId="2FE2CD62" w14:textId="77777777" w:rsidR="0075221D" w:rsidRDefault="0075221D" w:rsidP="0075221D">
      <w:r>
        <w:t>Volumul II este considerat finalizat doar dacă sunt îndeplinite simultan următoarele condiții:</w:t>
      </w:r>
    </w:p>
    <w:p w14:paraId="2AEE0584" w14:textId="77777777" w:rsidR="0075221D" w:rsidRDefault="0075221D" w:rsidP="0075221D"/>
    <w:p w14:paraId="0856556D" w14:textId="77777777" w:rsidR="0075221D" w:rsidRDefault="0075221D" w:rsidP="0075221D">
      <w:r>
        <w:t>Condiții tehnice:</w:t>
      </w:r>
    </w:p>
    <w:p w14:paraId="7317DA1C" w14:textId="77777777" w:rsidR="0075221D" w:rsidRDefault="0075221D" w:rsidP="0075221D">
      <w:r>
        <w:t>– arhitectura este definită complet</w:t>
      </w:r>
    </w:p>
    <w:p w14:paraId="7517681E" w14:textId="77777777" w:rsidR="0075221D" w:rsidRDefault="0075221D" w:rsidP="0075221D">
      <w:r>
        <w:t>– fluxurile sunt documentate pentru toate rolurile</w:t>
      </w:r>
    </w:p>
    <w:p w14:paraId="1E024228" w14:textId="77777777" w:rsidR="0075221D" w:rsidRDefault="0075221D" w:rsidP="0075221D">
      <w:r>
        <w:t>– mecanismele de fallback sunt funcționale</w:t>
      </w:r>
    </w:p>
    <w:p w14:paraId="57B0CABA" w14:textId="77777777" w:rsidR="0075221D" w:rsidRDefault="0075221D" w:rsidP="0075221D">
      <w:r>
        <w:t>– log-urile și auditul sunt definite</w:t>
      </w:r>
    </w:p>
    <w:p w14:paraId="345E2560" w14:textId="77777777" w:rsidR="0075221D" w:rsidRDefault="0075221D" w:rsidP="0075221D"/>
    <w:p w14:paraId="1ACCAB9E" w14:textId="77777777" w:rsidR="0075221D" w:rsidRDefault="0075221D" w:rsidP="0075221D">
      <w:r>
        <w:t>Condiții operaționale:</w:t>
      </w:r>
    </w:p>
    <w:p w14:paraId="38E09AC6" w14:textId="77777777" w:rsidR="0075221D" w:rsidRDefault="0075221D" w:rsidP="0075221D">
      <w:r>
        <w:t>– DronePort-urile sunt standardizate</w:t>
      </w:r>
    </w:p>
    <w:p w14:paraId="1B9E779F" w14:textId="77777777" w:rsidR="0075221D" w:rsidRDefault="0075221D" w:rsidP="0075221D">
      <w:r>
        <w:t>– procedurile de livrare sunt clare</w:t>
      </w:r>
    </w:p>
    <w:p w14:paraId="295FD280" w14:textId="77777777" w:rsidR="0075221D" w:rsidRDefault="0075221D" w:rsidP="0075221D">
      <w:r>
        <w:t>– incidentele sunt gestionabile</w:t>
      </w:r>
    </w:p>
    <w:p w14:paraId="5C1B33C4" w14:textId="77777777" w:rsidR="0075221D" w:rsidRDefault="0075221D" w:rsidP="0075221D">
      <w:r>
        <w:t>– operatorul zonal are roluri definite</w:t>
      </w:r>
    </w:p>
    <w:p w14:paraId="1A9DDA0B" w14:textId="77777777" w:rsidR="0075221D" w:rsidRDefault="0075221D" w:rsidP="0075221D"/>
    <w:p w14:paraId="34C2AACB" w14:textId="77777777" w:rsidR="0075221D" w:rsidRDefault="0075221D" w:rsidP="0075221D">
      <w:r>
        <w:t>Condiții legale:</w:t>
      </w:r>
    </w:p>
    <w:p w14:paraId="2B1EFC92" w14:textId="77777777" w:rsidR="0075221D" w:rsidRDefault="0075221D" w:rsidP="0075221D">
      <w:r>
        <w:t>– responsabilitatea umană este clar delimitată</w:t>
      </w:r>
    </w:p>
    <w:p w14:paraId="5ECC4A2C" w14:textId="77777777" w:rsidR="0075221D" w:rsidRDefault="0075221D" w:rsidP="0075221D">
      <w:r>
        <w:t>– autonomia este supervizată</w:t>
      </w:r>
    </w:p>
    <w:p w14:paraId="5E4671B8" w14:textId="77777777" w:rsidR="0075221D" w:rsidRDefault="0075221D" w:rsidP="0075221D">
      <w:r>
        <w:t>– compliance este integrată by design</w:t>
      </w:r>
    </w:p>
    <w:p w14:paraId="4F8583B9" w14:textId="77777777" w:rsidR="0075221D" w:rsidRDefault="0075221D" w:rsidP="0075221D"/>
    <w:p w14:paraId="501B2EEA" w14:textId="77777777" w:rsidR="0075221D" w:rsidRDefault="0075221D" w:rsidP="0075221D">
      <w:r>
        <w:t>Dacă una dintre aceste condiții nu este îndeplinită, Volumul II nu este considerat finalizat.</w:t>
      </w:r>
    </w:p>
    <w:p w14:paraId="3DE3B7A0" w14:textId="77777777" w:rsidR="0075221D" w:rsidRDefault="0075221D" w:rsidP="0075221D"/>
    <w:p w14:paraId="64084F30" w14:textId="77777777" w:rsidR="0075221D" w:rsidRDefault="0075221D" w:rsidP="0075221D"/>
    <w:p w14:paraId="2DD2CB04" w14:textId="77777777" w:rsidR="0075221D" w:rsidRDefault="0075221D" w:rsidP="0075221D">
      <w:r>
        <w:t>20.4 De ce nu se trece direct la business fără Volumul II</w:t>
      </w:r>
    </w:p>
    <w:p w14:paraId="0AC3257C" w14:textId="77777777" w:rsidR="0075221D" w:rsidRDefault="0075221D" w:rsidP="0075221D"/>
    <w:p w14:paraId="7B81AF08" w14:textId="77777777" w:rsidR="0075221D" w:rsidRDefault="0075221D" w:rsidP="0075221D">
      <w:r>
        <w:t>Multe proiecte eșuează deoarece sar direct la monetizare fără a avea:</w:t>
      </w:r>
    </w:p>
    <w:p w14:paraId="3924AD75" w14:textId="77777777" w:rsidR="0075221D" w:rsidRDefault="0075221D" w:rsidP="0075221D"/>
    <w:p w14:paraId="4F1F3C64" w14:textId="77777777" w:rsidR="0075221D" w:rsidRDefault="0075221D" w:rsidP="0075221D">
      <w:r>
        <w:t>– proceduri stabile</w:t>
      </w:r>
    </w:p>
    <w:p w14:paraId="7C5CAED4" w14:textId="77777777" w:rsidR="0075221D" w:rsidRDefault="0075221D" w:rsidP="0075221D">
      <w:r>
        <w:t>– control al riscului</w:t>
      </w:r>
    </w:p>
    <w:p w14:paraId="0AABE771" w14:textId="77777777" w:rsidR="0075221D" w:rsidRDefault="0075221D" w:rsidP="0075221D">
      <w:r>
        <w:t>– acceptare legală</w:t>
      </w:r>
    </w:p>
    <w:p w14:paraId="7FDA873B" w14:textId="77777777" w:rsidR="0075221D" w:rsidRDefault="0075221D" w:rsidP="0075221D">
      <w:r>
        <w:t>– auditabilitate</w:t>
      </w:r>
    </w:p>
    <w:p w14:paraId="7D82D093" w14:textId="77777777" w:rsidR="0075221D" w:rsidRDefault="0075221D" w:rsidP="0075221D"/>
    <w:p w14:paraId="1E88980E" w14:textId="77777777" w:rsidR="0075221D" w:rsidRDefault="0075221D" w:rsidP="0075221D">
      <w:r>
        <w:t>DROPi evită această capcană prin finalizarea Volumului II înainte de orice decizie de scalare sau investiție.</w:t>
      </w:r>
    </w:p>
    <w:p w14:paraId="793E2647" w14:textId="77777777" w:rsidR="0075221D" w:rsidRDefault="0075221D" w:rsidP="0075221D"/>
    <w:p w14:paraId="604F5FC9" w14:textId="77777777" w:rsidR="0075221D" w:rsidRDefault="0075221D" w:rsidP="0075221D"/>
    <w:p w14:paraId="601A94BC" w14:textId="77777777" w:rsidR="0075221D" w:rsidRDefault="0075221D" w:rsidP="0075221D">
      <w:r>
        <w:t>20.5 Criterii de blocare a trecerii la Volumul III</w:t>
      </w:r>
    </w:p>
    <w:p w14:paraId="76C8CDA8" w14:textId="77777777" w:rsidR="0075221D" w:rsidRDefault="0075221D" w:rsidP="0075221D"/>
    <w:p w14:paraId="10868C50" w14:textId="77777777" w:rsidR="0075221D" w:rsidRDefault="0075221D" w:rsidP="0075221D">
      <w:r>
        <w:t>DROPi NU trece la Volumul III dacă există:</w:t>
      </w:r>
    </w:p>
    <w:p w14:paraId="14C18A4B" w14:textId="77777777" w:rsidR="0075221D" w:rsidRDefault="0075221D" w:rsidP="0075221D"/>
    <w:p w14:paraId="5FE31FAF" w14:textId="77777777" w:rsidR="0075221D" w:rsidRDefault="0075221D" w:rsidP="0075221D">
      <w:r>
        <w:t>– neclarități privind responsabilitatea</w:t>
      </w:r>
    </w:p>
    <w:p w14:paraId="27435E82" w14:textId="77777777" w:rsidR="0075221D" w:rsidRDefault="0075221D" w:rsidP="0075221D">
      <w:r>
        <w:t>– funcții netestate</w:t>
      </w:r>
    </w:p>
    <w:p w14:paraId="5E8D6436" w14:textId="77777777" w:rsidR="0075221D" w:rsidRDefault="0075221D" w:rsidP="0075221D">
      <w:r>
        <w:t>– mecanisme de fallback incomplete</w:t>
      </w:r>
    </w:p>
    <w:p w14:paraId="714A544A" w14:textId="77777777" w:rsidR="0075221D" w:rsidRDefault="0075221D" w:rsidP="0075221D">
      <w:r>
        <w:t>– zone fără control legal</w:t>
      </w:r>
    </w:p>
    <w:p w14:paraId="4B909192" w14:textId="77777777" w:rsidR="0075221D" w:rsidRDefault="0075221D" w:rsidP="0075221D">
      <w:r>
        <w:t>– unit economics nevalidate</w:t>
      </w:r>
    </w:p>
    <w:p w14:paraId="042D5D18" w14:textId="77777777" w:rsidR="0075221D" w:rsidRDefault="0075221D" w:rsidP="0075221D"/>
    <w:p w14:paraId="5B590708" w14:textId="77777777" w:rsidR="0075221D" w:rsidRDefault="0075221D" w:rsidP="0075221D">
      <w:r>
        <w:t>Aceste criterii sunt non-negociabile.</w:t>
      </w:r>
    </w:p>
    <w:p w14:paraId="016FA948" w14:textId="77777777" w:rsidR="0075221D" w:rsidRDefault="0075221D" w:rsidP="0075221D"/>
    <w:p w14:paraId="33BDEDCC" w14:textId="77777777" w:rsidR="0075221D" w:rsidRDefault="0075221D" w:rsidP="0075221D"/>
    <w:p w14:paraId="18587F42" w14:textId="77777777" w:rsidR="0075221D" w:rsidRDefault="0075221D" w:rsidP="0075221D">
      <w:r>
        <w:t>20.6 Semnalul oficial de trecere la Volumul III</w:t>
      </w:r>
    </w:p>
    <w:p w14:paraId="1616C548" w14:textId="77777777" w:rsidR="0075221D" w:rsidRDefault="0075221D" w:rsidP="0075221D"/>
    <w:p w14:paraId="029B2321" w14:textId="77777777" w:rsidR="0075221D" w:rsidRDefault="0075221D" w:rsidP="0075221D">
      <w:r>
        <w:t>Semnalul de „GO” către Volumul III este următorul:</w:t>
      </w:r>
    </w:p>
    <w:p w14:paraId="149F5B28" w14:textId="77777777" w:rsidR="0075221D" w:rsidRDefault="0075221D" w:rsidP="0075221D"/>
    <w:p w14:paraId="4078C52B" w14:textId="77777777" w:rsidR="0075221D" w:rsidRDefault="0075221D" w:rsidP="0075221D">
      <w:r>
        <w:t>Avem un sistem care poate fi operat legal, auditabil și oprit fără haos, într-o zonă reală.</w:t>
      </w:r>
    </w:p>
    <w:p w14:paraId="7430DB39" w14:textId="77777777" w:rsidR="0075221D" w:rsidRDefault="0075221D" w:rsidP="0075221D"/>
    <w:p w14:paraId="1156FEB7" w14:textId="77777777" w:rsidR="0075221D" w:rsidRDefault="0075221D" w:rsidP="0075221D">
      <w:r>
        <w:t>Doar după acest semnal sunt permise decizii de:</w:t>
      </w:r>
    </w:p>
    <w:p w14:paraId="51766043" w14:textId="77777777" w:rsidR="0075221D" w:rsidRDefault="0075221D" w:rsidP="0075221D">
      <w:r>
        <w:t>– monetizare extinsă</w:t>
      </w:r>
    </w:p>
    <w:p w14:paraId="4557C381" w14:textId="77777777" w:rsidR="0075221D" w:rsidRDefault="0075221D" w:rsidP="0075221D">
      <w:r>
        <w:t>– atragere investiții</w:t>
      </w:r>
    </w:p>
    <w:p w14:paraId="52F40B8C" w14:textId="77777777" w:rsidR="0075221D" w:rsidRDefault="0075221D" w:rsidP="0075221D">
      <w:r>
        <w:t>– scalare geografică</w:t>
      </w:r>
    </w:p>
    <w:p w14:paraId="776BD1F9" w14:textId="77777777" w:rsidR="0075221D" w:rsidRDefault="0075221D" w:rsidP="0075221D"/>
    <w:p w14:paraId="7E632EAC" w14:textId="77777777" w:rsidR="0075221D" w:rsidRDefault="0075221D" w:rsidP="0075221D"/>
    <w:p w14:paraId="3E026802" w14:textId="77777777" w:rsidR="0075221D" w:rsidRDefault="0075221D" w:rsidP="0075221D">
      <w:r>
        <w:t>20.7 Ce urmează în Volumul III</w:t>
      </w:r>
    </w:p>
    <w:p w14:paraId="7D5CE160" w14:textId="77777777" w:rsidR="0075221D" w:rsidRDefault="0075221D" w:rsidP="0075221D"/>
    <w:p w14:paraId="6F3F191B" w14:textId="77777777" w:rsidR="0075221D" w:rsidRDefault="0075221D" w:rsidP="0075221D">
      <w:r>
        <w:t>Volumul III va aborda exclusiv aspecte de business, legal și scalare, inclusiv:</w:t>
      </w:r>
    </w:p>
    <w:p w14:paraId="62B31CF7" w14:textId="77777777" w:rsidR="0075221D" w:rsidRDefault="0075221D" w:rsidP="0075221D"/>
    <w:p w14:paraId="0C6B08D3" w14:textId="77777777" w:rsidR="0075221D" w:rsidRDefault="0075221D" w:rsidP="0075221D">
      <w:r>
        <w:t>– modelul economic complet</w:t>
      </w:r>
    </w:p>
    <w:p w14:paraId="013E3902" w14:textId="77777777" w:rsidR="0075221D" w:rsidRDefault="0075221D" w:rsidP="0075221D">
      <w:r>
        <w:t>– strategia Go-To-Market</w:t>
      </w:r>
    </w:p>
    <w:p w14:paraId="4B1DB79A" w14:textId="77777777" w:rsidR="0075221D" w:rsidRDefault="0075221D" w:rsidP="0075221D">
      <w:r>
        <w:t>– compliance multi-țară</w:t>
      </w:r>
    </w:p>
    <w:p w14:paraId="4E19596D" w14:textId="77777777" w:rsidR="0075221D" w:rsidRDefault="0075221D" w:rsidP="0075221D">
      <w:r>
        <w:t>– francizare și operatori zonali</w:t>
      </w:r>
    </w:p>
    <w:p w14:paraId="3D887EAB" w14:textId="77777777" w:rsidR="0075221D" w:rsidRDefault="0075221D" w:rsidP="0075221D">
      <w:r>
        <w:t>– finanțare și investiții</w:t>
      </w:r>
    </w:p>
    <w:p w14:paraId="38703851" w14:textId="77777777" w:rsidR="0075221D" w:rsidRDefault="0075221D" w:rsidP="0075221D">
      <w:r>
        <w:t>– roadmap de extindere</w:t>
      </w:r>
    </w:p>
    <w:p w14:paraId="442D5F3B" w14:textId="77777777" w:rsidR="0075221D" w:rsidRDefault="0075221D" w:rsidP="0075221D">
      <w:r>
        <w:t>– scenarii de exit</w:t>
      </w:r>
    </w:p>
    <w:p w14:paraId="1BAB322D" w14:textId="77777777" w:rsidR="0075221D" w:rsidRDefault="0075221D" w:rsidP="0075221D"/>
    <w:p w14:paraId="11B0B6BA" w14:textId="77777777" w:rsidR="0075221D" w:rsidRDefault="0075221D" w:rsidP="0075221D">
      <w:r>
        <w:t>Volumul III nu va relua aspecte tehnice deja stabilite în Volumul II.</w:t>
      </w:r>
    </w:p>
    <w:p w14:paraId="435EB0E5" w14:textId="77777777" w:rsidR="0075221D" w:rsidRDefault="0075221D" w:rsidP="0075221D"/>
    <w:p w14:paraId="22B52B4B" w14:textId="77777777" w:rsidR="0075221D" w:rsidRDefault="0075221D" w:rsidP="0075221D"/>
    <w:p w14:paraId="1B4A9784" w14:textId="77777777" w:rsidR="0075221D" w:rsidRDefault="0075221D" w:rsidP="0075221D">
      <w:r>
        <w:t>20.8 Mesaj intern de disciplină</w:t>
      </w:r>
    </w:p>
    <w:p w14:paraId="17A3706F" w14:textId="77777777" w:rsidR="0075221D" w:rsidRDefault="0075221D" w:rsidP="0075221D"/>
    <w:p w14:paraId="741CFEC1" w14:textId="77777777" w:rsidR="0075221D" w:rsidRDefault="0075221D" w:rsidP="0075221D">
      <w:r>
        <w:t>Pentru echipa DROPi, acest capitol transmite următorul mesaj:</w:t>
      </w:r>
    </w:p>
    <w:p w14:paraId="1766274E" w14:textId="77777777" w:rsidR="0075221D" w:rsidRDefault="0075221D" w:rsidP="0075221D"/>
    <w:p w14:paraId="44FE921C" w14:textId="77777777" w:rsidR="0075221D" w:rsidRDefault="0075221D" w:rsidP="0075221D">
      <w:r>
        <w:t>Nu grăbim nimic.</w:t>
      </w:r>
    </w:p>
    <w:p w14:paraId="75380D8B" w14:textId="77777777" w:rsidR="0075221D" w:rsidRDefault="0075221D" w:rsidP="0075221D">
      <w:r>
        <w:t>Nu lansăm nimic neclar.</w:t>
      </w:r>
    </w:p>
    <w:p w14:paraId="026C7161" w14:textId="77777777" w:rsidR="0075221D" w:rsidRDefault="0075221D" w:rsidP="0075221D">
      <w:r>
        <w:t>Nu promitem nimic nevalidat.</w:t>
      </w:r>
    </w:p>
    <w:p w14:paraId="15464EAA" w14:textId="77777777" w:rsidR="0075221D" w:rsidRDefault="0075221D" w:rsidP="0075221D"/>
    <w:p w14:paraId="45447A9F" w14:textId="77777777" w:rsidR="0075221D" w:rsidRDefault="0075221D" w:rsidP="0075221D">
      <w:r>
        <w:t>Disciplina este parte din produs.</w:t>
      </w:r>
    </w:p>
    <w:p w14:paraId="6F20EC57" w14:textId="77777777" w:rsidR="0075221D" w:rsidRDefault="0075221D" w:rsidP="0075221D"/>
    <w:p w14:paraId="5D17C9DA" w14:textId="77777777" w:rsidR="0075221D" w:rsidRDefault="0075221D" w:rsidP="0075221D"/>
    <w:p w14:paraId="74A7A0F6" w14:textId="77777777" w:rsidR="0075221D" w:rsidRDefault="0075221D" w:rsidP="0075221D">
      <w:r>
        <w:t>20.9 Mesaj către investitori și autorități</w:t>
      </w:r>
    </w:p>
    <w:p w14:paraId="5DD6E55E" w14:textId="77777777" w:rsidR="0075221D" w:rsidRDefault="0075221D" w:rsidP="0075221D"/>
    <w:p w14:paraId="182A257C" w14:textId="77777777" w:rsidR="0075221D" w:rsidRDefault="0075221D" w:rsidP="0075221D">
      <w:r>
        <w:t>DROPi nu solicită capital sau aprobare pentru a experimenta, ci pentru a replica un model deja validat, controlat și auditat.</w:t>
      </w:r>
    </w:p>
    <w:p w14:paraId="23ECD3D3" w14:textId="77777777" w:rsidR="0075221D" w:rsidRDefault="0075221D" w:rsidP="0075221D"/>
    <w:p w14:paraId="4F870DF5" w14:textId="77777777" w:rsidR="0075221D" w:rsidRDefault="0075221D" w:rsidP="0075221D">
      <w:r>
        <w:t>Această poziționare este fundamentul încrederii instituționale.</w:t>
      </w:r>
    </w:p>
    <w:p w14:paraId="0B2F54B6" w14:textId="77777777" w:rsidR="0075221D" w:rsidRDefault="0075221D" w:rsidP="0075221D"/>
    <w:p w14:paraId="31D18264" w14:textId="77777777" w:rsidR="0075221D" w:rsidRDefault="0075221D" w:rsidP="0075221D"/>
    <w:p w14:paraId="4D83F99D" w14:textId="77777777" w:rsidR="0075221D" w:rsidRDefault="0075221D" w:rsidP="0075221D">
      <w:r>
        <w:t>20.10 Concluzia Capitolului 20</w:t>
      </w:r>
    </w:p>
    <w:p w14:paraId="5B0BDA38" w14:textId="77777777" w:rsidR="0075221D" w:rsidRDefault="0075221D" w:rsidP="0075221D"/>
    <w:p w14:paraId="7216BAF3" w14:textId="70BF7C8B" w:rsidR="0075221D" w:rsidRDefault="0075221D">
      <w:r>
        <w:t>Volumul II este coloana vertebrală a proiectului DROPi. Prin finalizarea sa completă, DROPi se pregătește să intre în faza de business și scalare cu un produs matur, defensibil și responsabil.</w:t>
      </w:r>
    </w:p>
    <w:sectPr w:rsidR="00752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1D"/>
    <w:rsid w:val="000349B8"/>
    <w:rsid w:val="0075221D"/>
    <w:rsid w:val="00E6740F"/>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578E37C1"/>
  <w15:chartTrackingRefBased/>
  <w15:docId w15:val="{77A07B8C-FA7B-AC48-8699-04A17EEF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752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752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75221D"/>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75221D"/>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75221D"/>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75221D"/>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75221D"/>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75221D"/>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75221D"/>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75221D"/>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75221D"/>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75221D"/>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75221D"/>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75221D"/>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75221D"/>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75221D"/>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75221D"/>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75221D"/>
    <w:rPr>
      <w:rFonts w:eastAsiaTheme="majorEastAsia" w:cstheme="majorBidi"/>
      <w:color w:val="272727" w:themeColor="text1" w:themeTint="D8"/>
    </w:rPr>
  </w:style>
  <w:style w:type="paragraph" w:styleId="Titlu">
    <w:name w:val="Title"/>
    <w:basedOn w:val="Normal"/>
    <w:next w:val="Normal"/>
    <w:link w:val="TitluCaracter"/>
    <w:uiPriority w:val="10"/>
    <w:qFormat/>
    <w:rsid w:val="00752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75221D"/>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75221D"/>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75221D"/>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75221D"/>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75221D"/>
    <w:rPr>
      <w:i/>
      <w:iCs/>
      <w:color w:val="404040" w:themeColor="text1" w:themeTint="BF"/>
    </w:rPr>
  </w:style>
  <w:style w:type="paragraph" w:styleId="Listparagraf">
    <w:name w:val="List Paragraph"/>
    <w:basedOn w:val="Normal"/>
    <w:uiPriority w:val="34"/>
    <w:qFormat/>
    <w:rsid w:val="0075221D"/>
    <w:pPr>
      <w:ind w:left="720"/>
      <w:contextualSpacing/>
    </w:pPr>
  </w:style>
  <w:style w:type="character" w:styleId="Accentuareintens">
    <w:name w:val="Intense Emphasis"/>
    <w:basedOn w:val="Fontdeparagrafimplicit"/>
    <w:uiPriority w:val="21"/>
    <w:qFormat/>
    <w:rsid w:val="0075221D"/>
    <w:rPr>
      <w:i/>
      <w:iCs/>
      <w:color w:val="0F4761" w:themeColor="accent1" w:themeShade="BF"/>
    </w:rPr>
  </w:style>
  <w:style w:type="paragraph" w:styleId="Citatintens">
    <w:name w:val="Intense Quote"/>
    <w:basedOn w:val="Normal"/>
    <w:next w:val="Normal"/>
    <w:link w:val="CitatintensCaracter"/>
    <w:uiPriority w:val="30"/>
    <w:qFormat/>
    <w:rsid w:val="00752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75221D"/>
    <w:rPr>
      <w:i/>
      <w:iCs/>
      <w:color w:val="0F4761" w:themeColor="accent1" w:themeShade="BF"/>
    </w:rPr>
  </w:style>
  <w:style w:type="character" w:styleId="Referireintens">
    <w:name w:val="Intense Reference"/>
    <w:basedOn w:val="Fontdeparagrafimplicit"/>
    <w:uiPriority w:val="32"/>
    <w:qFormat/>
    <w:rsid w:val="00752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568</Words>
  <Characters>3295</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Caliof</dc:creator>
  <cp:keywords/>
  <dc:description/>
  <cp:lastModifiedBy>Marian Caliof</cp:lastModifiedBy>
  <cp:revision>2</cp:revision>
  <dcterms:created xsi:type="dcterms:W3CDTF">2026-01-25T20:29:00Z</dcterms:created>
  <dcterms:modified xsi:type="dcterms:W3CDTF">2026-01-25T20:29:00Z</dcterms:modified>
</cp:coreProperties>
</file>