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4258" w14:textId="77777777" w:rsidR="00524DA2" w:rsidRDefault="00524DA2">
      <w:pPr>
        <w:rPr>
          <w:lang w:val="ro-RO"/>
        </w:rPr>
      </w:pPr>
      <w:r>
        <w:rPr>
          <w:lang w:val="ro-RO"/>
        </w:rPr>
        <w:t>ANEXA 19.F — DECLARAȚIE DE POZIȚIONARE OFICIALĂ</w:t>
      </w:r>
    </w:p>
    <w:p w14:paraId="29C4145E" w14:textId="77777777" w:rsidR="00524DA2" w:rsidRDefault="00524DA2">
      <w:r>
        <w:t>DROPi — MASTER PLAN CANONIC</w:t>
      </w:r>
    </w:p>
    <w:p w14:paraId="624E314A" w14:textId="77777777" w:rsidR="00524DA2" w:rsidRDefault="00524DA2">
      <w:r>
        <w:t>Referință: Cap. 19 — Ce NU face DROPi</w:t>
      </w:r>
    </w:p>
    <w:p w14:paraId="6CC5C73C" w14:textId="77777777" w:rsidR="00524DA2" w:rsidRDefault="00524DA2">
      <w:r>
        <w:t>Status: CANONIC / OBLIGATORIU / AUDIT-READY</w:t>
      </w:r>
    </w:p>
    <w:p w14:paraId="7A794374" w14:textId="77777777" w:rsidR="00524DA2" w:rsidRDefault="00524DA2"/>
    <w:p w14:paraId="191DA052" w14:textId="77777777" w:rsidR="00524DA2" w:rsidRDefault="00524DA2">
      <w:r>
        <w:t>Această anexă definește declarația oficială de poziționare a DROPi.</w:t>
      </w:r>
    </w:p>
    <w:p w14:paraId="209C21EA" w14:textId="77777777" w:rsidR="00524DA2" w:rsidRDefault="00524DA2">
      <w:r>
        <w:t>Declarația este formularea standard, autorizată și obligatorie</w:t>
      </w:r>
    </w:p>
    <w:p w14:paraId="20CDC35C" w14:textId="77777777" w:rsidR="00524DA2" w:rsidRDefault="00524DA2">
      <w:r>
        <w:t>Pentru audit, due diligence și comunicare publică.</w:t>
      </w:r>
    </w:p>
    <w:p w14:paraId="10CC607D" w14:textId="77777777" w:rsidR="00524DA2" w:rsidRDefault="00524DA2">
      <w:r>
        <w:t>Orice abatere este considerată neconformitate de guvernanță.</w:t>
      </w:r>
    </w:p>
    <w:p w14:paraId="0B9E5A81" w14:textId="77777777" w:rsidR="00524DA2" w:rsidRDefault="00524DA2"/>
    <w:p w14:paraId="5502B817" w14:textId="77777777" w:rsidR="00524DA2" w:rsidRDefault="00524DA2">
      <w:r>
        <w:t>────────────────────────────────────────</w:t>
      </w:r>
    </w:p>
    <w:p w14:paraId="645D3128" w14:textId="77777777" w:rsidR="00524DA2" w:rsidRDefault="00524DA2" w:rsidP="00524DA2">
      <w:pPr>
        <w:pStyle w:val="Listparagraf"/>
        <w:numPr>
          <w:ilvl w:val="0"/>
          <w:numId w:val="1"/>
        </w:numPr>
      </w:pPr>
      <w:r>
        <w:t>FORMULARE STANDARD (CANONICĂ)</w:t>
      </w:r>
    </w:p>
    <w:p w14:paraId="6633AD76" w14:textId="77777777" w:rsidR="00524DA2" w:rsidRDefault="00524DA2">
      <w:r>
        <w:t>────────────────────────────────────────</w:t>
      </w:r>
    </w:p>
    <w:p w14:paraId="67927137" w14:textId="77777777" w:rsidR="00524DA2" w:rsidRDefault="00524DA2"/>
    <w:p w14:paraId="780E33A7" w14:textId="77777777" w:rsidR="00524DA2" w:rsidRDefault="00524DA2">
      <w:r>
        <w:t>Declarația oficială DROPi:</w:t>
      </w:r>
    </w:p>
    <w:p w14:paraId="53E0845A" w14:textId="77777777" w:rsidR="00524DA2" w:rsidRDefault="00524DA2"/>
    <w:p w14:paraId="6742661B" w14:textId="77777777" w:rsidR="00524DA2" w:rsidRDefault="00524DA2">
      <w:r>
        <w:t>„DROPi este o infrastructură logistică controlată și supervizată,</w:t>
      </w:r>
    </w:p>
    <w:p w14:paraId="79540BD9" w14:textId="77777777" w:rsidR="00524DA2" w:rsidRDefault="00524DA2">
      <w:r>
        <w:t>Concepută pentru operare conformă, sigură și auditabilă.</w:t>
      </w:r>
    </w:p>
    <w:p w14:paraId="28576F35" w14:textId="77777777" w:rsidR="00524DA2" w:rsidRDefault="00524DA2">
      <w:r>
        <w:t>DROPi nu este un serviciu public de livrare, nu operează on-demand,</w:t>
      </w:r>
    </w:p>
    <w:p w14:paraId="3D5202F8" w14:textId="77777777" w:rsidR="00524DA2" w:rsidRDefault="00524DA2">
      <w:r>
        <w:t>Nu oferă autonomie completă și nu face promisiuni comerciale publice.</w:t>
      </w:r>
    </w:p>
    <w:p w14:paraId="0E48BF36" w14:textId="77777777" w:rsidR="00524DA2" w:rsidRDefault="00524DA2">
      <w:r>
        <w:t>Limitările sale sunt deliberate și esențiale pentru siguranță,</w:t>
      </w:r>
    </w:p>
    <w:p w14:paraId="17DC294D" w14:textId="77777777" w:rsidR="00524DA2" w:rsidRDefault="00524DA2">
      <w:r>
        <w:t>Conformitate legală și sustenabilitate.”</w:t>
      </w:r>
    </w:p>
    <w:p w14:paraId="742928AA" w14:textId="77777777" w:rsidR="00524DA2" w:rsidRDefault="00524DA2"/>
    <w:p w14:paraId="6A09FCB7" w14:textId="77777777" w:rsidR="00524DA2" w:rsidRDefault="00524DA2">
      <w:r>
        <w:t>Această formulare:</w:t>
      </w:r>
    </w:p>
    <w:p w14:paraId="1C30D52B" w14:textId="77777777" w:rsidR="00524DA2" w:rsidRDefault="00524DA2">
      <w:r>
        <w:t>• este obligatorie</w:t>
      </w:r>
    </w:p>
    <w:p w14:paraId="186EA08D" w14:textId="77777777" w:rsidR="00524DA2" w:rsidRDefault="00524DA2">
      <w:r>
        <w:t>• nu se modifică</w:t>
      </w:r>
    </w:p>
    <w:p w14:paraId="6711F11A" w14:textId="77777777" w:rsidR="00524DA2" w:rsidRDefault="00524DA2">
      <w:r>
        <w:t>• nu se reformulează</w:t>
      </w:r>
    </w:p>
    <w:p w14:paraId="365B4EE8" w14:textId="77777777" w:rsidR="00524DA2" w:rsidRDefault="00524DA2">
      <w:r>
        <w:t>• nu se scurtează</w:t>
      </w:r>
    </w:p>
    <w:p w14:paraId="67EEF9AA" w14:textId="77777777" w:rsidR="00524DA2" w:rsidRDefault="00524DA2">
      <w:r>
        <w:t>• nu se „adaptează” comercial</w:t>
      </w:r>
    </w:p>
    <w:p w14:paraId="55ECD15D" w14:textId="77777777" w:rsidR="00524DA2" w:rsidRDefault="00524DA2"/>
    <w:p w14:paraId="7928B81F" w14:textId="77777777" w:rsidR="00524DA2" w:rsidRDefault="00524DA2">
      <w:r>
        <w:t>────────────────────────────────────────</w:t>
      </w:r>
    </w:p>
    <w:p w14:paraId="2A2C6736" w14:textId="77777777" w:rsidR="00524DA2" w:rsidRDefault="00524DA2" w:rsidP="00524DA2">
      <w:pPr>
        <w:pStyle w:val="Listparagraf"/>
        <w:numPr>
          <w:ilvl w:val="0"/>
          <w:numId w:val="1"/>
        </w:numPr>
      </w:pPr>
      <w:r>
        <w:t>UTILIZARE ÎN AUDIT</w:t>
      </w:r>
    </w:p>
    <w:p w14:paraId="04805651" w14:textId="77777777" w:rsidR="00524DA2" w:rsidRDefault="00524DA2">
      <w:r>
        <w:t>────────────────────────────────────────</w:t>
      </w:r>
    </w:p>
    <w:p w14:paraId="4A7C10C8" w14:textId="77777777" w:rsidR="00524DA2" w:rsidRDefault="00524DA2"/>
    <w:p w14:paraId="149C9AB5" w14:textId="77777777" w:rsidR="00524DA2" w:rsidRDefault="00524DA2">
      <w:r>
        <w:t>În audit intern sau extern, declarația este utilizată pentru:</w:t>
      </w:r>
    </w:p>
    <w:p w14:paraId="56E7C142" w14:textId="77777777" w:rsidR="00524DA2" w:rsidRDefault="00524DA2"/>
    <w:p w14:paraId="13EDE0F6" w14:textId="77777777" w:rsidR="00524DA2" w:rsidRDefault="00524DA2">
      <w:r>
        <w:t>• delimitarea clară a scope-ului funcțional</w:t>
      </w:r>
    </w:p>
    <w:p w14:paraId="27DC0AFF" w14:textId="77777777" w:rsidR="00524DA2" w:rsidRDefault="00524DA2">
      <w:r>
        <w:t>• respingerea interpretărilor comerciale greșite</w:t>
      </w:r>
    </w:p>
    <w:p w14:paraId="3F9E9302" w14:textId="77777777" w:rsidR="00524DA2" w:rsidRDefault="00524DA2">
      <w:r>
        <w:t>• validarea poziționării instituționale</w:t>
      </w:r>
    </w:p>
    <w:p w14:paraId="417A7A4F" w14:textId="77777777" w:rsidR="00524DA2" w:rsidRDefault="00524DA2">
      <w:r>
        <w:t>• corelare cu excluderile din Cap. 19</w:t>
      </w:r>
    </w:p>
    <w:p w14:paraId="12B30696" w14:textId="77777777" w:rsidR="00524DA2" w:rsidRDefault="00524DA2">
      <w:r>
        <w:t>• referință primară în due diligence</w:t>
      </w:r>
    </w:p>
    <w:p w14:paraId="791072D1" w14:textId="77777777" w:rsidR="00524DA2" w:rsidRDefault="00524DA2"/>
    <w:p w14:paraId="0711C353" w14:textId="77777777" w:rsidR="00524DA2" w:rsidRDefault="00524DA2">
      <w:r>
        <w:t>Auditorii sunt direcționați explicit</w:t>
      </w:r>
    </w:p>
    <w:p w14:paraId="4F7F0352" w14:textId="77777777" w:rsidR="00524DA2" w:rsidRDefault="00524DA2">
      <w:r>
        <w:t>Către această anexă pentru poziționare oficială.</w:t>
      </w:r>
    </w:p>
    <w:p w14:paraId="56AF3528" w14:textId="77777777" w:rsidR="00524DA2" w:rsidRDefault="00524DA2"/>
    <w:p w14:paraId="1A972D9B" w14:textId="77777777" w:rsidR="00524DA2" w:rsidRDefault="00524DA2">
      <w:r>
        <w:t>────────────────────────────────────────</w:t>
      </w:r>
    </w:p>
    <w:p w14:paraId="34BD4044" w14:textId="77777777" w:rsidR="00524DA2" w:rsidRDefault="00524DA2" w:rsidP="00524DA2">
      <w:pPr>
        <w:pStyle w:val="Listparagraf"/>
        <w:numPr>
          <w:ilvl w:val="0"/>
          <w:numId w:val="1"/>
        </w:numPr>
      </w:pPr>
      <w:r>
        <w:t>UTILIZARE ÎN COMUNICARE PUBLICĂ</w:t>
      </w:r>
    </w:p>
    <w:p w14:paraId="5B5749F1" w14:textId="77777777" w:rsidR="00524DA2" w:rsidRDefault="00524DA2">
      <w:r>
        <w:t>────────────────────────────────────────</w:t>
      </w:r>
    </w:p>
    <w:p w14:paraId="3EBC8934" w14:textId="77777777" w:rsidR="00524DA2" w:rsidRDefault="00524DA2"/>
    <w:p w14:paraId="61E863E2" w14:textId="77777777" w:rsidR="00524DA2" w:rsidRDefault="00524DA2">
      <w:r>
        <w:t>Declarația este utilizată obligatoriu în:</w:t>
      </w:r>
    </w:p>
    <w:p w14:paraId="2B4CC6B2" w14:textId="77777777" w:rsidR="00524DA2" w:rsidRDefault="00524DA2"/>
    <w:p w14:paraId="3B6F5C3A" w14:textId="77777777" w:rsidR="00524DA2" w:rsidRDefault="00524DA2">
      <w:r>
        <w:t>• site (secțiuni introductive sau legale)</w:t>
      </w:r>
    </w:p>
    <w:p w14:paraId="3A31F470" w14:textId="77777777" w:rsidR="00524DA2" w:rsidRDefault="00524DA2">
      <w:r>
        <w:t>• pitch-uri pentru investitori</w:t>
      </w:r>
    </w:p>
    <w:p w14:paraId="297B3E96" w14:textId="77777777" w:rsidR="00524DA2" w:rsidRDefault="00524DA2">
      <w:r>
        <w:t>• prezentări instituționale</w:t>
      </w:r>
    </w:p>
    <w:p w14:paraId="781CC86C" w14:textId="77777777" w:rsidR="00524DA2" w:rsidRDefault="00524DA2">
      <w:r>
        <w:t>• interviuri media</w:t>
      </w:r>
    </w:p>
    <w:p w14:paraId="0341BF77" w14:textId="77777777" w:rsidR="00524DA2" w:rsidRDefault="00524DA2">
      <w:r>
        <w:t>• comunicate oficiale</w:t>
      </w:r>
    </w:p>
    <w:p w14:paraId="0C5ADED2" w14:textId="77777777" w:rsidR="00524DA2" w:rsidRDefault="00524DA2">
      <w:r>
        <w:t>• documente de prezentare</w:t>
      </w:r>
    </w:p>
    <w:p w14:paraId="1522E6AD" w14:textId="77777777" w:rsidR="00524DA2" w:rsidRDefault="00524DA2"/>
    <w:p w14:paraId="76F830C9" w14:textId="77777777" w:rsidR="00524DA2" w:rsidRDefault="00524DA2">
      <w:r>
        <w:t>Este INTERZIS:</w:t>
      </w:r>
    </w:p>
    <w:p w14:paraId="2A747795" w14:textId="77777777" w:rsidR="00524DA2" w:rsidRDefault="00524DA2">
      <w:r>
        <w:t>• folosirea de parafraze</w:t>
      </w:r>
    </w:p>
    <w:p w14:paraId="511C6838" w14:textId="77777777" w:rsidR="00524DA2" w:rsidRDefault="00524DA2">
      <w:r>
        <w:t>• combinarea cu limbaj comercial</w:t>
      </w:r>
    </w:p>
    <w:p w14:paraId="49D7050F" w14:textId="77777777" w:rsidR="00524DA2" w:rsidRDefault="00524DA2">
      <w:r>
        <w:t>• omiterea limitărilor</w:t>
      </w:r>
    </w:p>
    <w:p w14:paraId="58E9ECAF" w14:textId="77777777" w:rsidR="00524DA2" w:rsidRDefault="00524DA2">
      <w:r>
        <w:t>• folosirea doar a unei părți din text</w:t>
      </w:r>
    </w:p>
    <w:p w14:paraId="2129E66B" w14:textId="77777777" w:rsidR="00524DA2" w:rsidRDefault="00524DA2"/>
    <w:p w14:paraId="5F795F7A" w14:textId="77777777" w:rsidR="00524DA2" w:rsidRDefault="00524DA2">
      <w:r>
        <w:t>────────────────────────────────────────</w:t>
      </w:r>
    </w:p>
    <w:p w14:paraId="4E50A589" w14:textId="77777777" w:rsidR="00524DA2" w:rsidRDefault="00524DA2" w:rsidP="00524DA2">
      <w:pPr>
        <w:pStyle w:val="Listparagraf"/>
        <w:numPr>
          <w:ilvl w:val="0"/>
          <w:numId w:val="1"/>
        </w:numPr>
      </w:pPr>
      <w:r>
        <w:t>REGULI DE APLICARE</w:t>
      </w:r>
    </w:p>
    <w:p w14:paraId="06EB46EC" w14:textId="77777777" w:rsidR="00524DA2" w:rsidRDefault="00524DA2">
      <w:r>
        <w:t>────────────────────────────────────────</w:t>
      </w:r>
    </w:p>
    <w:p w14:paraId="0B0C9086" w14:textId="77777777" w:rsidR="00524DA2" w:rsidRDefault="00524DA2"/>
    <w:p w14:paraId="7C110E69" w14:textId="77777777" w:rsidR="00524DA2" w:rsidRDefault="00524DA2">
      <w:r>
        <w:t>• Declarația este singura poziționare oficială validă</w:t>
      </w:r>
    </w:p>
    <w:p w14:paraId="3562D904" w14:textId="77777777" w:rsidR="00524DA2" w:rsidRDefault="00524DA2">
      <w:r>
        <w:t>• Orice material public este verificat față de această anexă</w:t>
      </w:r>
    </w:p>
    <w:p w14:paraId="2C2C467F" w14:textId="77777777" w:rsidR="00524DA2" w:rsidRDefault="00524DA2">
      <w:r>
        <w:t>• Orice contradicție este tratată ca incident de guvernanță</w:t>
      </w:r>
    </w:p>
    <w:p w14:paraId="39993A06" w14:textId="77777777" w:rsidR="00524DA2" w:rsidRDefault="00524DA2">
      <w:r>
        <w:t>• Declarația prevalează asupra materialelor de marketing</w:t>
      </w:r>
    </w:p>
    <w:p w14:paraId="4653C162" w14:textId="77777777" w:rsidR="00524DA2" w:rsidRDefault="00524DA2"/>
    <w:p w14:paraId="162EB834" w14:textId="77777777" w:rsidR="00524DA2" w:rsidRDefault="00524DA2">
      <w:r>
        <w:t>────────────────────────────────────────</w:t>
      </w:r>
    </w:p>
    <w:p w14:paraId="195D5013" w14:textId="77777777" w:rsidR="00524DA2" w:rsidRDefault="00524DA2" w:rsidP="00524DA2">
      <w:pPr>
        <w:pStyle w:val="Listparagraf"/>
        <w:numPr>
          <w:ilvl w:val="0"/>
          <w:numId w:val="1"/>
        </w:numPr>
      </w:pPr>
      <w:r>
        <w:t>RELAȚIA CU ALTE DOCUMENTE</w:t>
      </w:r>
    </w:p>
    <w:p w14:paraId="2BD5B0AF" w14:textId="77777777" w:rsidR="00524DA2" w:rsidRDefault="00524DA2">
      <w:r>
        <w:t>────────────────────────────────────────</w:t>
      </w:r>
    </w:p>
    <w:p w14:paraId="3FE803DD" w14:textId="77777777" w:rsidR="00524DA2" w:rsidRDefault="00524DA2"/>
    <w:p w14:paraId="42E90A67" w14:textId="77777777" w:rsidR="00524DA2" w:rsidRDefault="00524DA2">
      <w:r>
        <w:t>Declarația este corelată cu:</w:t>
      </w:r>
    </w:p>
    <w:p w14:paraId="0140F873" w14:textId="77777777" w:rsidR="00524DA2" w:rsidRDefault="00524DA2">
      <w:r>
        <w:t>• Excluderile operaționale (Anexa 19.A)</w:t>
      </w:r>
    </w:p>
    <w:p w14:paraId="3487FDE3" w14:textId="77777777" w:rsidR="00524DA2" w:rsidRDefault="00524DA2">
      <w:r>
        <w:t>• Limitările contractuale (Anexa 19.B)</w:t>
      </w:r>
    </w:p>
    <w:p w14:paraId="6023CA73" w14:textId="77777777" w:rsidR="00524DA2" w:rsidRDefault="00524DA2">
      <w:r>
        <w:t>• Ghidul de comunicare (Anexa 19.C)</w:t>
      </w:r>
    </w:p>
    <w:p w14:paraId="581A9314" w14:textId="77777777" w:rsidR="00524DA2" w:rsidRDefault="00524DA2">
      <w:r>
        <w:t>• Audit &amp; due diligence (Anexa 19.D)</w:t>
      </w:r>
    </w:p>
    <w:p w14:paraId="0E893AB7" w14:textId="77777777" w:rsidR="00524DA2" w:rsidRDefault="00524DA2">
      <w:r>
        <w:t>• Mecanisme interne de aplicare (Anexa 19.E)</w:t>
      </w:r>
    </w:p>
    <w:p w14:paraId="419E26CB" w14:textId="77777777" w:rsidR="00524DA2" w:rsidRDefault="00524DA2"/>
    <w:p w14:paraId="6B4308F1" w14:textId="77777777" w:rsidR="00524DA2" w:rsidRDefault="00524DA2">
      <w:r>
        <w:t>Împreună, aceste documente definesc poziționarea completă DROPi.</w:t>
      </w:r>
    </w:p>
    <w:p w14:paraId="05BB0588" w14:textId="77777777" w:rsidR="00524DA2" w:rsidRDefault="00524DA2"/>
    <w:p w14:paraId="72CFEF2C" w14:textId="77777777" w:rsidR="00524DA2" w:rsidRDefault="00524DA2">
      <w:r>
        <w:t>────────────────────────────────────────</w:t>
      </w:r>
    </w:p>
    <w:p w14:paraId="2E1750BD" w14:textId="77777777" w:rsidR="00524DA2" w:rsidRDefault="00524DA2" w:rsidP="00524DA2">
      <w:pPr>
        <w:pStyle w:val="Listparagraf"/>
        <w:numPr>
          <w:ilvl w:val="0"/>
          <w:numId w:val="1"/>
        </w:numPr>
      </w:pPr>
      <w:r>
        <w:t>REGULA DE AUR</w:t>
      </w:r>
    </w:p>
    <w:p w14:paraId="4F812FC3" w14:textId="77777777" w:rsidR="00524DA2" w:rsidRDefault="00524DA2">
      <w:r>
        <w:t>────────────────────────────────────────</w:t>
      </w:r>
    </w:p>
    <w:p w14:paraId="2A122229" w14:textId="77777777" w:rsidR="00524DA2" w:rsidRDefault="00524DA2"/>
    <w:p w14:paraId="14B53BF7" w14:textId="77777777" w:rsidR="00524DA2" w:rsidRDefault="00524DA2">
      <w:r>
        <w:t>Dacă o prezentare sau un mesaj public</w:t>
      </w:r>
    </w:p>
    <w:p w14:paraId="07CA27A2" w14:textId="77777777" w:rsidR="00524DA2" w:rsidRDefault="00524DA2">
      <w:r>
        <w:t>Nu poate include această declarație</w:t>
      </w:r>
    </w:p>
    <w:p w14:paraId="715F2E77" w14:textId="77777777" w:rsidR="00524DA2" w:rsidRDefault="00524DA2">
      <w:r>
        <w:t>Fără a crea disconfort comercial,</w:t>
      </w:r>
    </w:p>
    <w:p w14:paraId="6B868968" w14:textId="77777777" w:rsidR="00524DA2" w:rsidRDefault="00524DA2">
      <w:r>
        <w:t>Atunci mesajul NU trebuie comunicat.</w:t>
      </w:r>
    </w:p>
    <w:p w14:paraId="2352567D" w14:textId="77777777" w:rsidR="00524DA2" w:rsidRDefault="00524DA2"/>
    <w:p w14:paraId="28CCCF0E" w14:textId="77777777" w:rsidR="00524DA2" w:rsidRDefault="00524DA2">
      <w:r>
        <w:t>────────────────────────────────────────</w:t>
      </w:r>
    </w:p>
    <w:p w14:paraId="5430172A" w14:textId="77777777" w:rsidR="00524DA2" w:rsidRDefault="00524DA2" w:rsidP="00524DA2">
      <w:pPr>
        <w:pStyle w:val="Listparagraf"/>
        <w:numPr>
          <w:ilvl w:val="0"/>
          <w:numId w:val="1"/>
        </w:numPr>
      </w:pPr>
      <w:r>
        <w:t>CONCLUZIE</w:t>
      </w:r>
    </w:p>
    <w:p w14:paraId="53F5803F" w14:textId="77777777" w:rsidR="00524DA2" w:rsidRDefault="00524DA2">
      <w:r>
        <w:t>────────────────────────────────────────</w:t>
      </w:r>
    </w:p>
    <w:p w14:paraId="0C45D080" w14:textId="77777777" w:rsidR="00524DA2" w:rsidRDefault="00524DA2"/>
    <w:p w14:paraId="6D5C6948" w14:textId="77777777" w:rsidR="00524DA2" w:rsidRDefault="00524DA2">
      <w:r>
        <w:t>Declarația de poziționare oficială DROPi</w:t>
      </w:r>
    </w:p>
    <w:p w14:paraId="0D3FE47F" w14:textId="77777777" w:rsidR="00524DA2" w:rsidRDefault="00524DA2">
      <w:r>
        <w:t>Protejează sistemul de interpretări greșite,</w:t>
      </w:r>
    </w:p>
    <w:p w14:paraId="672DA0D8" w14:textId="77777777" w:rsidR="00524DA2" w:rsidRDefault="00524DA2">
      <w:r>
        <w:t>Promisiuni implicite și riscuri inutile.</w:t>
      </w:r>
    </w:p>
    <w:p w14:paraId="5C806DF6" w14:textId="77777777" w:rsidR="00524DA2" w:rsidRDefault="00524DA2"/>
    <w:p w14:paraId="46075AFF" w14:textId="77777777" w:rsidR="00524DA2" w:rsidRDefault="00524DA2">
      <w:r>
        <w:t>Poziționarea clară este fundația încrederii.</w:t>
      </w:r>
    </w:p>
    <w:sectPr w:rsidR="00524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E4"/>
    <w:multiLevelType w:val="hybridMultilevel"/>
    <w:tmpl w:val="B3401B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18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A2"/>
    <w:rsid w:val="000F16AF"/>
    <w:rsid w:val="001C76EE"/>
    <w:rsid w:val="0052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BC11C"/>
  <w15:chartTrackingRefBased/>
  <w15:docId w15:val="{192CD264-9AE4-834C-B868-D4538E83C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2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2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2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2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24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2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2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2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2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2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2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2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24DA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24DA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24DA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24DA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24DA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24DA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2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2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2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2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2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24DA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24DA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24DA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2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24DA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24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471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2026-01-26T21:51:00Z</dcterms:created>
  <dcterms:modified xsi:type="dcterms:W3CDTF">2026-01-26T21:51:00Z</dcterms:modified>
</cp:coreProperties>
</file>