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/>
      </w:pPr>
      <w:r>
        <w:rPr>
          <w:rFonts w:ascii="Microsoft JhengHei" w:hAnsi="Microsoft JhengHei" w:eastAsia="Microsoft JhengHei"/>
          <w:b/>
          <w:sz w:val="46"/>
        </w:rPr>
        <w:t>阻變式記憶體的雙極性電阻切換研究</w:t>
      </w:r>
    </w:p>
    <w:p>
      <w:pPr>
        <w:spacing w:after="300"/>
      </w:pPr>
      <w:r>
        <w:rPr>
          <w:rFonts w:ascii="Microsoft JhengHei" w:hAnsi="Microsoft JhengHei" w:eastAsia="Microsoft JhengHei"/>
          <w:b w:val="0"/>
          <w:color w:val="595959"/>
          <w:sz w:val="26"/>
        </w:rPr>
        <w:t>用於測試 AI 簡報生成流程的模擬研究文件</w:t>
      </w:r>
    </w:p>
    <w:p>
      <w:pPr>
        <w:spacing w:after="280"/>
      </w:pPr>
      <w:r>
        <w:rPr>
          <w:rFonts w:ascii="Microsoft JhengHei" w:hAnsi="Microsoft JhengHei" w:eastAsia="Microsoft JhengHei"/>
          <w:b/>
          <w:color w:val="9B1C1C"/>
          <w:sz w:val="21"/>
        </w:rPr>
        <w:t>重要聲明：本文件中的樣品、量測數值與研究結論均為教學測試用的模擬資料，不代表真實實驗成果，亦不可用於正式引用。</w:t>
      </w:r>
    </w:p>
    <w:p>
      <w:pPr>
        <w:pStyle w:val="Heading1"/>
      </w:pPr>
      <w:r>
        <w:t>摘要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本研究以金屬／氧化層／金屬結構的阻變式記憶體（RRAM）為對象，探討限制電流對雙極性電阻切換行為的影響。模擬結果顯示，元件可在正負電壓掃描下於高電阻態與低電阻態之間切換；限制電流提高時，低電阻態電流增加，但過高電流可能使循環間變異擴大。</w:t>
      </w:r>
    </w:p>
    <w:p>
      <w:pPr>
        <w:pStyle w:val="Heading1"/>
      </w:pPr>
      <w:r>
        <w:t>1. 研究背景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阻變式記憶體具有非揮發性、操作速度快、元件結構簡單與低功耗等潛力。其切換機制通常以氧空缺移動及導電細絲的形成與斷裂解釋。當導電路徑形成時，元件進入低電阻態；當路徑在反向偏壓下斷裂時，元件回到高電阻態。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本測試研究的問題是：限制電流是否會改變低電阻態、記憶窗與循環穩定性？研究假設為，較高限制電流會形成較粗的導電路徑，因此降低低電阻態阻值，但也可能增加元件間與循環間差異。</w:t>
      </w:r>
    </w:p>
    <w:p>
      <w:pPr>
        <w:pStyle w:val="Heading1"/>
      </w:pPr>
      <w:r>
        <w:t>2. 實驗方法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模擬元件採用上電極／氧化層／下電極三層結構，有效元件面積設定為 100 × 100 μm²。量測以半導體參數分析儀進行，室溫下由 0 V 掃描至 +2.0 V，再回到 0 V，接著掃描至 −2.0 V 並返回 0 V。每個條件模擬 20 次切換循環。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比較三組限制電流：0.1 mA、0.5 mA 與 1.0 mA。低電阻態與高電阻態皆在 0.1 V 讀取；記憶窗定義為高電阻態阻值除以低電阻態阻值。為避免產生不存在的證據，本文件不提供真實顯微影像、原始 I–V 圖或外部文獻來源。</w:t>
      </w:r>
    </w:p>
    <w:p>
      <w:pPr>
        <w:pStyle w:val="Heading1"/>
      </w:pPr>
      <w:r>
        <w:t>3. 模擬結果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三組條件皆呈現雙極性切換：正向掃描約在 1.1–1.4 V 進入低電阻態，反向掃描約在 −0.8 至 −1.1 V 回到高電阻態。隨限制電流提高，低電阻態阻值下降；高電阻態變化較小，因此記憶窗增加。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1900"/>
        <w:gridCol w:w="1900"/>
        <w:gridCol w:w="1900"/>
        <w:gridCol w:w="2060"/>
      </w:tblGrid>
      <w:tr>
        <w:tc>
          <w:tcPr>
            <w:tcW w:type="dxa" w:w="16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限制電流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SET 電壓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RESET 電壓</w:t>
            </w:r>
          </w:p>
        </w:tc>
        <w:tc>
          <w:tcPr>
            <w:tcW w:type="dxa" w:w="190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低電阻態</w:t>
            </w:r>
          </w:p>
        </w:tc>
        <w:tc>
          <w:tcPr>
            <w:tcW w:type="dxa" w:w="2060"/>
            <w:shd w:fill="F2F4F7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/>
                <w:sz w:val="19"/>
              </w:rPr>
              <w:t>記憶窗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0.1 mA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1.32 V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−0.89 V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2.4 kΩ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約 18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0.5 mA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1.24 V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−0.94 V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1.2 kΩ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約 34</w:t>
            </w:r>
          </w:p>
        </w:tc>
      </w:tr>
      <w:tr>
        <w:tc>
          <w:tcPr>
            <w:tcW w:type="dxa" w:w="1600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1.0 mA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1.18 V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−1.02 V</w:t>
            </w:r>
          </w:p>
        </w:tc>
        <w:tc>
          <w:tcPr>
            <w:tcW w:type="dxa" w:w="1900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0.8 kΩ</w:t>
            </w:r>
          </w:p>
        </w:tc>
        <w:tc>
          <w:tcPr>
            <w:tcW w:type="dxa" w:w="2060"/>
            <w:vAlign w:val="center"/>
          </w:tcPr>
          <w:p>
            <w:pPr>
              <w:jc w:val="center"/>
            </w:pPr>
            <w:r>
              <w:rPr>
                <w:rFonts w:ascii="Microsoft JhengHei" w:hAnsi="Microsoft JhengHei" w:eastAsia="Microsoft JhengHei"/>
                <w:b w:val="0"/>
                <w:sz w:val="19"/>
              </w:rPr>
              <w:t>約 47</w:t>
            </w:r>
          </w:p>
        </w:tc>
      </w:tr>
    </w:tbl>
    <w:p>
      <w:pPr>
        <w:spacing w:before="80" w:after="160"/>
      </w:pPr>
      <w:r>
        <w:rPr>
          <w:rFonts w:ascii="Microsoft JhengHei" w:hAnsi="Microsoft JhengHei" w:eastAsia="Microsoft JhengHei"/>
          <w:b w:val="0"/>
          <w:color w:val="595959"/>
          <w:sz w:val="18"/>
        </w:rPr>
        <w:t>表 1　不同限制電流下的模擬切換參數（非真實量測資料）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循環穩定性方面，0.1 mA 與 0.5 mA 條件在 20 次循環中維持清楚的高低電阻差異；1.0 mA 條件雖具有最大記憶窗，但低電阻態的循環間變異較明顯。這支持『較高限制電流形成較強導電路徑，但可能犧牲穩定性』的模擬假設。</w:t>
      </w:r>
    </w:p>
    <w:p>
      <w:pPr>
        <w:pStyle w:val="Heading1"/>
      </w:pPr>
      <w:r>
        <w:t>4. 討論與限制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模擬趨勢可用氧空缺導電路徑模型解釋，但目前資料不足以確認材料界面反應、局部溫升或導電細絲的實際形貌。由於沒有真實樣品、誤差棒、統計檢定與顯微結構影像，簡報不得將這些模擬數值描述成已完成的實驗證據。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若 AI 需要圖片，應在圖片位置標示『待補：元件結構示意圖』或『待補：I–V 曲線』，不可自行生成看似真實的量測圖並聲稱為本研究結果。若需要引用，請標示『來源待補』。</w:t>
      </w:r>
    </w:p>
    <w:p>
      <w:pPr>
        <w:pStyle w:val="Heading1"/>
      </w:pPr>
      <w:r>
        <w:t>5. 結論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本模擬研究顯示，限制電流提高會降低低電阻態阻值並擴大記憶窗；然而最高限制電流條件可能帶來較大的循環變異。在三組模擬條件中，0.5 mA 在記憶窗與穩定性之間呈現較平衡的表現。後續真實研究應加入更多元件、耐久度測試、資料保存測試及微結構分析。</w:t>
      </w:r>
    </w:p>
    <w:p>
      <w:pPr>
        <w:pStyle w:val="Heading1"/>
      </w:pPr>
      <w:r>
        <w:t>簡報生成測試要求</w:t>
      </w:r>
    </w:p>
    <w:p>
      <w:pPr>
        <w:spacing w:after="120" w:line="264" w:lineRule="auto"/>
      </w:pPr>
      <w:r>
        <w:rPr>
          <w:rFonts w:ascii="Microsoft JhengHei" w:hAnsi="Microsoft JhengHei" w:eastAsia="Microsoft JhengHei"/>
          <w:b w:val="0"/>
          <w:sz w:val="22"/>
        </w:rPr>
        <w:t>請將文件整理為約 8 頁的繁體中文學術簡報，依序涵蓋封面、研究背景、研究問題、實驗方法、模擬結果、限制、結論與未來工作。所有數值均須標示為模擬資料；不得補造圖片、引用、樣本數或統計顯著性。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b w:val="0"/>
        <w:color w:val="595959"/>
        <w:sz w:val="17"/>
      </w:rPr>
      <w:t>教學測試文件｜禁止作為真實研究引用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b w:val="0"/>
        <w:color w:val="595959"/>
        <w:sz w:val="18"/>
      </w:rPr>
      <w:t>簡報生成測試資料｜模擬研究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2E74B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