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841EC">
      <w:pPr>
        <w:pStyle w:val="Heading2"/>
        <w:jc w:val="center"/>
        <w:divId w:val="175473966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On Genomic Repeats and Reproducibility</w:t>
      </w:r>
    </w:p>
    <w:p w:rsidR="00000000" w:rsidRDefault="00E841EC">
      <w:pPr>
        <w:jc w:val="center"/>
        <w:divId w:val="1754739667"/>
        <w:rPr>
          <w:rFonts w:eastAsia="Times New Roman"/>
        </w:rPr>
      </w:pPr>
      <w:r>
        <w:rPr>
          <w:rStyle w:val="cmr-12x-x-1201"/>
          <w:rFonts w:eastAsia="Times New Roman"/>
        </w:rPr>
        <w:t>Can Firtina</w:t>
      </w:r>
      <w:r>
        <w:rPr>
          <w:rStyle w:val="cmr-10x-x-1091"/>
          <w:rFonts w:eastAsia="Times New Roman"/>
          <w:vertAlign w:val="superscript"/>
        </w:rPr>
        <w:t>1</w:t>
      </w:r>
      <w:r>
        <w:rPr>
          <w:rFonts w:eastAsia="Times New Roman"/>
        </w:rPr>
        <w:t xml:space="preserve"> </w:t>
      </w:r>
      <w:r>
        <w:rPr>
          <w:rStyle w:val="cmr-12x-x-1201"/>
          <w:rFonts w:eastAsia="Times New Roman"/>
        </w:rPr>
        <w:t>and Can Alkan</w:t>
      </w:r>
      <w:r>
        <w:rPr>
          <w:rStyle w:val="cmr-10x-x-1091"/>
          <w:rFonts w:eastAsia="Times New Roman"/>
          <w:vertAlign w:val="superscript"/>
        </w:rPr>
        <w:t>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Style w:val="cmr-10x-x-1091"/>
          <w:rFonts w:eastAsia="Times New Roman"/>
          <w:vertAlign w:val="superscript"/>
        </w:rPr>
        <w:t>1</w:t>
      </w:r>
      <w:r>
        <w:rPr>
          <w:rStyle w:val="cmr-10x-x-1091"/>
          <w:rFonts w:eastAsia="Times New Roman"/>
        </w:rPr>
        <w:t>Dept. of Computer Engineering, Bilkent University, 06800 Ankara, Turkey</w:t>
      </w:r>
    </w:p>
    <w:p w:rsidR="00000000" w:rsidRDefault="00E841EC">
      <w:pPr>
        <w:pStyle w:val="noindent2"/>
        <w:jc w:val="center"/>
        <w:divId w:val="843857851"/>
      </w:pPr>
      <w:r>
        <w:rPr>
          <w:rStyle w:val="cmbx-10x-x-1091"/>
        </w:rPr>
        <w:t>Abstract</w:t>
      </w:r>
    </w:p>
    <w:p w:rsidR="00000000" w:rsidRDefault="00E841EC">
      <w:pPr>
        <w:pStyle w:val="indent2"/>
        <w:divId w:val="257099717"/>
      </w:pPr>
      <w:r>
        <w:rPr>
          <w:rStyle w:val="cmr-10x-x-1091"/>
        </w:rPr>
        <w:t>The advancements in high throughput sequencing (HTS) technologies have increased the demand on</w:t>
      </w:r>
      <w:r>
        <w:t xml:space="preserve"> </w:t>
      </w:r>
      <w:r>
        <w:rPr>
          <w:rStyle w:val="cmr-10x-x-1091"/>
        </w:rPr>
        <w:t>producing genome sequence data for many research questions. However, analyzing and interpreting HTS</w:t>
      </w:r>
      <w:r>
        <w:t xml:space="preserve"> </w:t>
      </w:r>
      <w:r>
        <w:rPr>
          <w:rStyle w:val="cmr-10x-x-1091"/>
        </w:rPr>
        <w:t>data with high accuracy is still a challenge. Although many algorithms were developed for this purpose,</w:t>
      </w:r>
      <w:r>
        <w:t xml:space="preserve"> </w:t>
      </w:r>
      <w:r>
        <w:rPr>
          <w:rStyle w:val="cmr-10x-x-1091"/>
        </w:rPr>
        <w:t>a handful of computational pipelines from mapping to</w:t>
      </w:r>
      <w:r>
        <w:rPr>
          <w:rStyle w:val="cmr-10x-x-1091"/>
        </w:rPr>
        <w:t xml:space="preserve"> variant calling may be considered standard, as</w:t>
      </w:r>
      <w:r>
        <w:t xml:space="preserve"> </w:t>
      </w:r>
      <w:r>
        <w:rPr>
          <w:rStyle w:val="cmr-10x-x-1091"/>
        </w:rPr>
        <w:t>they are commonly used in large-scale genome projects.</w:t>
      </w:r>
      <w:r>
        <w:t xml:space="preserve"> </w:t>
      </w:r>
    </w:p>
    <w:p w:rsidR="00000000" w:rsidRDefault="00E841EC">
      <w:pPr>
        <w:pStyle w:val="indent2"/>
        <w:divId w:val="257099717"/>
      </w:pPr>
      <w:r>
        <w:rPr>
          <w:rStyle w:val="cmr-10x-x-1091"/>
        </w:rPr>
        <w:t>Approximately half of the human genome consists of repeats, which cause ambiguity in read mapping</w:t>
      </w:r>
      <w:r>
        <w:t xml:space="preserve"> </w:t>
      </w:r>
      <w:r>
        <w:rPr>
          <w:rStyle w:val="cmr-10x-x-1091"/>
        </w:rPr>
        <w:t>when the read length is short. On the average, a 100-b</w:t>
      </w:r>
      <w:r>
        <w:rPr>
          <w:rStyle w:val="cmr-10x-x-1091"/>
        </w:rPr>
        <w:t>p read generated by the Illumina platform may</w:t>
      </w:r>
      <w:r>
        <w:t xml:space="preserve"> </w:t>
      </w:r>
      <w:r>
        <w:rPr>
          <w:rStyle w:val="cmr-10x-x-1091"/>
        </w:rPr>
        <w:t>align to hundreds of genome locations with similar edit distance. The BWA [</w:t>
      </w:r>
      <w:hyperlink w:anchor="XLi2009a" w:history="1">
        <w:r>
          <w:rPr>
            <w:rStyle w:val="cmr-10x-x-1091"/>
            <w:color w:val="0000FF"/>
            <w:u w:val="single"/>
          </w:rPr>
          <w:t>4</w:t>
        </w:r>
      </w:hyperlink>
      <w:r>
        <w:rPr>
          <w:rStyle w:val="cmr-10x-x-1091"/>
        </w:rPr>
        <w:t>]</w:t>
      </w:r>
      <w:r>
        <w:t xml:space="preserve"> </w:t>
      </w:r>
      <w:r>
        <w:rPr>
          <w:rStyle w:val="cmr-10x-x-1091"/>
        </w:rPr>
        <w:t>mapper’s approach to</w:t>
      </w:r>
      <w:r>
        <w:t xml:space="preserve"> </w:t>
      </w:r>
      <w:r>
        <w:rPr>
          <w:rStyle w:val="cmr-10x-x-1091"/>
        </w:rPr>
        <w:t>handle such ambiguity is randomly selecting one location, and assigning the mapp</w:t>
      </w:r>
      <w:r>
        <w:rPr>
          <w:rStyle w:val="cmr-10x-x-1091"/>
        </w:rPr>
        <w:t>ing quality to zero to</w:t>
      </w:r>
      <w:r>
        <w:t xml:space="preserve"> </w:t>
      </w:r>
      <w:r>
        <w:rPr>
          <w:rStyle w:val="cmr-10x-x-1091"/>
        </w:rPr>
        <w:t>inform the variant calling algorithms that the alignment may not be accurate.</w:t>
      </w:r>
      <w:r>
        <w:t xml:space="preserve"> </w:t>
      </w:r>
    </w:p>
    <w:p w:rsidR="00000000" w:rsidRDefault="00E841EC">
      <w:pPr>
        <w:pStyle w:val="indent2"/>
        <w:divId w:val="257099717"/>
      </w:pPr>
      <w:r>
        <w:rPr>
          <w:rStyle w:val="cmr-10x-x-1091"/>
        </w:rPr>
        <w:t>In this study, we investigated whether some of the commonly used variant discovery algorithms make</w:t>
      </w:r>
      <w:r>
        <w:t xml:space="preserve"> </w:t>
      </w:r>
      <w:r>
        <w:rPr>
          <w:rStyle w:val="cmr-10x-x-1091"/>
        </w:rPr>
        <w:t>use of this mapping quality information, and how they r</w:t>
      </w:r>
      <w:r>
        <w:rPr>
          <w:rStyle w:val="cmr-10x-x-1091"/>
        </w:rPr>
        <w:t>eact to genomic repeats. We aligned two whole</w:t>
      </w:r>
      <w:r>
        <w:t xml:space="preserve"> </w:t>
      </w:r>
      <w:r>
        <w:rPr>
          <w:rStyle w:val="cmr-10x-x-1091"/>
        </w:rPr>
        <w:t>genome shotgun (WGS) datasets with one low (5X) and one high (45X) coverage genome sequenced as</w:t>
      </w:r>
      <w:r>
        <w:t xml:space="preserve"> </w:t>
      </w:r>
      <w:r>
        <w:rPr>
          <w:rStyle w:val="cmr-10x-x-1091"/>
        </w:rPr>
        <w:t>part of the 1000 Genomes Project [</w:t>
      </w:r>
      <w:hyperlink w:anchor="X1000GP2012" w:history="1">
        <w:r>
          <w:rPr>
            <w:rStyle w:val="cmr-10x-x-1091"/>
            <w:color w:val="0000FF"/>
            <w:u w:val="single"/>
          </w:rPr>
          <w:t>1</w:t>
        </w:r>
      </w:hyperlink>
      <w:r>
        <w:rPr>
          <w:rStyle w:val="cmr-10x-x-1091"/>
        </w:rPr>
        <w:t>]</w:t>
      </w:r>
      <w:r>
        <w:t xml:space="preserve"> </w:t>
      </w:r>
      <w:r>
        <w:rPr>
          <w:rStyle w:val="cmr-10x-x-1091"/>
        </w:rPr>
        <w:t xml:space="preserve">to the human reference genome (GRCh37) </w:t>
      </w:r>
      <w:r>
        <w:rPr>
          <w:rStyle w:val="cmbx-10x-x-1091"/>
        </w:rPr>
        <w:t>twic</w:t>
      </w:r>
      <w:r>
        <w:rPr>
          <w:rStyle w:val="cmbx-10x-x-1091"/>
        </w:rPr>
        <w:t xml:space="preserve">e </w:t>
      </w:r>
      <w:r>
        <w:rPr>
          <w:rStyle w:val="cmr-10x-x-1091"/>
        </w:rPr>
        <w:t>using BWA with</w:t>
      </w:r>
      <w:r>
        <w:t xml:space="preserve"> </w:t>
      </w:r>
      <w:r>
        <w:rPr>
          <w:rStyle w:val="cmr-10x-x-1091"/>
        </w:rPr>
        <w:t>the same parameters. However, we shuffled the order of reads in the second mapping experiment to make</w:t>
      </w:r>
      <w:r>
        <w:t xml:space="preserve"> </w:t>
      </w:r>
      <w:r>
        <w:rPr>
          <w:rStyle w:val="cmr-10x-x-1091"/>
        </w:rPr>
        <w:t>sure that the same random number is not used for the same reads. As expected, BWA reported different</w:t>
      </w:r>
      <w:r>
        <w:t xml:space="preserve"> </w:t>
      </w:r>
      <w:r>
        <w:rPr>
          <w:rStyle w:val="cmr-10x-x-1091"/>
        </w:rPr>
        <w:t xml:space="preserve">map locations to repetitive regions </w:t>
      </w:r>
      <w:r>
        <w:rPr>
          <w:rStyle w:val="cmr-10x-x-1091"/>
        </w:rPr>
        <w:t>(</w:t>
      </w:r>
      <w:r>
        <w:rPr>
          <w:rStyle w:val="cmsy-10x-x-1091"/>
        </w:rPr>
        <w:t>~</w:t>
      </w:r>
      <w:r>
        <w:rPr>
          <w:rStyle w:val="cmr-10x-x-1091"/>
        </w:rPr>
        <w:t>2.8% of reads). Interestingly, although BWA reported zero mapping</w:t>
      </w:r>
      <w:r>
        <w:t xml:space="preserve"> </w:t>
      </w:r>
      <w:r>
        <w:rPr>
          <w:rStyle w:val="cmr-10x-x-1091"/>
        </w:rPr>
        <w:t>qualities for most of the discrepant read mappings (</w:t>
      </w:r>
      <w:r>
        <w:rPr>
          <w:rStyle w:val="cmsy-10x-x-1091"/>
        </w:rPr>
        <w:t>~</w:t>
      </w:r>
      <w:r>
        <w:rPr>
          <w:rStyle w:val="cmr-10x-x-1091"/>
        </w:rPr>
        <w:t>94%), it also assigned high MAPQ values (</w:t>
      </w:r>
      <w:r>
        <w:rPr>
          <w:rStyle w:val="cmsy-10x-x-1091"/>
        </w:rPr>
        <w:t>≥</w:t>
      </w:r>
      <w:r>
        <w:rPr>
          <w:rStyle w:val="cmr-10x-x-1091"/>
        </w:rPr>
        <w:t>30) for</w:t>
      </w:r>
      <w:r>
        <w:t xml:space="preserve"> </w:t>
      </w:r>
      <w:r>
        <w:rPr>
          <w:rStyle w:val="cmr-10x-x-1091"/>
        </w:rPr>
        <w:t>a fraction of them (</w:t>
      </w:r>
      <w:r>
        <w:rPr>
          <w:rStyle w:val="cmsy-10x-x-1091"/>
        </w:rPr>
        <w:t>~</w:t>
      </w:r>
      <w:r>
        <w:rPr>
          <w:rStyle w:val="cmr-10x-x-1091"/>
        </w:rPr>
        <w:t>1.75%). We then generated two single nucleotide polymorphism (SN</w:t>
      </w:r>
      <w:r>
        <w:rPr>
          <w:rStyle w:val="cmr-10x-x-1091"/>
        </w:rPr>
        <w:t>P) and indel</w:t>
      </w:r>
      <w:r>
        <w:t xml:space="preserve"> </w:t>
      </w:r>
      <w:r>
        <w:rPr>
          <w:rStyle w:val="cmr-10x-x-1091"/>
        </w:rPr>
        <w:t>callsets each using GATK [</w:t>
      </w:r>
      <w:hyperlink w:anchor="XDePristo2011" w:history="1">
        <w:r>
          <w:rPr>
            <w:rStyle w:val="cmr-10x-x-1091"/>
            <w:color w:val="0000FF"/>
            <w:u w:val="single"/>
          </w:rPr>
          <w:t>2</w:t>
        </w:r>
      </w:hyperlink>
      <w:r>
        <w:rPr>
          <w:rStyle w:val="cmr-10x-x-1091"/>
        </w:rPr>
        <w:t>]</w:t>
      </w:r>
      <w:r>
        <w:t xml:space="preserve"> </w:t>
      </w:r>
      <w:r>
        <w:rPr>
          <w:rStyle w:val="cmr-10x-x-1091"/>
        </w:rPr>
        <w:t>HaplotypeCaller, GATK UnifiedGenotyper, Freebayes [</w:t>
      </w:r>
      <w:hyperlink w:anchor="XGarrison2012" w:history="1">
        <w:r>
          <w:rPr>
            <w:rStyle w:val="cmr-10x-x-1091"/>
            <w:color w:val="0000FF"/>
            <w:u w:val="single"/>
          </w:rPr>
          <w:t>3</w:t>
        </w:r>
      </w:hyperlink>
      <w:r>
        <w:rPr>
          <w:rStyle w:val="cmr-10x-x-1091"/>
        </w:rPr>
        <w:t>], Platypus [</w:t>
      </w:r>
      <w:hyperlink w:anchor="XRimmer2014" w:history="1">
        <w:r>
          <w:rPr>
            <w:rStyle w:val="cmr-10x-x-1091"/>
            <w:color w:val="0000FF"/>
            <w:u w:val="single"/>
          </w:rPr>
          <w:t>7</w:t>
        </w:r>
      </w:hyperlink>
      <w:r>
        <w:rPr>
          <w:rStyle w:val="cmr-10x-x-1091"/>
        </w:rPr>
        <w:t>],</w:t>
      </w:r>
      <w:r>
        <w:t xml:space="preserve"> </w:t>
      </w:r>
      <w:r>
        <w:rPr>
          <w:rStyle w:val="cmr-10x-x-1091"/>
        </w:rPr>
        <w:t>and SAMTools [</w:t>
      </w:r>
      <w:hyperlink w:anchor="XLi2009b" w:history="1">
        <w:r>
          <w:rPr>
            <w:rStyle w:val="cmr-10x-x-1091"/>
            <w:color w:val="0000FF"/>
            <w:u w:val="single"/>
          </w:rPr>
          <w:t>5</w:t>
        </w:r>
      </w:hyperlink>
      <w:r>
        <w:rPr>
          <w:rStyle w:val="cmr-10x-x-1091"/>
        </w:rPr>
        <w:t>], and structural variation (SV) callsets using DELLY [</w:t>
      </w:r>
      <w:hyperlink w:anchor="XRausch2012" w:history="1">
        <w:r>
          <w:rPr>
            <w:rStyle w:val="cmr-10x-x-1091"/>
            <w:color w:val="0000FF"/>
            <w:u w:val="single"/>
          </w:rPr>
          <w:t>6</w:t>
        </w:r>
      </w:hyperlink>
      <w:r>
        <w:rPr>
          <w:rStyle w:val="cmr-10x-x-1091"/>
        </w:rPr>
        <w:t>]</w:t>
      </w:r>
      <w:r>
        <w:t xml:space="preserve"> </w:t>
      </w:r>
      <w:r>
        <w:rPr>
          <w:rStyle w:val="cmr-10x-x-1091"/>
        </w:rPr>
        <w:t>from each genome.</w:t>
      </w:r>
      <w:r>
        <w:t xml:space="preserve"> </w:t>
      </w:r>
    </w:p>
    <w:p w:rsidR="00000000" w:rsidRDefault="00E841EC">
      <w:pPr>
        <w:pStyle w:val="indent2"/>
        <w:divId w:val="257099717"/>
      </w:pPr>
      <w:r>
        <w:rPr>
          <w:rStyle w:val="cmr-10x-x-1091"/>
        </w:rPr>
        <w:t>We observed substantial differences in the callsets generated by all of the tools we tested. GATK’s</w:t>
      </w:r>
      <w:r>
        <w:t xml:space="preserve"> </w:t>
      </w:r>
      <w:r>
        <w:rPr>
          <w:rStyle w:val="cmr-10x-x-1091"/>
        </w:rPr>
        <w:t>HaplotypeCall</w:t>
      </w:r>
      <w:r>
        <w:rPr>
          <w:rStyle w:val="cmr-10x-x-1091"/>
        </w:rPr>
        <w:t>er showed a discrepancy of 0.4% to 1.1% , where UnifiedGenotyper showed the higest</w:t>
      </w:r>
      <w:r>
        <w:t xml:space="preserve"> </w:t>
      </w:r>
      <w:r>
        <w:rPr>
          <w:rStyle w:val="cmr-10x-x-1091"/>
        </w:rPr>
        <w:t>number of different calls between two alignments of the same data set (up to 12.76%). As expected, 72 to</w:t>
      </w:r>
      <w:r>
        <w:t xml:space="preserve"> </w:t>
      </w:r>
      <w:r>
        <w:rPr>
          <w:rStyle w:val="cmr-10x-x-1091"/>
        </w:rPr>
        <w:t>80% of the discrepant calls were found within common repeats. Howeve</w:t>
      </w:r>
      <w:r>
        <w:rPr>
          <w:rStyle w:val="cmr-10x-x-1091"/>
        </w:rPr>
        <w:t>r, we also observed 165 to 4,397</w:t>
      </w:r>
      <w:r>
        <w:t xml:space="preserve"> </w:t>
      </w:r>
      <w:r>
        <w:rPr>
          <w:rStyle w:val="cmr-10x-x-1091"/>
        </w:rPr>
        <w:t>SNVs that were called within one alignment but not the other that map to coding exons. Furthermore,</w:t>
      </w:r>
      <w:r>
        <w:t xml:space="preserve"> </w:t>
      </w:r>
      <w:r>
        <w:rPr>
          <w:rStyle w:val="cmr-10x-x-1091"/>
        </w:rPr>
        <w:t>691 of the 4397 (15.7%) discrepant exonic SNVs predicted by GATK UnifiedGenotyper, did not intersect</w:t>
      </w:r>
      <w:r>
        <w:t xml:space="preserve"> </w:t>
      </w:r>
      <w:r>
        <w:rPr>
          <w:rStyle w:val="cmr-10x-x-1091"/>
        </w:rPr>
        <w:t>with any common repeat</w:t>
      </w:r>
      <w:r>
        <w:rPr>
          <w:rStyle w:val="cmr-10x-x-1091"/>
        </w:rPr>
        <w:t>s or segmental duplications. Freebayes, Platypus, and SAMtools predictions</w:t>
      </w:r>
      <w:r>
        <w:t xml:space="preserve"> </w:t>
      </w:r>
      <w:r>
        <w:rPr>
          <w:rStyle w:val="cmr-10x-x-1091"/>
        </w:rPr>
        <w:t xml:space="preserve">were more reproducable, as </w:t>
      </w:r>
      <w:r>
        <w:rPr>
          <w:rStyle w:val="cmmi-10x-x-1091"/>
        </w:rPr>
        <w:t>&gt;</w:t>
      </w:r>
      <w:r>
        <w:rPr>
          <w:rStyle w:val="cmr-10x-x-1091"/>
        </w:rPr>
        <w:t>98.5% of the calls were identical. DELLY also predicted different calls:</w:t>
      </w:r>
      <w:r>
        <w:t xml:space="preserve"> </w:t>
      </w:r>
      <w:r>
        <w:rPr>
          <w:rStyle w:val="cmsy-10x-x-1091"/>
        </w:rPr>
        <w:t>~</w:t>
      </w:r>
      <w:r>
        <w:rPr>
          <w:rStyle w:val="cmr-10x-x-1091"/>
        </w:rPr>
        <w:t xml:space="preserve">3% of deletion, </w:t>
      </w:r>
      <w:r>
        <w:rPr>
          <w:rStyle w:val="cmsy-10x-x-1091"/>
        </w:rPr>
        <w:t>~</w:t>
      </w:r>
      <w:r>
        <w:rPr>
          <w:rStyle w:val="cmr-10x-x-1091"/>
        </w:rPr>
        <w:t xml:space="preserve">4% of tandem duplication, </w:t>
      </w:r>
      <w:r>
        <w:rPr>
          <w:rStyle w:val="cmsy-10x-x-1091"/>
        </w:rPr>
        <w:t>~</w:t>
      </w:r>
      <w:r>
        <w:rPr>
          <w:rStyle w:val="cmr-10x-x-1091"/>
        </w:rPr>
        <w:t xml:space="preserve">6% of inversion, and </w:t>
      </w:r>
      <w:r>
        <w:rPr>
          <w:rStyle w:val="cmsy-10x-x-1091"/>
        </w:rPr>
        <w:t>~</w:t>
      </w:r>
      <w:r>
        <w:rPr>
          <w:rStyle w:val="cmr-10x-x-1091"/>
        </w:rPr>
        <w:t>3.6% of trans</w:t>
      </w:r>
      <w:r>
        <w:rPr>
          <w:rStyle w:val="cmr-10x-x-1091"/>
        </w:rPr>
        <w:t>location calls were</w:t>
      </w:r>
      <w:r>
        <w:t xml:space="preserve"> </w:t>
      </w:r>
      <w:r>
        <w:rPr>
          <w:rStyle w:val="cmr-10x-x-1091"/>
        </w:rPr>
        <w:t xml:space="preserve">spefic to a single alignment (i.e. BAM file), and </w:t>
      </w:r>
      <w:r>
        <w:rPr>
          <w:rStyle w:val="cmmi-10x-x-1091"/>
        </w:rPr>
        <w:t>&gt;</w:t>
      </w:r>
      <w:r>
        <w:rPr>
          <w:rStyle w:val="cmr-10x-x-1091"/>
        </w:rPr>
        <w:t>91% of these differences intersected with common</w:t>
      </w:r>
      <w:r>
        <w:t xml:space="preserve"> </w:t>
      </w:r>
      <w:r>
        <w:rPr>
          <w:rStyle w:val="cmr-10x-x-1091"/>
        </w:rPr>
        <w:t>repeats. More interestingly, when we ran GATK’s both HaplotypeCaller and UnifiedGenotyper on the</w:t>
      </w:r>
      <w:r>
        <w:t xml:space="preserve"> </w:t>
      </w:r>
      <w:r>
        <w:rPr>
          <w:rStyle w:val="cmbx-10x-x-1091"/>
        </w:rPr>
        <w:t xml:space="preserve">same </w:t>
      </w:r>
      <w:r>
        <w:rPr>
          <w:rStyle w:val="cmr-10x-x-1091"/>
        </w:rPr>
        <w:t>BAM file twice, we observed simila</w:t>
      </w:r>
      <w:r>
        <w:rPr>
          <w:rStyle w:val="cmr-10x-x-1091"/>
        </w:rPr>
        <w:t>r differences. Other tools produced no discrepancies.</w:t>
      </w:r>
      <w:r>
        <w:t xml:space="preserve"> </w:t>
      </w:r>
    </w:p>
    <w:p w:rsidR="00000000" w:rsidRDefault="00E841EC">
      <w:pPr>
        <w:pStyle w:val="indent2"/>
        <w:divId w:val="257099717"/>
      </w:pPr>
      <w:r>
        <w:rPr>
          <w:rStyle w:val="cmr-10x-x-1091"/>
        </w:rPr>
        <w:lastRenderedPageBreak/>
        <w:t>Our results raise questions about reproducibility and accuracy of several commonly used genomic</w:t>
      </w:r>
      <w:r>
        <w:t xml:space="preserve"> </w:t>
      </w:r>
      <w:r>
        <w:rPr>
          <w:rStyle w:val="cmr-10x-x-1091"/>
        </w:rPr>
        <w:t>variation discovery tools. The differences in callsets we observed in this study may have similar sensiti</w:t>
      </w:r>
      <w:r>
        <w:rPr>
          <w:rStyle w:val="cmr-10x-x-1091"/>
        </w:rPr>
        <w:t>vity</w:t>
      </w:r>
      <w:r>
        <w:t xml:space="preserve"> </w:t>
      </w:r>
      <w:r>
        <w:rPr>
          <w:rStyle w:val="cmr-10x-x-1091"/>
        </w:rPr>
        <w:t>and specificity. It is expected to have differences between different algorithms and/or parameters, but</w:t>
      </w:r>
      <w:r>
        <w:t xml:space="preserve"> </w:t>
      </w:r>
      <w:r>
        <w:rPr>
          <w:rStyle w:val="cmr-10x-x-1091"/>
        </w:rPr>
        <w:t xml:space="preserve">obtaining different results should not be due to the order of </w:t>
      </w:r>
      <w:r>
        <w:rPr>
          <w:rStyle w:val="cmti-10x-x-1091"/>
        </w:rPr>
        <w:t xml:space="preserve">independently generated </w:t>
      </w:r>
      <w:r>
        <w:rPr>
          <w:rStyle w:val="cmr-10x-x-1091"/>
        </w:rPr>
        <w:t>reads in the input</w:t>
      </w:r>
      <w:r>
        <w:t xml:space="preserve"> </w:t>
      </w:r>
      <w:r>
        <w:rPr>
          <w:rStyle w:val="cmr-10x-x-1091"/>
        </w:rPr>
        <w:t>file. We argue that computational predicti</w:t>
      </w:r>
      <w:r>
        <w:rPr>
          <w:rStyle w:val="cmr-10x-x-1091"/>
        </w:rPr>
        <w:t>ons should not change by “luck”, and that one would prefer</w:t>
      </w:r>
      <w:r>
        <w:t xml:space="preserve"> </w:t>
      </w:r>
      <w:r>
        <w:rPr>
          <w:rStyle w:val="cmr-10x-x-1091"/>
        </w:rPr>
        <w:t>full reproducibility.</w:t>
      </w:r>
      <w:r>
        <w:t xml:space="preserve"> </w:t>
      </w:r>
    </w:p>
    <w:p w:rsidR="00000000" w:rsidRDefault="00E841EC">
      <w:pPr>
        <w:pStyle w:val="noindent"/>
        <w:jc w:val="center"/>
        <w:divId w:val="485977761"/>
      </w:pPr>
      <w:r>
        <w:rPr>
          <w:rStyle w:val="cmbx-121"/>
        </w:rPr>
        <w:t>Keywords</w:t>
      </w:r>
      <w:r>
        <w:br/>
        <w:t>genome analysis, reproducibility, repeats</w:t>
      </w:r>
    </w:p>
    <w:p w:rsidR="00000000" w:rsidRDefault="00E841EC">
      <w:pPr>
        <w:pStyle w:val="Heading3"/>
        <w:rPr>
          <w:rFonts w:eastAsia="Times New Roman"/>
        </w:rPr>
      </w:pPr>
      <w:r>
        <w:rPr>
          <w:rStyle w:val="cmr-81"/>
          <w:rFonts w:eastAsia="Times New Roman"/>
          <w:sz w:val="18"/>
          <w:szCs w:val="18"/>
        </w:rPr>
        <w:t>References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[1]  </w:t>
      </w:r>
      <w:r>
        <w:rPr>
          <w:rStyle w:val="cmr-81"/>
        </w:rPr>
        <w:t> </w:t>
      </w:r>
      <w:r>
        <w:rPr>
          <w:rStyle w:val="cmr-81"/>
        </w:rPr>
        <w:t xml:space="preserve">1000 Genomes Project Consortium. An integrated map of genetic variation from 1,092 human genomes. </w:t>
      </w:r>
      <w:r>
        <w:rPr>
          <w:rStyle w:val="cmti-81"/>
        </w:rPr>
        <w:t>Nature</w:t>
      </w:r>
      <w:r>
        <w:rPr>
          <w:rStyle w:val="cmr-81"/>
        </w:rPr>
        <w:t>, 491(7422):56–65, Nov 2012.</w:t>
      </w:r>
      <w:r>
        <w:t xml:space="preserve"> 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[2]  </w:t>
      </w:r>
      <w:r>
        <w:rPr>
          <w:rStyle w:val="cmr-81"/>
        </w:rPr>
        <w:t> </w:t>
      </w:r>
      <w:r>
        <w:rPr>
          <w:rStyle w:val="cmr-81"/>
        </w:rPr>
        <w:t>Mark A. DePristo, Eric Banks, Ryan Poplin, Kiran V. Garimella, Jared R. Maguire, Christopher Hartl, Anthony A. Philippakis, Guillermo</w:t>
      </w:r>
      <w:r>
        <w:t xml:space="preserve"> </w:t>
      </w:r>
      <w:r>
        <w:rPr>
          <w:rStyle w:val="cmr-81"/>
        </w:rPr>
        <w:t>del Angel, Manuel A. Rivas, Matt Hanna, Aaron McKenna, Tim J. Fennell, Andrew M. Kerny</w:t>
      </w:r>
      <w:r>
        <w:rPr>
          <w:rStyle w:val="cmr-81"/>
        </w:rPr>
        <w:t>tsky, Andrey Y. Sivachenko, Kristian Cibulskis,</w:t>
      </w:r>
      <w:r>
        <w:t xml:space="preserve"> </w:t>
      </w:r>
      <w:r>
        <w:rPr>
          <w:rStyle w:val="cmr-81"/>
        </w:rPr>
        <w:t>Stacey B. Gabriel, David Altshuler, and Mark J. Daly. A framework for variation discovery and genotyping using next-generation DNA sequencing</w:t>
      </w:r>
      <w:r>
        <w:t xml:space="preserve"> </w:t>
      </w:r>
      <w:r>
        <w:rPr>
          <w:rStyle w:val="cmr-81"/>
        </w:rPr>
        <w:t xml:space="preserve">data. </w:t>
      </w:r>
      <w:r>
        <w:rPr>
          <w:rStyle w:val="cmti-81"/>
        </w:rPr>
        <w:t>Nat Genet</w:t>
      </w:r>
      <w:r>
        <w:rPr>
          <w:rStyle w:val="cmr-81"/>
        </w:rPr>
        <w:t>, 43(5):491–498, May 2011.</w:t>
      </w:r>
      <w:r>
        <w:t xml:space="preserve"> 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[3]  </w:t>
      </w:r>
      <w:r>
        <w:rPr>
          <w:rStyle w:val="cmr-81"/>
        </w:rPr>
        <w:t> </w:t>
      </w:r>
      <w:r>
        <w:rPr>
          <w:rStyle w:val="cmr-81"/>
        </w:rPr>
        <w:t>Erik Garrison and</w:t>
      </w:r>
      <w:r>
        <w:rPr>
          <w:rStyle w:val="cmr-81"/>
        </w:rPr>
        <w:t xml:space="preserve"> Gabor Marth. Haplotype-based variant detection from short-read sequencing. arXiv, Jul 2012.</w:t>
      </w:r>
      <w:r>
        <w:t xml:space="preserve"> 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[4]  </w:t>
      </w:r>
      <w:r>
        <w:rPr>
          <w:rStyle w:val="cmr-81"/>
        </w:rPr>
        <w:t> </w:t>
      </w:r>
      <w:r>
        <w:rPr>
          <w:rStyle w:val="cmr-81"/>
        </w:rPr>
        <w:t xml:space="preserve">Heng Li and Richard Durbin. Fast and accurate short read alignment with Burrows-Wheeler transform. </w:t>
      </w:r>
      <w:r>
        <w:rPr>
          <w:rStyle w:val="cmti-81"/>
        </w:rPr>
        <w:t>Bioinformatics</w:t>
      </w:r>
      <w:r>
        <w:rPr>
          <w:rStyle w:val="cmr-81"/>
        </w:rPr>
        <w:t>, 25(14):1754–1760,</w:t>
      </w:r>
      <w:r>
        <w:t xml:space="preserve"> </w:t>
      </w:r>
      <w:r>
        <w:rPr>
          <w:rStyle w:val="cmr-81"/>
        </w:rPr>
        <w:t>Jul 2009.</w:t>
      </w:r>
      <w:r>
        <w:t xml:space="preserve"> 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[5]  </w:t>
      </w:r>
      <w:r>
        <w:rPr>
          <w:rStyle w:val="cmr-81"/>
        </w:rPr>
        <w:t> </w:t>
      </w:r>
      <w:r>
        <w:rPr>
          <w:rStyle w:val="cmr-81"/>
        </w:rPr>
        <w:t>Heng L</w:t>
      </w:r>
      <w:r>
        <w:rPr>
          <w:rStyle w:val="cmr-81"/>
        </w:rPr>
        <w:t>i, Bob Handsaker, Alec Wysoker, Tim Fennell, Jue Ruan, Nils Homer, Gabor Marth, Goncalo Abecasis, Richard Durbin, and 1000</w:t>
      </w:r>
      <w:r>
        <w:t xml:space="preserve"> </w:t>
      </w:r>
      <w:r>
        <w:rPr>
          <w:rStyle w:val="cmr-81"/>
        </w:rPr>
        <w:t xml:space="preserve">Genome Project Data Processing Subgroup. The sequence alignment/map format and SAMtools. </w:t>
      </w:r>
      <w:r>
        <w:rPr>
          <w:rStyle w:val="cmti-81"/>
        </w:rPr>
        <w:t>Bioinformatics</w:t>
      </w:r>
      <w:r>
        <w:rPr>
          <w:rStyle w:val="cmr-81"/>
        </w:rPr>
        <w:t>, 25(16):2078–2079, Aug 2009.</w:t>
      </w:r>
      <w:r>
        <w:t xml:space="preserve"> 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[6]  </w:t>
      </w:r>
      <w:r>
        <w:rPr>
          <w:rStyle w:val="cmr-81"/>
        </w:rPr>
        <w:t> </w:t>
      </w:r>
      <w:r>
        <w:rPr>
          <w:rStyle w:val="cmr-81"/>
        </w:rPr>
        <w:t>Tobias Rausch, Thomas Zichner, Andreas Schlattl, Adrian M. Stütz, Vladimir Benes, and Jan O. Korbel. DELLY: structural variant discovery</w:t>
      </w:r>
      <w:r>
        <w:t xml:space="preserve"> </w:t>
      </w:r>
      <w:r>
        <w:rPr>
          <w:rStyle w:val="cmr-81"/>
        </w:rPr>
        <w:t xml:space="preserve">by integrated paired-end and split-read analysis. </w:t>
      </w:r>
      <w:r>
        <w:rPr>
          <w:rStyle w:val="cmti-81"/>
        </w:rPr>
        <w:t>Bioinformatics</w:t>
      </w:r>
      <w:r>
        <w:rPr>
          <w:rStyle w:val="cmr-81"/>
        </w:rPr>
        <w:t>, 28(18):i333–i339, Sep 2012.</w:t>
      </w:r>
      <w:r>
        <w:t xml:space="preserve"> </w:t>
      </w:r>
    </w:p>
    <w:p w:rsidR="00000000" w:rsidRDefault="00E841EC">
      <w:pPr>
        <w:pStyle w:val="bibitem"/>
        <w:divId w:val="804391169"/>
      </w:pPr>
      <w:r>
        <w:rPr>
          <w:rStyle w:val="cmr-81"/>
        </w:rPr>
        <w:t>[7]  </w:t>
      </w:r>
      <w:r>
        <w:rPr>
          <w:rStyle w:val="cmr-81"/>
        </w:rPr>
        <w:t> </w:t>
      </w:r>
      <w:r>
        <w:rPr>
          <w:rStyle w:val="cmr-81"/>
        </w:rPr>
        <w:t>Andy Rimmer</w:t>
      </w:r>
      <w:r>
        <w:rPr>
          <w:rStyle w:val="cmr-81"/>
        </w:rPr>
        <w:t>, Hang Phan, Iain Mathieson, Zamin Iqbal, Stephen R F. Twigg, W. G. S500 Consortium  , Andrew O M. Wilkie, Gil McVean,</w:t>
      </w:r>
      <w:r>
        <w:t xml:space="preserve"> </w:t>
      </w:r>
      <w:r>
        <w:rPr>
          <w:rStyle w:val="cmr-81"/>
        </w:rPr>
        <w:t>and Gerton Lunter. Integrating mapping-, assembly- and haplotype-based approaches for calling variants in clinical sequencing application</w:t>
      </w:r>
      <w:r>
        <w:rPr>
          <w:rStyle w:val="cmr-81"/>
        </w:rPr>
        <w:t xml:space="preserve">s. </w:t>
      </w:r>
      <w:r>
        <w:rPr>
          <w:rStyle w:val="cmti-81"/>
        </w:rPr>
        <w:t>Nat</w:t>
      </w:r>
      <w:r>
        <w:t xml:space="preserve"> </w:t>
      </w:r>
      <w:r>
        <w:rPr>
          <w:rStyle w:val="cmti-81"/>
        </w:rPr>
        <w:t>Genet</w:t>
      </w:r>
      <w:r>
        <w:rPr>
          <w:rStyle w:val="cmr-81"/>
        </w:rPr>
        <w:t>, 46(8):912–918, Aug 2014.</w:t>
      </w:r>
      <w:r>
        <w:t xml:space="preserve"> </w:t>
      </w:r>
    </w:p>
    <w:p w:rsidR="00E841EC" w:rsidRDefault="00E841EC">
      <w:pPr>
        <w:pStyle w:val="indent"/>
      </w:pPr>
      <w:r>
        <w:rPr>
          <w:rStyle w:val="cmr-81"/>
        </w:rPr>
        <w:t>”No Publishing”</w:t>
      </w:r>
      <w:r>
        <w:t xml:space="preserve"> </w:t>
      </w:r>
    </w:p>
    <w:sectPr w:rsidR="00E84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2607F"/>
    <w:rsid w:val="0022607F"/>
    <w:rsid w:val="00E8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E9E0F-FAB0-4E30-9D0F-42E902D5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7x-x-120">
    <w:name w:val="cmr-17x-x-120"/>
    <w:basedOn w:val="Normal"/>
    <w:pPr>
      <w:spacing w:before="100" w:beforeAutospacing="1" w:after="100" w:afterAutospacing="1"/>
    </w:pPr>
    <w:rPr>
      <w:sz w:val="41"/>
      <w:szCs w:val="41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cmr-10x-x-109">
    <w:name w:val="cmr-10x-x-109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cmbx-10x-x-109">
    <w:name w:val="cmbx-10x-x-109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cmr-8">
    <w:name w:val="cmr-8"/>
    <w:basedOn w:val="Normal"/>
    <w:pPr>
      <w:spacing w:before="100" w:beforeAutospacing="1" w:after="100" w:afterAutospacing="1"/>
    </w:pPr>
    <w:rPr>
      <w:sz w:val="16"/>
      <w:szCs w:val="16"/>
    </w:rPr>
  </w:style>
  <w:style w:type="paragraph" w:customStyle="1" w:styleId="cmmi-10x-x-109">
    <w:name w:val="cmmi-10x-x-109"/>
    <w:basedOn w:val="Normal"/>
    <w:pPr>
      <w:spacing w:before="100" w:beforeAutospacing="1" w:after="100" w:afterAutospacing="1"/>
    </w:pPr>
    <w:rPr>
      <w:i/>
      <w:iCs/>
      <w:sz w:val="22"/>
      <w:szCs w:val="22"/>
    </w:rPr>
  </w:style>
  <w:style w:type="paragraph" w:customStyle="1" w:styleId="cmsy-10x-x-109">
    <w:name w:val="cmsy-10x-x-109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cmti-10x-x-109">
    <w:name w:val="cmti-10x-x-109"/>
    <w:basedOn w:val="Normal"/>
    <w:pPr>
      <w:spacing w:before="100" w:beforeAutospacing="1" w:after="100" w:afterAutospacing="1"/>
    </w:pPr>
    <w:rPr>
      <w:i/>
      <w:iCs/>
      <w:sz w:val="22"/>
      <w:szCs w:val="22"/>
    </w:rPr>
  </w:style>
  <w:style w:type="paragraph" w:customStyle="1" w:styleId="cmbx-12">
    <w:name w:val="cmbx-1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ti-8">
    <w:name w:val="cmti-8"/>
    <w:basedOn w:val="Normal"/>
    <w:pPr>
      <w:spacing w:before="100" w:beforeAutospacing="1" w:after="100" w:afterAutospacing="1"/>
    </w:pPr>
    <w:rPr>
      <w:i/>
      <w:iCs/>
      <w:sz w:val="16"/>
      <w:szCs w:val="16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">
    <w:name w:val="quote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r-12x-x-1201">
    <w:name w:val="cmr-12x-x-1201"/>
    <w:basedOn w:val="DefaultParagraphFont"/>
    <w:rPr>
      <w:sz w:val="29"/>
      <w:szCs w:val="29"/>
    </w:rPr>
  </w:style>
  <w:style w:type="character" w:customStyle="1" w:styleId="cmr-10x-x-1091">
    <w:name w:val="cmr-10x-x-1091"/>
    <w:basedOn w:val="DefaultParagraphFont"/>
    <w:rPr>
      <w:sz w:val="22"/>
      <w:szCs w:val="22"/>
    </w:rPr>
  </w:style>
  <w:style w:type="paragraph" w:customStyle="1" w:styleId="noindent2">
    <w:name w:val="noindent2"/>
    <w:basedOn w:val="Normal"/>
    <w:pPr>
      <w:spacing w:before="100" w:beforeAutospacing="1" w:after="100" w:afterAutospacing="1"/>
      <w:ind w:left="595" w:right="595"/>
    </w:pPr>
  </w:style>
  <w:style w:type="character" w:customStyle="1" w:styleId="cmbx-10x-x-1091">
    <w:name w:val="cmbx-10x-x-1091"/>
    <w:basedOn w:val="DefaultParagraphFont"/>
    <w:rPr>
      <w:b/>
      <w:bCs/>
      <w:sz w:val="22"/>
      <w:szCs w:val="22"/>
    </w:rPr>
  </w:style>
  <w:style w:type="paragraph" w:customStyle="1" w:styleId="indent2">
    <w:name w:val="indent2"/>
    <w:basedOn w:val="Normal"/>
    <w:pPr>
      <w:spacing w:before="100" w:beforeAutospacing="1" w:after="100" w:afterAutospacing="1"/>
      <w:ind w:left="595" w:right="595" w:firstLine="360"/>
    </w:pPr>
  </w:style>
  <w:style w:type="character" w:customStyle="1" w:styleId="cite">
    <w:name w:val="cite"/>
    <w:basedOn w:val="DefaultParagraphFont"/>
  </w:style>
  <w:style w:type="character" w:customStyle="1" w:styleId="cmsy-10x-x-1091">
    <w:name w:val="cmsy-10x-x-1091"/>
    <w:basedOn w:val="DefaultParagraphFont"/>
    <w:rPr>
      <w:sz w:val="22"/>
      <w:szCs w:val="22"/>
    </w:rPr>
  </w:style>
  <w:style w:type="character" w:customStyle="1" w:styleId="cmmi-10x-x-1091">
    <w:name w:val="cmmi-10x-x-1091"/>
    <w:basedOn w:val="DefaultParagraphFont"/>
    <w:rPr>
      <w:i/>
      <w:iCs/>
      <w:sz w:val="22"/>
      <w:szCs w:val="22"/>
    </w:rPr>
  </w:style>
  <w:style w:type="character" w:customStyle="1" w:styleId="cmti-10x-x-1091">
    <w:name w:val="cmti-10x-x-1091"/>
    <w:basedOn w:val="DefaultParagraphFont"/>
    <w:rPr>
      <w:i/>
      <w:iCs/>
      <w:sz w:val="22"/>
      <w:szCs w:val="22"/>
    </w:rPr>
  </w:style>
  <w:style w:type="character" w:customStyle="1" w:styleId="cmbx-121">
    <w:name w:val="cmbx-121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r-81">
    <w:name w:val="cmr-81"/>
    <w:basedOn w:val="DefaultParagraphFont"/>
    <w:rPr>
      <w:sz w:val="16"/>
      <w:szCs w:val="16"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cmti-81">
    <w:name w:val="cmti-81"/>
    <w:basedOn w:val="DefaultParagraphFont"/>
    <w:rPr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9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7761"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667"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Genomic Repeats and Reproducibility</vt:lpstr>
    </vt:vector>
  </TitlesOfParts>
  <Company>Bilkent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Genomic Repeats and Reproducibility</dc:title>
  <dc:subject/>
  <dc:creator>Kubra Sahin</dc:creator>
  <cp:keywords/>
  <dc:description/>
  <cp:lastModifiedBy>Kubra Sahin</cp:lastModifiedBy>
  <cp:revision>2</cp:revision>
  <dcterms:created xsi:type="dcterms:W3CDTF">2015-08-30T15:14:00Z</dcterms:created>
  <dcterms:modified xsi:type="dcterms:W3CDTF">2015-08-30T15:14:00Z</dcterms:modified>
</cp:coreProperties>
</file>