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Basic Financial Coaching for a Confident Retirement</w:t>
      </w:r>
    </w:p>
    <w:p>
      <w:pPr>
        <w:spacing w:after="160"/>
      </w:pPr>
      <w:r>
        <w:t xml:space="preserve">Retirement brings freedom—but also new responsibilities: managing withdrawals so your money lasts, navigating healthcare costs, and making tax-smart decisions. Our basic financial coaching program empowers you with knowledge and practical tools, always in coordination with your trusted financial professionals.</w:t>
      </w:r>
    </w:p>
    <w:p>
      <w:r>
        <w:rPr>
          <w:b/>
          <w:bCs/>
          <w:color w:val="c53030"/>
        </w:rPr>
        <w:t xml:space="preserve">Important: </w:t>
      </w:r>
      <w:r>
        <w:t xml:space="preserve">We are not investment advisors. Our coaching focuses on education, goal-setting, budgeting frameworks, and understanding how legal/estate decisions impact your finances. We refer complex investment or product questions to your CFP®, CPA, or other qualified advisors.</w:t>
      </w:r>
    </w:p>
    <w:p>
      <w:pPr>
        <w:pStyle w:val="Heading2"/>
      </w:pPr>
      <w:r>
        <w:t xml:space="preserve">What Our Coaching Covers</w:t>
      </w:r>
    </w:p>
    <w:p>
      <w:pPr>
        <w:pStyle w:val="Heading3"/>
      </w:pPr>
      <w:r>
        <w:t xml:space="preserve">Sustainable Income Planning</w:t>
      </w:r>
    </w:p>
    <w:p>
      <w:pPr>
        <w:pStyle w:val="ListParagraph"/>
        <w:numPr>
          <w:ilvl w:val="0"/>
          <w:numId w:val="2"/>
        </w:numPr>
      </w:pPr>
      <w:r>
        <w:t xml:space="preserve">The “bucket strategy”: short-term cash, intermediate bonds, long-term growth—matched to your risk tolerance and time horizon</w:t>
      </w:r>
    </w:p>
    <w:p>
      <w:pPr>
        <w:pStyle w:val="ListParagraph"/>
        <w:numPr>
          <w:ilvl w:val="0"/>
          <w:numId w:val="2"/>
        </w:numPr>
      </w:pPr>
      <w:r>
        <w:t xml:space="preserve">Understanding sequence-of-returns risk and guardrails for withdrawals (e.g., 4% rule variations)</w:t>
      </w:r>
    </w:p>
    <w:p>
      <w:pPr>
        <w:pStyle w:val="ListParagraph"/>
        <w:numPr>
          <w:ilvl w:val="0"/>
          <w:numId w:val="2"/>
        </w:numPr>
      </w:pPr>
      <w:r>
        <w:t xml:space="preserve">Coordinating Social Security, pensions, and portfolio draws to minimize taxes and maximize longevity</w:t>
      </w:r>
    </w:p>
    <w:p>
      <w:pPr>
        <w:pStyle w:val="Heading3"/>
      </w:pPr>
      <w:r>
        <w:t xml:space="preserve">Healthcare &amp; Longevity Costs</w:t>
      </w:r>
    </w:p>
    <w:p>
      <w:pPr>
        <w:pStyle w:val="ListParagraph"/>
        <w:numPr>
          <w:ilvl w:val="0"/>
          <w:numId w:val="2"/>
        </w:numPr>
      </w:pPr>
      <w:r>
        <w:t xml:space="preserve">Medicare vs. Medigap vs. Medicare Advantage—how to choose and budget for premiums, deductibles, and out-of-pocket maximums</w:t>
      </w:r>
    </w:p>
    <w:p>
      <w:pPr>
        <w:pStyle w:val="ListParagraph"/>
        <w:numPr>
          <w:ilvl w:val="0"/>
          <w:numId w:val="2"/>
        </w:numPr>
      </w:pPr>
      <w:r>
        <w:t xml:space="preserve">Long-term care planning: insurance vs. self-funding vs. hybrid policies vs. Medicaid asset protection trusts (legal coordination)</w:t>
      </w:r>
    </w:p>
    <w:p>
      <w:pPr>
        <w:pStyle w:val="ListParagraph"/>
        <w:numPr>
          <w:ilvl w:val="0"/>
          <w:numId w:val="2"/>
        </w:numPr>
      </w:pPr>
      <w:r>
        <w:t xml:space="preserve">Inflation protection: How rising healthcare and living costs affect your plan over 20–30+ years</w:t>
      </w:r>
    </w:p>
    <w:p>
      <w:pPr>
        <w:pStyle w:val="Heading3"/>
      </w:pPr>
      <w:r>
        <w:t xml:space="preserve">Tax-Efficient &amp; Behavioral Coaching</w:t>
      </w:r>
    </w:p>
    <w:p>
      <w:pPr>
        <w:pStyle w:val="ListParagraph"/>
        <w:numPr>
          <w:ilvl w:val="0"/>
          <w:numId w:val="2"/>
        </w:numPr>
      </w:pPr>
      <w:r>
        <w:t xml:space="preserve">RMD strategies, QCDs (Qualified Charitable Distributions), Roth conversions, and tax-bracket management</w:t>
      </w:r>
    </w:p>
    <w:p>
      <w:pPr>
        <w:pStyle w:val="ListParagraph"/>
        <w:numPr>
          <w:ilvl w:val="0"/>
          <w:numId w:val="2"/>
        </w:numPr>
      </w:pPr>
      <w:r>
        <w:t xml:space="preserve">Debt payoff in retirement (mortgage, credit cards, reverse mortgages pros/cons)</w:t>
      </w:r>
    </w:p>
    <w:p>
      <w:pPr>
        <w:pStyle w:val="ListParagraph"/>
        <w:numPr>
          <w:ilvl w:val="0"/>
          <w:numId w:val="2"/>
        </w:numPr>
      </w:pPr>
      <w:r>
        <w:t xml:space="preserve">Behavioral finance: Avoiding common pitfalls like panic selling, lifestyle creep, or gifting that jeopardizes your plan</w:t>
      </w:r>
    </w:p>
    <w:p>
      <w:pPr>
        <w:pStyle w:val="Heading2"/>
      </w:pPr>
      <w:r>
        <w:t xml:space="preserve">How Coaching Works</w:t>
      </w:r>
    </w:p>
    <w:p>
      <w:pPr>
        <w:pStyle w:val="ListParagraph"/>
        <w:numPr>
          <w:ilvl w:val="0"/>
          <w:numId w:val="3"/>
        </w:numPr>
      </w:pPr>
      <w:r>
        <w:rPr>
          <w:b/>
          <w:bCs/>
        </w:rPr>
        <w:t xml:space="preserve">Complimentary Discovery Call: </w:t>
      </w:r>
      <w:r>
        <w:t xml:space="preserve">30 minutes to assess your current situation, goals, and concerns.</w:t>
      </w:r>
    </w:p>
    <w:p>
      <w:pPr>
        <w:pStyle w:val="ListParagraph"/>
        <w:numPr>
          <w:ilvl w:val="0"/>
          <w:numId w:val="3"/>
        </w:numPr>
      </w:pPr>
      <w:r>
        <w:rPr>
          <w:b/>
          <w:bCs/>
        </w:rPr>
        <w:t xml:space="preserve">Personalized Action Plan: </w:t>
      </w:r>
      <w:r>
        <w:t xml:space="preserve">A written roadmap (3–6 months) with specific educational topics, budgeting templates, and questions to ask your financial team.</w:t>
      </w:r>
    </w:p>
    <w:p>
      <w:pPr>
        <w:pStyle w:val="ListParagraph"/>
        <w:numPr>
          <w:ilvl w:val="0"/>
          <w:numId w:val="3"/>
        </w:numPr>
      </w:pPr>
      <w:r>
        <w:rPr>
          <w:b/>
          <w:bCs/>
        </w:rPr>
        <w:t xml:space="preserve">1:1 Sessions or Group Workshops: </w:t>
      </w:r>
      <w:r>
        <w:t xml:space="preserve">Flexible format—virtual or in-person. Many clients prefer 4–6 focused sessions.</w:t>
      </w:r>
    </w:p>
    <w:p>
      <w:pPr>
        <w:pStyle w:val="ListParagraph"/>
        <w:numPr>
          <w:ilvl w:val="0"/>
          <w:numId w:val="3"/>
        </w:numPr>
      </w:pPr>
      <w:r>
        <w:rPr>
          <w:b/>
          <w:bCs/>
        </w:rPr>
        <w:t xml:space="preserve">Ongoing Check-Ins: </w:t>
      </w:r>
      <w:r>
        <w:t xml:space="preserve">Quarterly “tune-ups” to adjust as life (and markets) change. Included with many estate planning packages.</w:t>
      </w:r>
    </w:p>
    <w:p>
      <w:pPr>
        <w:pStyle w:val="Heading2"/>
      </w:pPr>
      <w:r>
        <w:t xml:space="preserve">What Clients Say</w:t>
      </w:r>
    </w:p>
    <w:p>
      <w:pPr>
        <w:spacing w:after="160" w:before="160"/>
        <w:ind w:left="360"/>
      </w:pPr>
      <w:r>
        <w:rPr>
          <w:i/>
          <w:iCs/>
        </w:rPr>
        <w:t xml:space="preserve">"The coaching sessions demystified RMDs and showed me how to use QCDs to support my church while lowering my tax bill. I feel in control for the first time in years."</w:t>
      </w:r>
      <w:r>
        <w:rPr>
          <w:b/>
          <w:bCs/>
          <w:sz w:val="20"/>
          <w:szCs w:val="20"/>
        </w:rPr>
        <w:t xml:space="preserve"> — Dr. Harold P., Retired Physician, Age 71, Denver, CO</w:t>
      </w:r>
    </w:p>
    <w:p>
      <w:pPr>
        <w:spacing w:after="160" w:before="160"/>
        <w:ind w:left="360"/>
      </w:pPr>
      <w:r>
        <w:rPr>
          <w:i/>
          <w:iCs/>
        </w:rPr>
        <w:t xml:space="preserve">"Calvin’s team helped my wife and me create a simple monthly budget that accounts for travel, grandkids, and healthcare. We’re spending with confidence instead of worry."</w:t>
      </w:r>
      <w:r>
        <w:rPr>
          <w:b/>
          <w:bCs/>
          <w:sz w:val="20"/>
          <w:szCs w:val="20"/>
        </w:rPr>
        <w:t xml:space="preserve"> — Tom &amp; Susan R., Age 69 &amp; 67, Austin, TX</w:t>
      </w:r>
    </w:p>
    <w:p>
      <w:pPr>
        <w:shd w:fill="ebf8ff" w:val="clear"/>
        <w:spacing w:after="200" w:before="300"/>
        <w:jc w:val="center"/>
      </w:pPr>
      <w:r>
        <w:rPr>
          <w:b/>
          <w:bCs/>
          <w:color w:val="2b6cb0"/>
          <w:sz w:val="22"/>
          <w:szCs w:val="22"/>
        </w:rPr>
        <w:t xml:space="preserve">📞 Book Your Free Financial Wellness Discovery Call | Call (555) 123-4567 or visit our Contact page</w:t>
      </w:r>
    </w:p>
    <w:p>
      <w:pPr>
        <w:shd w:fill="f7fafc" w:val="clear"/>
        <w:spacing w:before="300"/>
      </w:pPr>
      <w:r>
        <w:rPr>
          <w:i/>
          <w:iCs/>
          <w:color w:val="4a5568"/>
          <w:sz w:val="18"/>
          <w:szCs w:val="18"/>
        </w:rPr>
        <w:t>IMPORTANT DISCLAIMER: This content is provided for general informational and educational purposes only and does not constitute legal, financial, tax, or investment advice. Sherwood Legacy Planning and Attorney Calvin Knickerbocker are not registered investment advisors or financial planners. Social Security information is general in nature; personalized claiming decisions should be made in consultation with the Social Security Administration, a qualified financial advisor, and your attorney. We strongly recommend a personalized consultation to discuss your unique circumstances. Past results do not guarantee future outcomes. Always verify current laws and rules with official sources.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18096"/>
        <w:sz w:val="18"/>
        <w:szCs w:val="18"/>
      </w:rPr>
      <w:t xml:space="preserve">Confidential – For Educational Purposes Only | Page </w:t>
    </w:r>
    <w:r>
      <w:rPr>
        <w:color w:val="718096"/>
        <w:sz w:val="18"/>
        <w:szCs w:val="18"/>
      </w:rPr>
      <w:fldChar w:fldCharType="begin"/>
      <w:instrText xml:space="preserve">PAGE</w:instrText>
      <w:fldChar w:fldCharType="separate"/>
      <w:fldChar w:fldCharType="end"/>
    </w:r>
    <w:r>
      <w:rPr>
        <w:color w:val="718096"/>
        <w:sz w:val="18"/>
        <w:szCs w:val="18"/>
      </w:rPr>
      <w:t xml:space="preserve"> | www.horizonlegacylaw.com (placeholder)</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718096"/>
        <w:sz w:val="18"/>
        <w:szCs w:val="18"/>
      </w:rPr>
      <w:t xml:space="preserve">Horizon Legacy Law | Senior Retirement &amp; Estate Planning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365d"/>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c5282"/>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d3748"/>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2026-04-19T21:51:34.258Z</dcterms:created>
  <dcterms:modified xsi:type="dcterms:W3CDTF">2026-04-19T21:51:34.258Z</dcterms:modified>
</cp:coreProperties>
</file>

<file path=docProps/custom.xml><?xml version="1.0" encoding="utf-8"?>
<Properties xmlns="http://schemas.openxmlformats.org/officeDocument/2006/custom-properties" xmlns:vt="http://schemas.openxmlformats.org/officeDocument/2006/docPropsVTypes"/>
</file>