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rFonts w:hint="eastAsia"/>
          <w:b/>
          <w:sz w:val="28"/>
        </w:rPr>
      </w:pPr>
      <w:r w:rsidRPr="00574E72">
        <w:rPr>
          <w:rFonts w:hint="eastAsia"/>
          <w:b/>
          <w:sz w:val="28"/>
        </w:rPr>
        <w:t>2019.7.16</w:t>
      </w:r>
      <w:r w:rsidRPr="00574E72">
        <w:rPr>
          <w:rFonts w:hint="eastAsia"/>
          <w:b/>
          <w:sz w:val="28"/>
        </w:rPr>
        <w:t>每日一练：</w:t>
      </w:r>
    </w:p>
    <w:p w:rsidR="00CD6513" w:rsidRDefault="00CD6513" w:rsidP="003C6EB7">
      <w:pPr>
        <w:rPr>
          <w:rFonts w:hint="eastAsia"/>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rFonts w:hint="eastAsia"/>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3AA" w:rsidRDefault="004443AA" w:rsidP="00B74235">
      <w:r>
        <w:separator/>
      </w:r>
    </w:p>
  </w:endnote>
  <w:endnote w:type="continuationSeparator" w:id="0">
    <w:p w:rsidR="004443AA" w:rsidRDefault="004443AA"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3AA" w:rsidRDefault="004443AA" w:rsidP="00B74235">
      <w:r>
        <w:separator/>
      </w:r>
    </w:p>
  </w:footnote>
  <w:footnote w:type="continuationSeparator" w:id="0">
    <w:p w:rsidR="004443AA" w:rsidRDefault="004443AA"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0807"/>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E3372"/>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43AA"/>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916"/>
    <w:rsid w:val="00574E72"/>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58"/>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5135"/>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90D27"/>
    <w:rsid w:val="00A94700"/>
    <w:rsid w:val="00A94817"/>
    <w:rsid w:val="00A9689E"/>
    <w:rsid w:val="00A972DF"/>
    <w:rsid w:val="00A97DC1"/>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ADEC2-132C-484A-A573-0590C7F9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56</Pages>
  <Words>3005</Words>
  <Characters>17134</Characters>
  <Application>Microsoft Office Word</Application>
  <DocSecurity>0</DocSecurity>
  <Lines>142</Lines>
  <Paragraphs>40</Paragraphs>
  <ScaleCrop>false</ScaleCrop>
  <Company/>
  <LinksUpToDate>false</LinksUpToDate>
  <CharactersWithSpaces>20099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905</cp:revision>
  <dcterms:created xsi:type="dcterms:W3CDTF">2018-07-02T13:14:00Z</dcterms:created>
  <dcterms:modified xsi:type="dcterms:W3CDTF">2019-07-16T14:31:00Z</dcterms:modified>
</cp:coreProperties>
</file>