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pPr>
        <w:rPr>
          <w:rFonts w:hint="eastAsia"/>
        </w:rPr>
      </w:pPr>
      <w:r>
        <w:t>D 25%</w:t>
      </w:r>
    </w:p>
    <w:p w:rsidR="007454E0" w:rsidRDefault="007454E0" w:rsidP="007454E0">
      <w:pPr>
        <w:rPr>
          <w:rFonts w:hint="eastAsia"/>
        </w:rPr>
      </w:pPr>
    </w:p>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pPr>
        <w:rPr>
          <w:rFonts w:hint="eastAsia"/>
        </w:rPr>
      </w:pPr>
      <w:r>
        <w:t>D 奠基仪式</w:t>
      </w:r>
    </w:p>
    <w:p w:rsidR="007454E0" w:rsidRDefault="007454E0" w:rsidP="007454E0">
      <w:pPr>
        <w:rPr>
          <w:rFonts w:hint="eastAsia"/>
        </w:rPr>
      </w:pPr>
    </w:p>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pPr>
        <w:rPr>
          <w:rFonts w:hint="eastAsia"/>
        </w:rPr>
      </w:pPr>
      <w:r>
        <w:t>D 中国能源建设集团</w:t>
      </w:r>
    </w:p>
    <w:p w:rsidR="007454E0" w:rsidRDefault="007454E0" w:rsidP="007454E0">
      <w:pPr>
        <w:rPr>
          <w:rFonts w:hint="eastAsia"/>
        </w:rPr>
      </w:pPr>
    </w:p>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4E1" w:rsidRDefault="00D164E1" w:rsidP="002471E4">
      <w:r>
        <w:separator/>
      </w:r>
    </w:p>
  </w:endnote>
  <w:endnote w:type="continuationSeparator" w:id="0">
    <w:p w:rsidR="00D164E1" w:rsidRDefault="00D164E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4E1" w:rsidRDefault="00D164E1" w:rsidP="002471E4">
      <w:r>
        <w:separator/>
      </w:r>
    </w:p>
  </w:footnote>
  <w:footnote w:type="continuationSeparator" w:id="0">
    <w:p w:rsidR="00D164E1" w:rsidRDefault="00D164E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399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16429</TotalTime>
  <Pages>279</Pages>
  <Words>22882</Words>
  <Characters>130429</Characters>
  <Application>Microsoft Office Word</Application>
  <DocSecurity>0</DocSecurity>
  <Lines>1086</Lines>
  <Paragraphs>306</Paragraphs>
  <ScaleCrop>false</ScaleCrop>
  <Company/>
  <LinksUpToDate>false</LinksUpToDate>
  <CharactersWithSpaces>153005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1448</cp:revision>
  <dcterms:created xsi:type="dcterms:W3CDTF">2018-05-18T00:52:00Z</dcterms:created>
  <dcterms:modified xsi:type="dcterms:W3CDTF">2019-08-26T12:29:00Z</dcterms:modified>
</cp:coreProperties>
</file>