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pPr>
        <w:rPr>
          <w:rFonts w:hint="eastAsia"/>
        </w:rPr>
      </w:pPr>
      <w:r>
        <w:t>D《中国慈善联合公约》</w:t>
      </w:r>
    </w:p>
    <w:p w:rsidR="00C3513F" w:rsidRDefault="00C3513F" w:rsidP="00C3513F">
      <w:pPr>
        <w:rPr>
          <w:rFonts w:hint="eastAsia"/>
        </w:rPr>
      </w:pPr>
    </w:p>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rFonts w:hint="eastAsia"/>
          <w:b/>
          <w:color w:val="FF0000"/>
          <w:sz w:val="28"/>
        </w:rPr>
      </w:pPr>
      <w:r w:rsidRPr="00AE5148">
        <w:rPr>
          <w:b/>
          <w:color w:val="FF0000"/>
          <w:sz w:val="28"/>
        </w:rPr>
        <w:t>D①②③④</w:t>
      </w:r>
    </w:p>
    <w:p w:rsidR="00C3513F" w:rsidRDefault="00C3513F" w:rsidP="00C3513F">
      <w:pPr>
        <w:rPr>
          <w:rFonts w:hint="eastAsia"/>
        </w:rPr>
      </w:pPr>
    </w:p>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pPr>
        <w:rPr>
          <w:rFonts w:hint="eastAsia"/>
        </w:rPr>
      </w:pPr>
      <w:r>
        <w:t>D 2050年</w:t>
      </w:r>
    </w:p>
    <w:p w:rsidR="00F93727" w:rsidRDefault="00F93727" w:rsidP="00F93727">
      <w:pPr>
        <w:rPr>
          <w:rFonts w:hint="eastAsia"/>
        </w:rPr>
      </w:pPr>
    </w:p>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rFonts w:hint="eastAsia"/>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pPr>
        <w:rPr>
          <w:rFonts w:hint="eastAsia"/>
        </w:rPr>
      </w:pPr>
      <w:r>
        <w:t>D都察院</w:t>
      </w:r>
    </w:p>
    <w:p w:rsidR="00F93727" w:rsidRDefault="00F93727" w:rsidP="00F93727">
      <w:pPr>
        <w:rPr>
          <w:rFonts w:hint="eastAsia"/>
        </w:rPr>
      </w:pPr>
    </w:p>
    <w:p w:rsidR="00F93727" w:rsidRDefault="00F93727" w:rsidP="00F93727"/>
    <w:p w:rsidR="00005250" w:rsidRDefault="00005250" w:rsidP="00A71034"/>
    <w:p w:rsidR="00005250" w:rsidRDefault="00005250" w:rsidP="00A71034"/>
    <w:p w:rsidR="00005250" w:rsidRDefault="00005250"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35A" w:rsidRDefault="0035335A" w:rsidP="002471E4">
      <w:r>
        <w:separator/>
      </w:r>
    </w:p>
  </w:endnote>
  <w:endnote w:type="continuationSeparator" w:id="1">
    <w:p w:rsidR="0035335A" w:rsidRDefault="0035335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35A" w:rsidRDefault="0035335A" w:rsidP="002471E4">
      <w:r>
        <w:separator/>
      </w:r>
    </w:p>
  </w:footnote>
  <w:footnote w:type="continuationSeparator" w:id="1">
    <w:p w:rsidR="0035335A" w:rsidRDefault="0035335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1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182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15906</TotalTime>
  <Pages>384</Pages>
  <Words>17648</Words>
  <Characters>100600</Characters>
  <Application>Microsoft Office Word</Application>
  <DocSecurity>0</DocSecurity>
  <Lines>838</Lines>
  <Paragraphs>236</Paragraphs>
  <ScaleCrop>false</ScaleCrop>
  <Company/>
  <LinksUpToDate>false</LinksUpToDate>
  <CharactersWithSpaces>118012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1281</cp:revision>
  <dcterms:created xsi:type="dcterms:W3CDTF">2018-05-18T00:52:00Z</dcterms:created>
  <dcterms:modified xsi:type="dcterms:W3CDTF">2019-05-13T09:01:00Z</dcterms:modified>
</cp:coreProperties>
</file>