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pPr>
        <w:rPr>
          <w:rFonts w:hint="eastAsia"/>
        </w:rPr>
      </w:pPr>
      <w:r>
        <w:t>D.世界银行</w:t>
      </w:r>
    </w:p>
    <w:p w:rsidR="00A90B9B" w:rsidRDefault="00A90B9B" w:rsidP="00A90B9B">
      <w:pPr>
        <w:rPr>
          <w:rFonts w:hint="eastAsia"/>
        </w:rPr>
      </w:pPr>
    </w:p>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pPr>
        <w:rPr>
          <w:rFonts w:hint="eastAsia"/>
        </w:rPr>
      </w:pPr>
      <w:r>
        <w:t>D.标准化、法治化、国际化</w:t>
      </w:r>
    </w:p>
    <w:p w:rsidR="00A90B9B" w:rsidRDefault="00A90B9B" w:rsidP="00A90B9B">
      <w:pPr>
        <w:rPr>
          <w:rFonts w:hint="eastAsia"/>
        </w:rPr>
      </w:pPr>
    </w:p>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pPr>
        <w:rPr>
          <w:rFonts w:hint="eastAsia"/>
        </w:rPr>
      </w:pPr>
      <w:r>
        <w:t>D.实践逻辑</w:t>
      </w:r>
    </w:p>
    <w:p w:rsidR="00A90B9B" w:rsidRDefault="00A90B9B" w:rsidP="00A90B9B">
      <w:pPr>
        <w:rPr>
          <w:rFonts w:hint="eastAsia"/>
        </w:rPr>
      </w:pPr>
    </w:p>
    <w:p w:rsidR="00A90B9B" w:rsidRDefault="00A90B9B" w:rsidP="00A90B9B">
      <w:pPr>
        <w:rPr>
          <w:rFonts w:hint="eastAsia"/>
        </w:rPr>
      </w:pPr>
    </w:p>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rFonts w:hint="eastAsia"/>
          <w:b/>
          <w:color w:val="FF0000"/>
          <w:sz w:val="28"/>
        </w:rPr>
      </w:pPr>
      <w:r w:rsidRPr="00A90B9B">
        <w:rPr>
          <w:b/>
          <w:color w:val="FF0000"/>
          <w:sz w:val="28"/>
        </w:rPr>
        <w:t>D.国家石油天然气管网集团有限公司</w:t>
      </w:r>
    </w:p>
    <w:p w:rsidR="00A90B9B" w:rsidRDefault="00A90B9B" w:rsidP="00A90B9B">
      <w:pPr>
        <w:rPr>
          <w:rFonts w:hint="eastAsia"/>
        </w:rPr>
      </w:pPr>
    </w:p>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80C" w:rsidRDefault="00A7480C" w:rsidP="002471E4">
      <w:r>
        <w:separator/>
      </w:r>
    </w:p>
  </w:endnote>
  <w:endnote w:type="continuationSeparator" w:id="0">
    <w:p w:rsidR="00A7480C" w:rsidRDefault="00A7480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80C" w:rsidRDefault="00A7480C" w:rsidP="002471E4">
      <w:r>
        <w:separator/>
      </w:r>
    </w:p>
  </w:footnote>
  <w:footnote w:type="continuationSeparator" w:id="0">
    <w:p w:rsidR="00A7480C" w:rsidRDefault="00A7480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720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57F9-7511-4AF5-B953-7DA23C05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16698</TotalTime>
  <Pages>327</Pages>
  <Words>27081</Words>
  <Characters>154364</Characters>
  <Application>Microsoft Office Word</Application>
  <DocSecurity>0</DocSecurity>
  <Lines>1286</Lines>
  <Paragraphs>362</Paragraphs>
  <ScaleCrop>false</ScaleCrop>
  <Company/>
  <LinksUpToDate>false</LinksUpToDate>
  <CharactersWithSpaces>181083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1531</cp:revision>
  <dcterms:created xsi:type="dcterms:W3CDTF">2018-05-18T00:52:00Z</dcterms:created>
  <dcterms:modified xsi:type="dcterms:W3CDTF">2019-12-10T14:08:00Z</dcterms:modified>
</cp:coreProperties>
</file>