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0"/>
          <w:szCs w:val="20"/>
          <w:rtl w:val="0"/>
        </w:rPr>
        <w:t xml:space="preserve">Согласие на обработку персональных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Google Sans" w:cs="Google Sans" w:eastAsia="Google Sans" w:hAnsi="Google Sans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Редакция от 5 сентября 2026 года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Google Sans" w:cs="Google Sans" w:eastAsia="Google Sans" w:hAnsi="Google Sans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0" w:before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Я </w:t>
      </w: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(далее — «Субъект персональных данных»), являясь дееспособным лицом, свободно, своей волей и в своем интересе, на основании Федерального закона Российской Федерации от 27 июля 2006 г. № 152-ФЗ «О персональных данных» даю свое согласие </w:t>
      </w:r>
      <w:r w:rsidDel="00000000" w:rsidR="00000000" w:rsidRPr="00000000">
        <w:rPr>
          <w:rFonts w:ascii="Google Sans" w:cs="Google Sans" w:eastAsia="Google Sans" w:hAnsi="Google Sans"/>
          <w:color w:val="ff0000"/>
          <w:sz w:val="20"/>
          <w:szCs w:val="20"/>
          <w:rtl w:val="0"/>
        </w:rPr>
        <w:t xml:space="preserve">Ануфриенко Е.К., ИНН: —, ОГРНИП: — </w:t>
      </w: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(далее — «Оператор») на обработку своих персональных данных иной категории, не относящихся к специальной категории персональных данных или биометрическим персональным данным, на сайте Оператора, его поддоменах, а именно: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0" w:before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Google Sans" w:cs="Google Sans" w:eastAsia="Google Sans" w:hAnsi="Google Sans"/>
          <w:b w:val="1"/>
          <w:bCs w:val="1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0"/>
          <w:szCs w:val="20"/>
          <w:rtl w:val="0"/>
        </w:rPr>
        <w:t xml:space="preserve">Перечень персональных данных иной категории, возможных к обработке Оператором: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Google Sans" w:cs="Google Sans" w:eastAsia="Google Sans" w:hAnsi="Google Sans"/>
          <w:sz w:val="20"/>
          <w:szCs w:val="20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Фамилия, имя.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Google Sans" w:cs="Google Sans" w:eastAsia="Google Sans" w:hAnsi="Google Sans"/>
          <w:sz w:val="20"/>
          <w:szCs w:val="20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Номер телефона.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Google Sans" w:cs="Google Sans" w:eastAsia="Google Sans" w:hAnsi="Google Sans"/>
          <w:sz w:val="20"/>
          <w:szCs w:val="20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Изображение.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Google Sans" w:cs="Google Sans" w:eastAsia="Google Sans" w:hAnsi="Google Sans"/>
          <w:sz w:val="20"/>
          <w:szCs w:val="20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Адрес электронной почты (e-mail).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Google Sans" w:cs="Google Sans" w:eastAsia="Google Sans" w:hAnsi="Google Sans"/>
          <w:sz w:val="20"/>
          <w:szCs w:val="20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Сведения, собираемые посредством метрических программ.</w:t>
      </w:r>
    </w:p>
    <w:p w:rsidR="00000000" w:rsidDel="00000000" w:rsidP="00000000" w:rsidRDefault="00000000" w:rsidRPr="00000000" w14:paraId="0000000C">
      <w:pPr>
        <w:widowControl w:val="1"/>
        <w:spacing w:after="0" w:before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0"/>
          <w:szCs w:val="20"/>
          <w:rtl w:val="0"/>
        </w:rPr>
        <w:t xml:space="preserve">В целях</w:t>
      </w: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 осуществления обратной связи с субъектом персональных данных, включая обработку поступающих от него сообщений, обращений и жалоб, публикации и использования отзывов субъекта персональных данных в целях информирования других пользователей о товарах, анализа поведения субъектов персональных данных с использованием файлов cookie, в том числе для статистических, маркетинговых целей и улучшения пользовательского опыта при использовании информационных ресурсов Оператора.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0"/>
          <w:szCs w:val="20"/>
          <w:rtl w:val="0"/>
        </w:rPr>
        <w:t xml:space="preserve">В ходе обработки с персональными данными могут быть совершены следующие действия:</w:t>
      </w: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 сбор; запись; систематизация; накопление; хранение; уточнение (обновление, изменение); извлечение; использование; передача лицам, указанным ниже; распространение; блокирование; удаление; уничтожение, осуществляемые с использованием средств автоматизации или без использования таких средств.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Оператор вправе передавать персональные данные третьим лицам либо поручать обработку персональных данных третьим лицам, если это будет необходимо для достижения цели их обработки в соответствии с Политикой конфиденциальности, а также в случаях, предусмотренных действующим законодательством Российской Федерации о персональных данных. В частности, третьи лица, которым могут передаваться персональные данные для указанной в Согласии цели:</w:t>
      </w:r>
    </w:p>
    <w:tbl>
      <w:tblPr>
        <w:tblStyle w:val="Table1"/>
        <w:tblW w:w="964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rHeight w:val="151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Цель обработки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Третьи лица, их местоположение и ссылка на политику конфиденциальности / веб-сайт, если это применимо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Цель передачи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Исполнение договора на условиях публичной оферты, размещенной на сайте Оператора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АО «Селектел»</w:t>
            </w:r>
          </w:p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ИНН: 7810962785</w:t>
            </w:r>
          </w:p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rPr>
                <w:rFonts w:ascii="Google Sans" w:cs="Google Sans" w:eastAsia="Google Sans" w:hAnsi="Google Sans"/>
                <w:color w:val="ff8562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Google Sans" w:cs="Google Sans" w:eastAsia="Google Sans" w:hAnsi="Google Sans"/>
                  <w:color w:val="ff8562"/>
                  <w:sz w:val="20"/>
                  <w:szCs w:val="20"/>
                  <w:rtl w:val="0"/>
                </w:rPr>
                <w:t xml:space="preserve">https://files.selectel.ru/docs/ru/personal-data-processing-and-protection-policy.pdf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Регистрация на платформе GetCorurse и исполнение договора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Сбор веб-аналитики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ООО «Яндекс» (Россия)</w:t>
            </w:r>
          </w:p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ИНН: 7736207543</w:t>
            </w:r>
          </w:p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rPr>
                <w:rFonts w:ascii="Google Sans" w:cs="Google Sans" w:eastAsia="Google Sans" w:hAnsi="Google Sans"/>
                <w:color w:val="ff8562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Google Sans" w:cs="Google Sans" w:eastAsia="Google Sans" w:hAnsi="Google Sans"/>
                  <w:color w:val="ff8562"/>
                  <w:sz w:val="20"/>
                  <w:szCs w:val="20"/>
                  <w:rtl w:val="0"/>
                </w:rPr>
                <w:t xml:space="preserve">https://yandex.ru/legal/confidential/ru/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Провайдер услуг веб-аналитики (Яндекс Метрика)</w:t>
            </w:r>
          </w:p>
        </w:tc>
      </w:tr>
    </w:tbl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Настоящее Согласие действует с момента его подписания путем проставления галочки в чек-боксе на сайте и до окончания целей обработки персональных данных, отзыва Согласия или окончания других сроков, предусмотренных Политикой конфиденциальности или законодательством Российской Федерации о персональных данных. Срок хранения персональных данных — 10 лет.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Я уведомлен, что настоящее Согласие может быть отозвано мной полностью или в части путем направления письма в электронной форме по адресу электронной почты: legal@vitrineapp.ru.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Оператор прекращает обработку моих персональных данных и уничтожает их в срок, не превышающий 10 дней с даты поступления отзыва настоящего Согласия. Уничтожение персональных данных подтверждается актом.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after="0" w:before="0" w:line="240" w:lineRule="auto"/>
        <w:jc w:val="both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Оператор вправе после получения отзыва настоящего Согласия, а равно после истечения срока действия настоящего Согласия, продолжать обработку моих персональных данных в той части, в которой для ее осуществления Согласие не требуется или не будет требоваться в силу действующего законодательства Российской Федерации (п. 2 ст. 9 Федерального закона Российской Федерации от 27 июля 2006 № 152-ФЗ «О персональных данных»).</w:t>
      </w: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1"/>
        <w:spacing w:after="0" w:before="0" w:line="24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after="0" w:before="0" w:line="24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93" w:top="1123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</w:pPr>
    <w:rPr>
      <w:rFonts w:ascii="Arial" w:cs="Arial" w:eastAsia="Arial" w:hAnsi="Arial"/>
      <w:b w:val="1"/>
      <w:bCs w:val="1"/>
      <w:color w:val="000000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240" w:line="240" w:lineRule="auto"/>
    </w:pPr>
    <w:rPr>
      <w:rFonts w:ascii="Arial" w:cs="Arial" w:eastAsia="Arial" w:hAnsi="Arial"/>
      <w:b w:val="1"/>
      <w:bCs w:val="1"/>
      <w:color w:val="000000"/>
      <w:sz w:val="44"/>
      <w:szCs w:val="44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Metadata" w:customStyle="1">
    <w:name w:val="Metadata"/>
    <w:pPr>
      <w:spacing w:after="240"/>
    </w:pPr>
    <w:rPr>
      <w:rFonts w:ascii="Arial" w:eastAsia="Arial" w:hAnsi="Arial"/>
      <w:color w:val="595959"/>
      <w:sz w:val="19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iles.selectel.ru/docs/ru/personal-data-processing-and-protection-policy.pdf" TargetMode="External"/><Relationship Id="rId8" Type="http://schemas.openxmlformats.org/officeDocument/2006/relationships/hyperlink" Target="https://yandex.ru/legal/confidential/ru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5OdzNP3uC6a8DkQ4zc9aBtStwA==">CgMxLjA4AHIhMURLaUlFbkExRm5yT09VN04tNnV0WmFScmc3emt5clBj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Vitrine</dc:creator>
</cp:coreProperties>
</file>