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阿里实习：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>ascp-visual-hierarchy/graph是基于G</w:t>
      </w:r>
      <w:r>
        <w:rPr>
          <w:rFonts w:ascii="Tahoma" w:hAnsi="Tahoma" w:eastAsia="Tahoma" w:cs="Tahoma"/>
          <w:color w:val="262626"/>
          <w:kern w:val="0"/>
          <w:sz w:val="18"/>
          <w:szCs w:val="18"/>
          <w:lang w:val="en-US" w:eastAsia="zh-CN" w:bidi="ar"/>
        </w:rPr>
        <w:t>6</w:t>
      </w: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>封装的React可视化库，使⽤</w:t>
      </w:r>
      <w:r>
        <w:rPr>
          <w:rFonts w:ascii="宋体" w:hAnsi="宋体" w:eastAsia="宋体" w:cs="宋体"/>
          <w:color w:val="2F2F2F"/>
          <w:kern w:val="0"/>
          <w:sz w:val="18"/>
          <w:szCs w:val="18"/>
          <w:lang w:val="en-US" w:eastAsia="zh-CN" w:bidi="ar"/>
        </w:rPr>
        <w:t>参数配置型语法，使其</w:t>
      </w: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 xml:space="preserve">具有⾼度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 xml:space="preserve">的易⽤性和简便性。专注与基础图表，为chart-base提供层次性和关系型视图补充。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62626"/>
          <w:kern w:val="0"/>
          <w:sz w:val="31"/>
          <w:szCs w:val="31"/>
          <w:lang w:val="en-US" w:eastAsia="zh-CN" w:bidi="ar"/>
        </w:rPr>
        <w:t>特性：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 xml:space="preserve">数据格式统⼀。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>基于G</w:t>
      </w:r>
      <w:r>
        <w:rPr>
          <w:rFonts w:ascii="Tahoma" w:hAnsi="Tahoma" w:eastAsia="Tahoma" w:cs="Tahoma"/>
          <w:color w:val="262626"/>
          <w:kern w:val="0"/>
          <w:sz w:val="18"/>
          <w:szCs w:val="18"/>
          <w:lang w:val="en-US" w:eastAsia="zh-CN" w:bidi="ar"/>
        </w:rPr>
        <w:t>6</w:t>
      </w: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 xml:space="preserve">的轻量级封装。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>G</w:t>
      </w:r>
      <w:r>
        <w:rPr>
          <w:rFonts w:hint="default" w:ascii="Tahoma" w:hAnsi="Tahoma" w:eastAsia="Tahoma" w:cs="Tahoma"/>
          <w:color w:val="262626"/>
          <w:kern w:val="0"/>
          <w:sz w:val="18"/>
          <w:szCs w:val="18"/>
          <w:lang w:val="en-US" w:eastAsia="zh-CN" w:bidi="ar"/>
        </w:rPr>
        <w:t>6</w:t>
      </w:r>
      <w:r>
        <w:rPr>
          <w:rFonts w:ascii="宋体" w:hAnsi="宋体" w:eastAsia="宋体" w:cs="宋体"/>
          <w:color w:val="262626"/>
          <w:kern w:val="0"/>
          <w:sz w:val="18"/>
          <w:szCs w:val="18"/>
          <w:lang w:val="en-US" w:eastAsia="zh-CN" w:bidi="ar"/>
        </w:rPr>
        <w:t>的基于配置化封装，具有⾼度的易⽤性。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层次型和图状图表封装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1、标签化：</w:t>
      </w:r>
    </w:p>
    <w:p>
      <w:r>
        <w:rPr>
          <w:rFonts w:hint="eastAsia"/>
          <w:lang w:val="en-US" w:eastAsia="zh-CN"/>
        </w:rPr>
        <w:t>2、</w:t>
      </w:r>
      <w:r>
        <w:rPr>
          <w:rFonts w:hint="default"/>
        </w:rPr>
        <w:t>配置化</w:t>
      </w:r>
    </w:p>
    <w:p>
      <w:pPr>
        <w:rPr>
          <w:rFonts w:hint="default"/>
        </w:rPr>
      </w:pPr>
      <w:r>
        <w:rPr>
          <w:rFonts w:hint="default"/>
        </w:rPr>
        <w:t>图表只需要传入dataSource和config就能生成：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数据统一，并尽可能简单。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文档化</w:t>
      </w:r>
    </w:p>
    <w:p>
      <w:pPr>
        <w:rPr>
          <w:rFonts w:hint="default"/>
        </w:rPr>
      </w:pPr>
      <w:bookmarkStart w:id="0" w:name="user-content-zbuf5"/>
      <w:bookmarkEnd w:id="0"/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关系型：弦图、节点链接图、桑基图、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层次图：树图、打包图、矩形图。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</w:rPr>
        <w:t>可以基于G6、D3等封装。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8990" cy="6733540"/>
            <wp:effectExtent l="0" t="0" r="10160" b="10160"/>
            <wp:docPr id="2" name="图片 2" descr="QQ截图2019102315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0231509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113530" cy="1325245"/>
            <wp:effectExtent l="0" t="0" r="1270" b="8255"/>
            <wp:docPr id="3" name="图片 3" descr="QQ截图2019102315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0231509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72263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知识图谱：</w:t>
      </w:r>
    </w:p>
    <w:p>
      <w:pPr>
        <w:pStyle w:val="5"/>
        <w:keepNext w:val="0"/>
        <w:keepLines w:val="0"/>
        <w:widowControl/>
        <w:suppressLineNumbers w:val="0"/>
      </w:pPr>
      <w:r>
        <w:t>知识图谱可以用来更好的查询复杂的关联信息，从语义层面理解用户意图，改进搜索质量。</w:t>
      </w:r>
    </w:p>
    <w:p>
      <w:pPr>
        <w:pStyle w:val="5"/>
        <w:keepNext w:val="0"/>
        <w:keepLines w:val="0"/>
        <w:widowControl/>
        <w:suppressLineNumbers w:val="0"/>
      </w:pPr>
      <w:r>
        <w:t>知识图谱最大的优势是在于对数据的描述能力非常强大，各种机器学习算法虽然在预测能力上很不错，但是在描述能力上非常弱，知识图谱刚好填补了这部分空缺。</w:t>
      </w:r>
    </w:p>
    <w:p>
      <w:pPr>
        <w:pStyle w:val="5"/>
        <w:keepNext w:val="0"/>
        <w:keepLines w:val="0"/>
        <w:widowControl/>
        <w:suppressLineNumbers w:val="0"/>
      </w:pPr>
      <w:r>
        <w:t>知识图谱主要目标是用来描述真实世界中存在的各种实体和概念，以及他们之间的强关系，我们用关系去描述两个实体之间的关联，例如姚明和火箭队之间的关系，他们的属性，我们就用“属性--值对“来刻画它的内在特性，比如说我们的人物，他有年龄、身高、体重属性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知识库的表示形式</w:t>
      </w:r>
    </w:p>
    <w:p>
      <w:pPr>
        <w:pStyle w:val="5"/>
        <w:keepNext w:val="0"/>
        <w:keepLines w:val="0"/>
        <w:widowControl/>
        <w:suppressLineNumbers w:val="0"/>
      </w:pPr>
      <w:r>
        <w:t>为了方便计算机的处理和理解，我们需要更加形式化、简洁化的方式去表示知识，那就是三元组（triple）。</w:t>
      </w:r>
    </w:p>
    <w:p>
      <w:pPr>
        <w:pStyle w:val="5"/>
        <w:keepNext w:val="0"/>
        <w:keepLines w:val="0"/>
        <w:widowControl/>
        <w:suppressLineNumbers w:val="0"/>
      </w:pPr>
      <w:r>
        <w:t>“姚明出生于中国上海” 可以用三元组表示为(Yao Ming, PlaceOfBirth, Shanghai)[1]。这里我们可以简单的把三元组理解为(实体entity,实体关系relation,实体entity)。如果我们把实体看作是结点，把实体关系（包括属性，类别等等）看作是一条边，那么包含了大量三元组的知识库就成为了一个庞大的知识图。</w:t>
      </w:r>
    </w:p>
    <w:p>
      <w:pPr>
        <w:pStyle w:val="5"/>
        <w:keepNext w:val="0"/>
        <w:keepLines w:val="0"/>
        <w:widowControl/>
        <w:suppressLineNumbers w:val="0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通过知识图谱，不仅可以将互联网的信息表达成更接近人类认知世界的形式，而且提供了一种更好的组织、管理和利用海量信息的方式。下图是笔者整理的知识图谱有关的应用，接下来的一些文章笔者会对下面的应用进行剖析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4352925" cy="2449195"/>
            <wp:effectExtent l="0" t="0" r="952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问题：知识图谱和传统的关系型数据库有什么本质的区别，除了效率问题。</w:t>
      </w:r>
    </w:p>
    <w:p>
      <w:r>
        <w:drawing>
          <wp:inline distT="0" distB="0" distL="114300" distR="114300">
            <wp:extent cx="5264785" cy="831850"/>
            <wp:effectExtent l="0" t="0" r="12065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图可视化视图：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可视化的意义、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布局、（力导向）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实体、（不同类型的实体可以使用不同的形状，当然也可以为每个实体设计一个graph）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交互、（鱼眼）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当数据量大时候就很容易出现大面积的视觉遮挡和性能问题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视觉遮挡（鱼眼、边绑定、聚类）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性能、（性能优化函数防抖和节流、化简、划分网格、边绑定、聚类）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41550" cy="2232660"/>
            <wp:effectExtent l="0" t="0" r="6350" b="152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3265" cy="2003425"/>
            <wp:effectExtent l="0" t="0" r="6985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4260" cy="1974850"/>
            <wp:effectExtent l="0" t="0" r="889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9165" cy="2096135"/>
            <wp:effectExtent l="0" t="0" r="635" b="1841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A96BB3"/>
    <w:multiLevelType w:val="singleLevel"/>
    <w:tmpl w:val="EEA96BB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C29ED"/>
    <w:rsid w:val="066E0121"/>
    <w:rsid w:val="0E8440AA"/>
    <w:rsid w:val="109D6EC5"/>
    <w:rsid w:val="133D1BE0"/>
    <w:rsid w:val="14045905"/>
    <w:rsid w:val="216E7949"/>
    <w:rsid w:val="36EF3687"/>
    <w:rsid w:val="38E000E3"/>
    <w:rsid w:val="395A719B"/>
    <w:rsid w:val="3D2E2CE6"/>
    <w:rsid w:val="4B5A1BE0"/>
    <w:rsid w:val="51751636"/>
    <w:rsid w:val="524B5A1B"/>
    <w:rsid w:val="5907683A"/>
    <w:rsid w:val="5DCF3E5A"/>
    <w:rsid w:val="62AA1F41"/>
    <w:rsid w:val="6BAC2434"/>
    <w:rsid w:val="6DE05F43"/>
    <w:rsid w:val="6F813E05"/>
    <w:rsid w:val="70233AEF"/>
    <w:rsid w:val="723617B2"/>
    <w:rsid w:val="748165F9"/>
    <w:rsid w:val="77A657E7"/>
    <w:rsid w:val="7874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2019-10-23T08:30:11Z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