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540D1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 and their current status/results; see UC-52a–UC-52b.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061301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create and configure a Vote directly under a Meeting while it is InProgress, without vote tally or deadline.</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4C2EA2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open a configured vote while the Meeting is InProgress.</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2FE80D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an eligible vote for a Vote belonging to the Meeting.</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18BB4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an open Vote belonging to the Meeting.</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14:paraId="6D41C4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Chair to record Passed, NotPassed or Deferred after a Vote closes.</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users on the eligible list fixed when the Vote opens – current holders of the meeting roles the Chair selected for that Vote among Chair, Secretary, Member and verified Guest – and only while their Meeting is InProgress and its Vote is Open (BR-160, BR-165, BR-190).</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p w14:paraId="4CB773E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p w14:paraId="4BC830C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p w14:paraId="122FEF7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p w14:paraId="5F1390F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p w14:paraId="0D07A0A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p w14:paraId="24304AE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7.6.2 UC-71b – Rename Document</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7.7.2 UC-72b – Rename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7.7.3 UC-72c – Move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760093" w14:textId="77777777" w:rsidR="00A7506D" w:rsidRDefault="00DF34F2">
      <w:pPr>
        <w:pStyle w:val="Heading4"/>
      </w:pPr>
      <w:r>
        <w:rPr>
          <w:rFonts w:ascii="Times New Roman" w:hAnsi="Times New Roman" w:eastAsia="Times New Roman" w:cs="Times New Roman"/>
          <w:sz w:val="24"/>
          <w:szCs w:val="24"/>
        </w:rPr>
        <w:t>7.7.4 UC-72d – Delete Folder</w:t>
      </w:r>
    </w:p>
    <w:p w14:paraId="6A00D66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p w14:paraId="4AFD58A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p w14:paraId="4C7A97F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p w14:paraId="4993644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p w14:paraId="4222456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p w14:paraId="7E3A5DF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p w14:paraId="0F8338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p w14:paraId="7A899F0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Adding does not copy the file: the Meeting keeps a reference to it, and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document (BR-187);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14:paraId="70E2D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While Agenda planning is permitted, the active assigned Secretary may edit all planning fields of a Pending Item. After an Item becomes InProgress or Done, only Title and Description may change; Presenter, Planned Duration, document associations and other planning fields are fixed. Only Pending Items may be deleted or reordered. Deletion preserves remaining Item positions. Reordering exchanges Pending Items only within their existing positions; InProgress and Done positions stay fixed. Planning changes neve</w:t>
            </w:r>
            <w:r>
              <w:rPr>
                <w:rFonts w:ascii="Times New Roman" w:eastAsia="Times New Roman" w:hAnsi="Times New Roman" w:cs="Times New Roman"/>
                <w:color w:val="000000"/>
              </w:rPr>
              <w:t>r alter execution status, actual timestamps or the Meeting lifecycle. No Agenda changes are permitted after the Meeting is Ended.</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2F141B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14:paraId="768F46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receives Member participation rights and eligible additional viewing permissions within the invited Meeting, but receives no system Role or internal Meeting Role. A Guest cannot act as Chair or Secretary, receive delegated authority, moderate the room or use a personal document library. (BR-181)</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14:paraId="484D17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BR-160.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14:paraId="12CD32E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Votes may be created, opened and cast only while the associated Meeting is InProgress. Current Chair, Secretary and Members and verified current Guests with valid access may cast one eligible ballot while its Vote is Open. Ending the Meeting does not require closing any Vote. The active current Chair may close and tally an existing Open Vote while Meeting is InProgress or Ended, without accepting new ballots after Ended. Only holders of the meeting roles selected for a Vote are eligible (BR-190). No time-boxed voting, quorum or separate Resolution exists. (BR-159, BR-165, BR-181)</w:t>
            </w:r>
          </w:p>
        </w:tc>
        <w:tc>
          <w:tcPr>
            <w:tcW w:w="1549" w:type="dxa"/>
          </w:tcPr>
          <w:p w14:paraId="65270D9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UC-52a, UC-52b, UC-53, UC-54, UC-55, UC-56</w:t>
            </w:r>
          </w:p>
        </w:tc>
        <w:tc>
          <w:tcPr>
            <w:tcW w:w="1710" w:type="dxa"/>
          </w:tcPr>
          <w:p w14:paraId="2640C70D"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1E2100D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14:paraId="0B98442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After a Vote is closed and tallied, the Chair records the conclusion Passed, NotPassed or Deferred on that Meeting Vote. The tally and Chair conclusion are included in Meeting Minutes, not in a separate Resolution entity.</w:t>
            </w:r>
          </w:p>
        </w:tc>
        <w:tc>
          <w:tcPr>
            <w:tcW w:w="1549" w:type="dxa"/>
          </w:tcPr>
          <w:p w14:paraId="6B7A523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UC-52b, UC-56, UC-57, UC-59</w:t>
            </w:r>
          </w:p>
        </w:tc>
        <w:tc>
          <w:tcPr>
            <w:tcW w:w="1710" w:type="dxa"/>
          </w:tcPr>
          <w:p w14:paraId="4EB0287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570C86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14:paraId="581FF8A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Vote may be created/opened only in an InProgress Meeting. Current internal participants and verified current Guests who hold a meeting role selected for that Vote (BR-190) may cast one eligible ballot only while Meeting is InProgress and Vote is Open; Guest voter identity is its invitation. The Chair may close an existing Open Vote and tally saved ballots in InProgress or Ended, then record Passed, NotPassed or Deferred. Closing is required for that Vote conclusion, not for End Meeting. Revocation prevents new ballots without erasing evidence; secret ballots have no voter-choice link.</w:t>
            </w:r>
          </w:p>
        </w:tc>
        <w:tc>
          <w:tcPr>
            <w:tcW w:w="1549" w:type="dxa"/>
          </w:tcPr>
          <w:p w14:paraId="5D92974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UC-53, UC-54, UC-55, UC-56, UC-57</w:t>
            </w:r>
          </w:p>
        </w:tc>
        <w:tc>
          <w:tcPr>
            <w:tcW w:w="1710" w:type="dxa"/>
          </w:tcPr>
          <w:p w14:paraId="5BC14CC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1AABED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current verified Guest participates like a Member in the invited Meeting: room media, screen sharing, chat, connected-room list, all attached documents under Member rules, comments, invitation response, attendance inclusion and voting. A Secretary may grant additional Meeting permissions like those of an internal participant; these are not limited to additional Meeting permissions. Guest cannot be Chair/Secretary, receive delegated authority, moderate the room or use a personal library. No separate Guest-document sharing mechanism exists. Detailed permission catalogue and grant matrix remain to be specified.</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 xml:space="preserve">A stored document file is immutable and has no versions. Personal library entries and Meeting documents only refer to a stored file; adding a file to a Meeting does not copy it. To change a document, a user uploads a new file, adds it to the Meeting and removes the old one.</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of a Meeting may add documents to or remove documents from that Meeting. Only files from the actor’s own personal library, or uploaded from the actor’s computer, may be added; a file uploaded from the computer is also stored in the uploader’s personal library.</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A document cannot be removed from a Meeting once Meeting Minutes exist for that Meeting. Removing a document keeps its comments as history, but the document is no longer listed.</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 xml:space="preserve">Deleting a document from a personal library removes only that library entry; Meeting documents that refer to the same file remain readable. A stored file that no library entry or current Meeting document refers to is deleted from storage by a periodic cleanup.</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 xml:space="preserve">Only PDF and DOCX files of at most 50 MB are accepted, with the type determined from the file content. Files are stored as uploaded and the server performs no conversion; the browser renders the preview – a PDF page by page, a DOCX as one continuous document.</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 xml:space="preserve">Documents of a Secret Meeting can be previewed online but cannot be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 xml:space="preserve">ADR-0006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rPr>
              <w:t xml:space="preserve">The current Chair may delete a Draft Vote while the Meeting is InProgress. An Open or Closed Vote cannot be deleted.</w:t>
            </w:r>
          </w:p>
        </w:tc>
        <w:tc>
          <w:tcPr>
            <w:tcW w:type="dxa" w:w="1549"/>
          </w:tcPr>
          <w:p>
            <w:r>
              <w:rPr>
                <w:rFonts w:ascii="Times New Roman" w:hAnsi="Times New Roman" w:eastAsia="Times New Roman" w:cs="Times New Roman"/>
              </w:rPr>
              <w:t xml:space="preserve">UC-53</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BR-190</w:t>
            </w:r>
          </w:p>
        </w:tc>
        <w:tc>
          <w:tcPr>
            <w:tcW w:type="dxa" w:w="2409"/>
          </w:tcPr>
          <w:p>
            <w:r>
              <w:rPr>
                <w:rFonts w:ascii="Times New Roman" w:hAnsi="Times New Roman" w:eastAsia="Times New Roman" w:cs="Times New Roman"/>
              </w:rPr>
              <w:t xml:space="preserve">When creating or editing a Draft Vote, the Chair selects the meeting roles allowed to vote – Chair, Secretary, Member and Guest; all are selected by default and at least one is required. The eligible voters are the current holders of the selected roles when the Vote opens; the list and EligibleCount are fixed at that moment.</w:t>
            </w:r>
          </w:p>
        </w:tc>
        <w:tc>
          <w:tcPr>
            <w:tcW w:type="dxa" w:w="1549"/>
          </w:tcPr>
          <w:p>
            <w:r>
              <w:rPr>
                <w:rFonts w:ascii="Times New Roman" w:hAnsi="Times New Roman" w:eastAsia="Times New Roman" w:cs="Times New Roman"/>
              </w:rPr>
              <w:t xml:space="preserve">UC-53, UC-54, UC-55</w:t>
            </w:r>
          </w:p>
        </w:tc>
        <w:tc>
          <w:tcPr>
            <w:tcW w:type="dxa" w:w="1710"/>
          </w:tcPr>
          <w:p>
            <w:r>
              <w:rPr>
                <w:rFonts w:ascii="Times New Roman" w:hAnsi="Times New Roman" w:eastAsia="Times New Roman" w:cs="Times New Roman"/>
              </w:rPr>
              <w:t xml:space="preserve">PO 13/10/2026 (as AI-eCabinet)</w:t>
            </w:r>
          </w:p>
        </w:tc>
        <w:tc>
          <w:tcPr>
            <w:tcW w:type="dxa" w:w="2411"/>
          </w:tcPr>
          <w:p>
            <w:r>
              <w:rPr>
                <w:rFonts w:ascii="Times New Roman" w:hAnsi="Times New Roman" w:eastAsia="Times New Roman" w:cs="Times New Roman"/>
              </w:rPr>
              <w:t xml:space="preserve">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 xml:space="preserve">A personal library may contain folders owned by the same user, nested at most five levels deep. A folder name must not be empty and need not be unique. A folder cannot be moved into itself or one of its sub-folders, and only an empty folder can be deleted. Documents can be renamed and moved between the owner’s folders.</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 file uploaded straight into a Meeting is also placed in the uploader’s personal library, in a folder named “&lt;Meeting title&gt; - dd/mm/yyyy”. The system creates that folder once per user and Meeting and keeps using it after it is renamed or moved.</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PO 13/10/2026 (ADR-0018)</w:t>
            </w:r>
          </w:p>
        </w:tc>
        <w:tc>
          <w:tcPr>
            <w:tcW w:type="dxa" w:w="2411"/>
          </w:tcPr>
          <w:p>
            <w:r>
              <w:rPr>
                <w:rFonts w:ascii="Times New Roman" w:hAnsi="Times New Roman" w:eastAsia="Times New Roman" w:cs="Times New Roman"/>
              </w:rPr>
              <w:t xml:space="preserve">Document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