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BodeGasosur Plan de construcción de la demo</w:t>
      </w:r>
    </w:p>
    <w:p>
      <w:pPr>
        <w:pStyle w:val="Introducción"/>
      </w:pPr>
      <w:r>
        <w:rPr>
          <w:rFonts w:ascii="Arial" w:hAnsi="Arial" w:eastAsia="Arial"/>
          <w:b w:val="0"/>
          <w:i w:val="0"/>
          <w:strike w:val="0"/>
          <w:color w:val="000000"/>
        </w:rPr>
        <w:t xml:space="preserve">Orden pensado para que </w:t>
      </w:r>
      <w:r>
        <w:rPr>
          <w:rFonts w:ascii="Arial" w:hAnsi="Arial" w:eastAsia="Arial"/>
          <w:b/>
          <w:i w:val="0"/>
          <w:strike w:val="0"/>
          <w:color w:val="000000"/>
        </w:rPr>
        <w:t>en cada fase haya algo que enseñar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a Compras y provocar retroalimentación, en lugar de construir tres semanas a ciegas.</w:t>
      </w:r>
    </w:p>
    <w:p>
      <w:pPr>
        <w:pStyle w:val="Cita"/>
      </w:pPr>
      <w:r>
        <w:rPr>
          <w:rFonts w:ascii="Arial" w:hAnsi="Arial" w:eastAsia="Arial"/>
          <w:b/>
          <w:i w:val="0"/>
          <w:strike w:val="0"/>
          <w:color w:val="000000"/>
        </w:rPr>
        <w:t>Documento superado.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Sirvió para construir la demo, cuyas fases 0 y 1 quedaron terminadas. El levantamiento posterior invalidó buena parte de lo que planea de la fase 2 en adelante —el costeo por promedio, los roles, el alcance de cada fase—, así que </w:t>
      </w:r>
      <w:r>
        <w:rPr>
          <w:rFonts w:ascii="Arial" w:hAnsi="Arial" w:eastAsia="Arial"/>
          <w:b/>
          <w:i w:val="0"/>
          <w:strike w:val="0"/>
          <w:color w:val="000000"/>
        </w:rPr>
        <w:t xml:space="preserve">el orden de trabajo vigente es </w:t>
      </w:r>
      <w:r>
        <w:rPr>
          <w:rFonts w:ascii="Arial" w:hAnsi="Arial" w:eastAsia="Arial"/>
          <w:b/>
          <w:i w:val="0"/>
          <w:strike w:val="0"/>
          <w:color w:val="1F4E78"/>
          <w:u w:val="single"/>
        </w:rPr>
        <w:t>fases-siguientes.md</w:t>
      </w:r>
      <w:r>
        <w:rPr>
          <w:rFonts w:ascii="Arial" w:hAnsi="Arial" w:eastAsia="Arial"/>
          <w:b w:val="0"/>
          <w:i w:val="0"/>
          <w:strike w:val="0"/>
          <w:color w:val="000000"/>
        </w:rPr>
        <w:t>.  Se conserva como registro de cómo se llegó hasta aquí. No lo tomes como plan.</w:t>
      </w:r>
    </w:p>
    <w:p>
      <w:pPr>
        <w:pStyle w:val="Heading1"/>
      </w:pPr>
      <w:r>
        <w:t>Fase 0 Cimientos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Proyecto Next.js + TypeScript, Tailwind y shadcn/ui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docker-compose.yml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con PostgreSQL,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.env.example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Prisma con el esquema de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02-modelo-de-datos.md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y primera migración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Layout base: navegación lateral, tipografía, identidad visual sobria</w:t>
      </w:r>
    </w:p>
    <w:p>
      <w:pPr/>
      <w:r>
        <w:rPr>
          <w:rFonts w:ascii="Arial" w:hAnsi="Arial" w:eastAsia="Arial"/>
          <w:b/>
          <w:i w:val="0"/>
          <w:strike w:val="0"/>
          <w:color w:val="000000"/>
        </w:rPr>
        <w:t>Entregable: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la aplicación levanta en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localhost:3000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con base de datos conectada.</w:t>
      </w:r>
    </w:p>
    <w:p>
      <w:pPr>
        <w:pStyle w:val="Heading1"/>
      </w:pPr>
      <w:r>
        <w:t>Fase 1 Catálogos y datos sembrados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CRUD de bodegas, estaciones, áreas, unidades, categorías, artículos, proveedores y personas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seed.ts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con datos verosímiles: 2–3 bodegas, 8–10 estaciones, ~40 artículos típicos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>de estación de servicio (filtros, aceites, papelería, uniformes, material de limpieza, equipo de seguridad), proveedores y personal</w:t>
      </w:r>
    </w:p>
    <w:p>
      <w:pPr/>
      <w:r>
        <w:rPr>
          <w:rFonts w:ascii="Arial" w:hAnsi="Arial" w:eastAsia="Arial"/>
          <w:b/>
          <w:i w:val="0"/>
          <w:strike w:val="0"/>
          <w:color w:val="000000"/>
        </w:rPr>
        <w:t>Entregable: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el sistema ya "se parece" a Gasosur. Esta es la primera pantalla que vale la pena enseñar: casi siempre corrigen nombres de estaciones y de áreas ahí mismo.</w:t>
      </w:r>
    </w:p>
    <w:p>
      <w:pPr/>
      <w:r>
        <w:rPr>
          <w:rFonts w:ascii="Arial" w:hAnsi="Arial" w:eastAsia="Arial"/>
          <w:b/>
          <w:i w:val="0"/>
          <w:strike w:val="0"/>
          <w:color w:val="000000"/>
        </w:rPr>
        <w:t>Criterio de aceptación: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se pueden dar de alta y editar todos los catálogos sin tocar la base.</w:t>
      </w:r>
    </w:p>
    <w:p>
      <w:pPr>
        <w:pStyle w:val="Heading1"/>
      </w:pPr>
      <w:r>
        <w:t>Fase 2 Entradas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Captura de entrada: proveedor, referencia de factura/remisión, bodega destino, fecha,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>quién recibe, quién autoriza, observaciones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Capturador de partidas con renglones dinámicos: artículo, cantidad, costo unitario, importe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Confirmación transaccional: asigna folio, incrementa existencia, recalcula costo promedio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Listado de movimientos con filtros y detalle imprimible</w:t>
      </w:r>
    </w:p>
    <w:p>
      <w:pPr/>
      <w:r>
        <w:rPr>
          <w:rFonts w:ascii="Arial" w:hAnsi="Arial" w:eastAsia="Arial"/>
          <w:b/>
          <w:i w:val="0"/>
          <w:strike w:val="0"/>
          <w:color w:val="000000"/>
        </w:rPr>
        <w:t>Criterios de aceptación: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☐  </w:t>
      </w:r>
      <w:r>
        <w:rPr>
          <w:rFonts w:ascii="Arial" w:hAnsi="Arial" w:eastAsia="Arial"/>
          <w:b w:val="0"/>
          <w:i w:val="0"/>
          <w:strike w:val="0"/>
          <w:color w:val="000000"/>
        </w:rPr>
        <w:t>Al confirmar una entrada, la existencia de destino aumenta exactamente la cantidad capturada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☐  </w:t>
      </w:r>
      <w:r>
        <w:rPr>
          <w:rFonts w:ascii="Arial" w:hAnsi="Arial" w:eastAsia="Arial"/>
          <w:b w:val="0"/>
          <w:i w:val="0"/>
          <w:strike w:val="0"/>
          <w:color w:val="000000"/>
        </w:rPr>
        <w:t>El costo promedio se recalcula correctamente contra un ejemplo hecho a mano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☐  </w:t>
      </w:r>
      <w:r>
        <w:rPr>
          <w:rFonts w:ascii="Arial" w:hAnsi="Arial" w:eastAsia="Arial"/>
          <w:b w:val="0"/>
          <w:i w:val="0"/>
          <w:strike w:val="0"/>
          <w:color w:val="000000"/>
        </w:rPr>
        <w:t>Un borrador no afecta existencias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☐  </w:t>
      </w:r>
      <w:r>
        <w:rPr>
          <w:rFonts w:ascii="Arial" w:hAnsi="Arial" w:eastAsia="Arial"/>
          <w:b w:val="0"/>
          <w:i w:val="0"/>
          <w:strike w:val="0"/>
          <w:color w:val="000000"/>
        </w:rPr>
        <w:t>El folio es consecutivo y sin huecos</w:t>
      </w:r>
    </w:p>
    <w:p>
      <w:pPr>
        <w:pStyle w:val="Heading1"/>
      </w:pPr>
      <w:r>
        <w:t>Fase 3 Salidas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Captura de salida: bodega origen, estación, área, solicitante, autorizador,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>transportista y vehículo, fecha, observaciones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El costo unitario se toma del promedio de la bodega y se congela en la partida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Validación de existencia suficiente (con el comportamiento que Compras defina — supuesto S5)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Comprobante imprimible con espacios de firma</w:t>
      </w:r>
    </w:p>
    <w:p>
      <w:pPr/>
      <w:r>
        <w:rPr>
          <w:rFonts w:ascii="Arial" w:hAnsi="Arial" w:eastAsia="Arial"/>
          <w:b/>
          <w:i w:val="0"/>
          <w:strike w:val="0"/>
          <w:color w:val="000000"/>
        </w:rPr>
        <w:t>Criterios de aceptación: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☐  </w:t>
      </w:r>
      <w:r>
        <w:rPr>
          <w:rFonts w:ascii="Arial" w:hAnsi="Arial" w:eastAsia="Arial"/>
          <w:b w:val="0"/>
          <w:i w:val="0"/>
          <w:strike w:val="0"/>
          <w:color w:val="000000"/>
        </w:rPr>
        <w:t>No se puede sacar más de lo que hay (o se advierte, según lo definido)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☐  </w:t>
      </w:r>
      <w:r>
        <w:rPr>
          <w:rFonts w:ascii="Arial" w:hAnsi="Arial" w:eastAsia="Arial"/>
          <w:b w:val="0"/>
          <w:i w:val="0"/>
          <w:strike w:val="0"/>
          <w:color w:val="000000"/>
        </w:rPr>
        <w:t>El comprobante contiene todos los datos que Compras pidió: estación, área, quién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>autoriza, quién transporta, cantidad, costo y observaciones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☐  </w:t>
      </w:r>
      <w:r>
        <w:rPr>
          <w:rFonts w:ascii="Arial" w:hAnsi="Arial" w:eastAsia="Arial"/>
          <w:b w:val="0"/>
          <w:i w:val="0"/>
          <w:strike w:val="0"/>
          <w:color w:val="000000"/>
        </w:rPr>
        <w:t>La existencia de origen disminuye exactamente lo capturado</w:t>
      </w:r>
    </w:p>
    <w:p>
      <w:pPr>
        <w:pStyle w:val="Heading1"/>
      </w:pPr>
      <w:r>
        <w:t>Fase 4 Traspasos ajustes y cancelaciones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Traspaso entre bodegas en una sola operación transaccional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Ajuste por conteo físico, merma o daño, con motivo obligatorio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Cancelación de un movimiento confirmado generando el asiento inverso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Comando </w:t>
      </w:r>
      <w:r>
        <w:rPr>
          <w:rFonts w:ascii="Consolas" w:hAnsi="Consolas" w:eastAsia="Consolas"/>
          <w:b w:val="0"/>
          <w:i w:val="0"/>
          <w:strike w:val="0"/>
          <w:color w:val="333333"/>
          <w:sz w:val="20"/>
        </w:rPr>
        <w:t>verificar-existencias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que recalcula desde el libro y reporta diferencias</w:t>
      </w:r>
    </w:p>
    <w:p>
      <w:pPr/>
      <w:r>
        <w:rPr>
          <w:rFonts w:ascii="Arial" w:hAnsi="Arial" w:eastAsia="Arial"/>
          <w:b/>
          <w:i w:val="0"/>
          <w:strike w:val="0"/>
          <w:color w:val="000000"/>
        </w:rPr>
        <w:t>Criterios de aceptación: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☐  </w:t>
      </w:r>
      <w:r>
        <w:rPr>
          <w:rFonts w:ascii="Arial" w:hAnsi="Arial" w:eastAsia="Arial"/>
          <w:b w:val="0"/>
          <w:i w:val="0"/>
          <w:strike w:val="0"/>
          <w:color w:val="000000"/>
        </w:rPr>
        <w:t>Un traspaso deja el total global del artículo sin cambio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☐  </w:t>
      </w:r>
      <w:r>
        <w:rPr>
          <w:rFonts w:ascii="Arial" w:hAnsi="Arial" w:eastAsia="Arial"/>
          <w:b w:val="0"/>
          <w:i w:val="0"/>
          <w:strike w:val="0"/>
          <w:color w:val="000000"/>
        </w:rPr>
        <w:t>Cancelar deja ambos movimientos visibles y enlazados; nada se borra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☐  </w:t>
      </w:r>
      <w:r>
        <w:rPr>
          <w:rFonts w:ascii="Arial" w:hAnsi="Arial" w:eastAsia="Arial"/>
          <w:b w:val="0"/>
          <w:i w:val="0"/>
          <w:strike w:val="0"/>
          <w:color w:val="000000"/>
        </w:rPr>
        <w:t>La verificación reporta cero diferencias tras una batería de movimientos</w:t>
      </w:r>
    </w:p>
    <w:p>
      <w:pPr>
        <w:pStyle w:val="Heading1"/>
      </w:pPr>
      <w:r>
        <w:t>Fase 5 Consultas y reportes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Existencias por bodega, con resaltado bajo mínimo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Kardex por artículo: entradas, salidas y saldo corrido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Reporte de material enviado por estación y por área, con rango de fechas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Reporte de compras por proveedor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Exportación a Excel de todos los anteriores</w:t>
      </w:r>
    </w:p>
    <w:p>
      <w:pPr/>
      <w:r>
        <w:rPr>
          <w:rFonts w:ascii="Arial" w:hAnsi="Arial" w:eastAsia="Arial"/>
          <w:b/>
          <w:i w:val="0"/>
          <w:strike w:val="0"/>
          <w:color w:val="000000"/>
        </w:rPr>
        <w:t>Entregable:</w:t>
      </w:r>
      <w:r>
        <w:rPr>
          <w:rFonts w:ascii="Arial" w:hAnsi="Arial" w:eastAsia="Arial"/>
          <w:b w:val="0"/>
          <w:i w:val="0"/>
          <w:strike w:val="0"/>
          <w:color w:val="000000"/>
        </w:rPr>
        <w:t xml:space="preserve"> la parte que responde la pregunta original de Compras — </w:t>
      </w:r>
      <w:r>
        <w:rPr>
          <w:rFonts w:ascii="Arial" w:hAnsi="Arial" w:eastAsia="Arial"/>
          <w:b w:val="0"/>
          <w:i/>
          <w:strike w:val="0"/>
          <w:color w:val="000000"/>
        </w:rPr>
        <w:t>"saber hacia qué estaciones se manda material"</w:t>
      </w:r>
      <w:r>
        <w:rPr>
          <w:rFonts w:ascii="Arial" w:hAnsi="Arial" w:eastAsia="Arial"/>
          <w:b w:val="0"/>
          <w:i w:val="0"/>
          <w:strike w:val="0"/>
          <w:color w:val="000000"/>
        </w:rPr>
        <w:t>.</w:t>
      </w:r>
    </w:p>
    <w:p>
      <w:pPr>
        <w:pStyle w:val="Heading1"/>
      </w:pPr>
      <w:r>
        <w:t>Fase 6 Tablero y acabado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Tablero de inicio: existencias bajas, últimos movimientos, gasto del mes por estación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Búsqueda global de artículos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Estados vacíos, mensajes de error claros, confirmaciones antes de acciones irreversibles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•  </w:t>
      </w:r>
      <w:r>
        <w:rPr>
          <w:rFonts w:ascii="Arial" w:hAnsi="Arial" w:eastAsia="Arial"/>
          <w:b w:val="0"/>
          <w:i w:val="0"/>
          <w:strike w:val="0"/>
          <w:color w:val="000000"/>
        </w:rPr>
        <w:t>Datos de demostración con historia de varios meses para que las gráficas tengan sentido</w:t>
      </w:r>
    </w:p>
    <w:p>
      <w:pPr>
        <w:pStyle w:val="Heading1"/>
      </w:pPr>
      <w:r>
        <w:t>Después de la demo</w:t>
      </w:r>
    </w:p>
    <w:p>
      <w:pPr/>
      <w:r>
        <w:rPr>
          <w:rFonts w:ascii="Arial" w:hAnsi="Arial" w:eastAsia="Arial"/>
          <w:b w:val="0"/>
          <w:i w:val="0"/>
          <w:strike w:val="0"/>
          <w:color w:val="000000"/>
        </w:rPr>
        <w:t>En este punto ya hay respuestas reales de Compras. Con ellas se decide el orden de: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1.  </w:t>
      </w:r>
      <w:r>
        <w:rPr>
          <w:rFonts w:ascii="Arial" w:hAnsi="Arial" w:eastAsia="Arial"/>
          <w:b w:val="0"/>
          <w:i w:val="0"/>
          <w:strike w:val="0"/>
          <w:color w:val="000000"/>
        </w:rPr>
        <w:t>Autenticación, usuarios y roles (Almacenista, Compras, Autorizador, Consulta)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2.  </w:t>
      </w:r>
      <w:r>
        <w:rPr>
          <w:rFonts w:ascii="Arial" w:hAnsi="Arial" w:eastAsia="Arial"/>
          <w:b w:val="0"/>
          <w:i w:val="0"/>
          <w:strike w:val="0"/>
          <w:color w:val="000000"/>
        </w:rPr>
        <w:t>Bitácora de auditoría de todas las acciones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3.  </w:t>
      </w:r>
      <w:r>
        <w:rPr>
          <w:rFonts w:ascii="Arial" w:hAnsi="Arial" w:eastAsia="Arial"/>
          <w:b w:val="0"/>
          <w:i w:val="0"/>
          <w:strike w:val="0"/>
          <w:color w:val="000000"/>
        </w:rPr>
        <w:t>Flujo de solicitud desde la estación (requisición → autorización → surtido)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4.  </w:t>
      </w:r>
      <w:r>
        <w:rPr>
          <w:rFonts w:ascii="Arial" w:hAnsi="Arial" w:eastAsia="Arial"/>
          <w:b w:val="0"/>
          <w:i w:val="0"/>
          <w:strike w:val="0"/>
          <w:color w:val="000000"/>
        </w:rPr>
        <w:t>Ciclo de compras (orden de compra, recepciones parciales)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5.  </w:t>
      </w:r>
      <w:r>
        <w:rPr>
          <w:rFonts w:ascii="Arial" w:hAnsi="Arial" w:eastAsia="Arial"/>
          <w:b w:val="0"/>
          <w:i w:val="0"/>
          <w:strike w:val="0"/>
          <w:color w:val="000000"/>
        </w:rPr>
        <w:t>Adjuntar la foto de la factura o del vale firmado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6.  </w:t>
      </w:r>
      <w:r>
        <w:rPr>
          <w:rFonts w:ascii="Arial" w:hAnsi="Arial" w:eastAsia="Arial"/>
          <w:b w:val="0"/>
          <w:i w:val="0"/>
          <w:strike w:val="0"/>
          <w:color w:val="000000"/>
        </w:rPr>
        <w:t>Despliegue en servidor y respaldos automáticos</w:t>
      </w:r>
    </w:p>
    <w:p>
      <w:pPr>
        <w:spacing w:after="50"/>
        <w:ind w:left="360" w:hanging="259"/>
      </w:pPr>
      <w:r>
        <w:rPr>
          <w:rFonts w:ascii="DejaVu Sans" w:hAnsi="DejaVu Sans" w:eastAsia="DejaVu Sans"/>
          <w:color w:val="1F4E78"/>
          <w:sz w:val="21"/>
        </w:rPr>
        <w:t xml:space="preserve">7.  </w:t>
      </w:r>
      <w:r>
        <w:rPr>
          <w:rFonts w:ascii="Arial" w:hAnsi="Arial" w:eastAsia="Arial"/>
          <w:b w:val="0"/>
          <w:i w:val="0"/>
          <w:strike w:val="0"/>
          <w:color w:val="000000"/>
        </w:rPr>
        <w:t>Migración del histórico del Excel actual</w:t>
      </w:r>
    </w:p>
    <w:sectPr w:rsidR="00FC693F" w:rsidRPr="0006063C" w:rsidSect="00034616">
      <w:footerReference w:type="default" r:id="rId9"/>
      <w:pgSz w:w="12240" w:h="15840"/>
      <w:pgMar w:top="749" w:right="1008" w:bottom="720" w:left="1008" w:header="36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Arial"/>
        <w:color w:val="666666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70" w:line="25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  <w:jc w:val="left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roducción">
    <w:name w:val="Introducción"/>
    <w:pPr>
      <w:spacing w:after="200" w:line="276" w:lineRule="auto"/>
    </w:pPr>
    <w:rPr>
      <w:rFonts w:ascii="Arial" w:hAnsi="Arial"/>
      <w:color w:val="333333"/>
      <w:sz w:val="24"/>
    </w:rPr>
  </w:style>
  <w:style w:type="paragraph" w:customStyle="1" w:styleId="Cita">
    <w:name w:val="Cita"/>
    <w:pPr>
      <w:spacing w:before="80" w:after="160"/>
      <w:ind w:left="504" w:right="288"/>
    </w:pPr>
    <w:rPr>
      <w:rFonts w:ascii="Arial" w:hAnsi="Arial"/>
      <w:i/>
      <w:color w:val="3F3F3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BodeGasosur Plan de construcción de la demo</dc:title>
  <dc:subject>Documentación de BodeGasosur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