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HSV classiication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Convert between opencv hsv and colorizer hsv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Hue x2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Saturation /2.55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Value 2.55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HSV_middle_Green: (60, 255, 255) -&gt; colorizer (120, 100, 100)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HSV_lower_green: (50, 255, 255 -&gt; colorizer(100, 100, 100)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HSV_upper_green:(70,255,255) -&gt;colorizer( 140, 100 , 100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Hsv test RGB: 8,20,70: -&gt;hsv: 114, 226, 70-&gt; colorizer (222,89, 27)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Colorizer-&gt;opencv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Hue /2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Saturation x2.55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Value x2.55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Hue range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Red-Orange 0-25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Yellow 25-40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Green 40-85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Blue 85-120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Pink-&gt;purple 120-160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Black (0-180, 0-255, 0-30)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