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5D" w:rsidRDefault="007E235D" w:rsidP="007E235D">
      <w:pPr>
        <w:jc w:val="center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Ђˎ̥" w:eastAsia="宋体" w:hAnsi="Ђˎ̥" w:cs="Arial"/>
          <w:b/>
          <w:bCs/>
          <w:color w:val="CC0000"/>
          <w:sz w:val="21"/>
          <w:szCs w:val="21"/>
        </w:rPr>
        <w:t>第二届全国高校（本科）</w:t>
      </w:r>
      <w:proofErr w:type="gramStart"/>
      <w:r w:rsidRPr="007E235D">
        <w:rPr>
          <w:rFonts w:ascii="Ђˎ̥" w:eastAsia="宋体" w:hAnsi="Ђˎ̥" w:cs="Arial"/>
          <w:b/>
          <w:bCs/>
          <w:color w:val="CC0000"/>
          <w:sz w:val="21"/>
          <w:szCs w:val="21"/>
        </w:rPr>
        <w:t>微课教学</w:t>
      </w:r>
      <w:proofErr w:type="gramEnd"/>
      <w:r w:rsidRPr="007E235D">
        <w:rPr>
          <w:rFonts w:ascii="Ђˎ̥" w:eastAsia="宋体" w:hAnsi="Ђˎ̥" w:cs="Arial"/>
          <w:b/>
          <w:bCs/>
          <w:color w:val="CC0000"/>
          <w:sz w:val="21"/>
          <w:szCs w:val="21"/>
        </w:rPr>
        <w:t>比赛方案</w:t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>一、组织机构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主办单位：教育部全国高校教师网络培训中心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承办单位：各高校教师网络培训分中心、相关高等学校、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有关机构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>二、比赛网站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全国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高校微课教学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比赛专用网站为：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http://weike.enetedu.com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。比赛通知、方案、公告、流程、评审规则、常见问题解答等，均在本网站公布。作品具体技术规范和操作步骤参见网站首页比赛指南。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三、参赛对象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参赛对象为本科院校专任教师，每位参赛教师提交参赛作品数量限为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1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件。按文史（哲学、经济学、法学、教育学、文学、历史学、管理学、艺术学）和理工（理学、工学、农学、医学）两大类别分组参赛。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>四、比赛内容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参赛教师可根据教育部印发的《普通高等学校本科专业目录（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2012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年）》（以下简称目录）确定参赛课程，选取知识点，设计、制作微课。目录网址参见教育部网站：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http://www.moe.edu.cn/publicfiles/business/htmlfiles/moe/s3882/201210/143152.html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>五、参赛方式及各级管理员账户说明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参赛选手通过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全国高校微课教学比赛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网站（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http://weike.enetedu.com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）完成注册、登录、提交作品及相关附件。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凡有选手参赛的学校，均需在比赛网站注册校级管理员账户，该账户通过比赛网站身份认证后方可使用。学校管理员身份注册及认证方法如下：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1.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注册，登录比赛网站：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http://weike.enetedu.com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，点击网站首页导航栏右侧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注册报名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，选择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学校管理员注册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，如实填写学校相关资料，完成注册。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2.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认证，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登录微课比赛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网站，进入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管理中心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，点击左侧的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身份认证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，下载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学校管理员身份认证表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，填写盖章后，将扫描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件图片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上传至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身份认证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处。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3.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管理，校级管理员账户经由比赛主办方核实认证后开放管理权限，即可对本校参赛作品进行相关管理。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lastRenderedPageBreak/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省赛组织单位管理账户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由网培中心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授权省级赛事管理人员使用。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>六、比赛阶段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比赛分初赛、复赛和决赛三个阶段：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1.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初赛、复赛时段为：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2014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日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-2015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日。各省可根据本省情况在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2014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日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-2015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4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日时间段内安排本省赛事进度，各省应认真组织，广泛发动，积极为本省高校教师参赛创造条件。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各高校可在本省赛事安排的时间段内组织选拔本校参赛选手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,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制作、上传参赛作品。经学校统一选拔推荐的参赛教师直接进入复赛。每个学校推荐名额限制为：本校专任教师的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3%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各省赛事组织单位安排复赛，评选出优胜者，推荐进入全国决赛。推荐名额将根据参赛作品数量和质量决定，原则上不超过本省参赛教师总数的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5%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2.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决赛阶段：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2015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-2015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年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8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月由比赛主办方组织专家评审，评选出决赛获奖选手，并择期召开表彰大会。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七、作品要求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参赛教师围绕一门课程的某个知识点或教学环节，充分合理运用各种现代教育技术手段及设备，录制成时长在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5-15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分钟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的微课视频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。并配套提供教学设计文本、多媒体教学课件等辅助材料。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1.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教学视频要求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图像清晰稳定、构图合理、声音清楚，视频片头应显示标题、作者和单位，主要教学内容有字幕提示。视频格式及上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传要求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详见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全国高校微课教学比赛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网站（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http://weike.enetedu.com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）比赛指南等相关文档。</w:t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    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多媒体教学课件要求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多媒体教学课件限定为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PPT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格式。要求围绕教学目标，反映主要教学内容，与教学视频合理搭配，单独提交。其他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与微课教学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内容相关辅助材料如练习测试、教学评价、动画、视频、习题、图片等多媒体素材等材料也应单独提交。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3.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教学设计要求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教学设计应反映教师教学思想、课程设计思路和教学特色，包括教学背景、教学目标、教学方法和教学总结等方面内容，并在开头注明讲课内容所属学科、专业、课程及适用对象等信息。文件格式：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word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>八、奖项设置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lastRenderedPageBreak/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1.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个人奖：比赛设一、二、三等奖及优秀奖。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2.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优秀组织奖：面向各级赛事组织单位，根据赛事组织情况，评选优秀组织奖。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</w:p>
    <w:p w:rsidR="007E235D" w:rsidRDefault="007E235D" w:rsidP="00E11635">
      <w:pPr>
        <w:spacing w:line="360" w:lineRule="auto"/>
        <w:rPr>
          <w:rFonts w:ascii="Arial" w:eastAsia="宋体" w:hAnsi="Arial" w:cs="Arial" w:hint="eastAsia"/>
          <w:color w:val="000000"/>
          <w:sz w:val="21"/>
          <w:szCs w:val="21"/>
        </w:rPr>
      </w:pP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九、其他事宜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1.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参赛者享有作品的著作权，须同意授权赛事主办方享有网络传播权。所有参赛作品向社会免费开放，主办方可授权有关单位出版作品，出版后，原创者有署名权及获得报酬权。</w:t>
      </w:r>
    </w:p>
    <w:p w:rsidR="007E235D" w:rsidRDefault="007E235D" w:rsidP="00E11635">
      <w:pPr>
        <w:spacing w:line="360" w:lineRule="auto"/>
        <w:rPr>
          <w:rFonts w:hint="eastAsia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  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2.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参赛作品及材料需为本人原创，不得抄袭他人作品，侵害他人版权。若发现参赛作品侵犯他人著作权，或有任何不良信息内容，则一律取消参赛资格。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3.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赛事组织单位不向参赛教师或学校收取参赛费用。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br/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各省级赛事组织单位联系人及联系方式将在全国</w:t>
      </w:r>
      <w:proofErr w:type="gramStart"/>
      <w:r w:rsidRPr="007E235D">
        <w:rPr>
          <w:rFonts w:ascii="Arial" w:eastAsia="宋体" w:hAnsi="Arial" w:cs="Arial"/>
          <w:color w:val="000000"/>
          <w:sz w:val="21"/>
          <w:szCs w:val="21"/>
        </w:rPr>
        <w:t>高校微课教学</w:t>
      </w:r>
      <w:proofErr w:type="gramEnd"/>
      <w:r w:rsidRPr="007E235D">
        <w:rPr>
          <w:rFonts w:ascii="Arial" w:eastAsia="宋体" w:hAnsi="Arial" w:cs="Arial"/>
          <w:color w:val="000000"/>
          <w:sz w:val="21"/>
          <w:szCs w:val="21"/>
        </w:rPr>
        <w:t>比赛网站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“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比赛指南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”</w:t>
      </w:r>
      <w:r w:rsidRPr="007E235D">
        <w:rPr>
          <w:rFonts w:ascii="Arial" w:eastAsia="宋体" w:hAnsi="Arial" w:cs="Arial"/>
          <w:color w:val="000000"/>
          <w:sz w:val="21"/>
          <w:szCs w:val="21"/>
        </w:rPr>
        <w:t>公布。</w:t>
      </w:r>
    </w:p>
    <w:p w:rsidR="007E235D" w:rsidRDefault="007E235D" w:rsidP="00323B43">
      <w:pPr>
        <w:rPr>
          <w:rFonts w:hint="eastAsia"/>
        </w:rPr>
      </w:pPr>
    </w:p>
    <w:p w:rsidR="007E235D" w:rsidRDefault="007E235D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p w:rsidR="00E11635" w:rsidRDefault="00E11635" w:rsidP="00323B43">
      <w:pPr>
        <w:rPr>
          <w:rFonts w:hint="eastAsia"/>
        </w:rPr>
      </w:pPr>
    </w:p>
    <w:tbl>
      <w:tblPr>
        <w:tblW w:w="8661" w:type="dxa"/>
        <w:tblCellSpacing w:w="7" w:type="dxa"/>
        <w:shd w:val="clear" w:color="auto" w:fill="E7E7E7"/>
        <w:tblCellMar>
          <w:left w:w="0" w:type="dxa"/>
          <w:right w:w="0" w:type="dxa"/>
        </w:tblCellMar>
        <w:tblLook w:val="04A0"/>
      </w:tblPr>
      <w:tblGrid>
        <w:gridCol w:w="8661"/>
      </w:tblGrid>
      <w:tr w:rsidR="007E235D" w:rsidRPr="007E235D" w:rsidTr="007E235D">
        <w:trPr>
          <w:trHeight w:val="765"/>
          <w:tblCellSpacing w:w="7" w:type="dxa"/>
        </w:trPr>
        <w:tc>
          <w:tcPr>
            <w:tcW w:w="8633" w:type="dxa"/>
            <w:shd w:val="clear" w:color="auto" w:fill="FFFFFF"/>
            <w:vAlign w:val="center"/>
            <w:hideMark/>
          </w:tcPr>
          <w:p w:rsidR="007E235D" w:rsidRPr="007E235D" w:rsidRDefault="007E235D" w:rsidP="007E235D">
            <w:pPr>
              <w:adjustRightInd/>
              <w:snapToGrid/>
              <w:spacing w:after="0" w:line="300" w:lineRule="atLeast"/>
              <w:jc w:val="center"/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</w:pPr>
            <w:r w:rsidRPr="007E235D"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  <w:lastRenderedPageBreak/>
              <w:t>第二届全国高校（本科）</w:t>
            </w:r>
            <w:proofErr w:type="gramStart"/>
            <w:r w:rsidRPr="007E235D"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  <w:t>微课教学</w:t>
            </w:r>
            <w:proofErr w:type="gramEnd"/>
            <w:r w:rsidRPr="007E235D"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  <w:t>比赛评审规则</w:t>
            </w:r>
          </w:p>
        </w:tc>
      </w:tr>
      <w:tr w:rsidR="007E235D" w:rsidRPr="007E235D" w:rsidTr="007E235D">
        <w:trPr>
          <w:trHeight w:val="1905"/>
          <w:tblCellSpacing w:w="7" w:type="dxa"/>
        </w:trPr>
        <w:tc>
          <w:tcPr>
            <w:tcW w:w="863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7930" w:type="dxa"/>
              <w:tblCellSpacing w:w="7" w:type="dxa"/>
              <w:shd w:val="clear" w:color="auto" w:fill="E7E7E7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1179"/>
              <w:gridCol w:w="6751"/>
            </w:tblGrid>
            <w:tr w:rsidR="007E235D" w:rsidRPr="007E235D" w:rsidTr="007E235D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jc w:val="center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作品规范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10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一、材料完整（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包含微课视频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，教学方案设计、课件等。如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在微课视频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中使用到的习题及总结等辅助扩展资料，可以单个文件方式上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传相关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辅助扩展资料。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二、技术规范（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 xml:space="preserve">1. 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微课视频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：时长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5-15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分钟，鼓励简明易懂、短小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精趣的微课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作品；视频图像清晰稳定、构图合理、声音清楚，主要教学内容有字幕提示等；视频片头应显示作品标题、作者、单位。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2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．多媒体教学课件：配合视频讲授使用的主要教学课件为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PPT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格式，需单独文件提交；其他拓展资料符合网站上传要求。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3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．教学方案设计表内应注明讲课内容所属学科、专业、课程及适用对象等信息。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jc w:val="center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教学安排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40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一、选题价值（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10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选取教学环节中某一知识点、专题、实验活动作为选题，针对教学中的常见、典型、有代表性的问题或内容进行设计，类型包括但不限于：教授类、解题类、答疑类、实验类、活动类。选题尽量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“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小而精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”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，具备独立性、示范性、代表性，应针对教学过程中的重点、难点问题。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二、教学设计与组织（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15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 xml:space="preserve">1.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教学方案：围绕选题设计，突出重点，注重实效；教学目的明确，教学思路清晰，注重学生全面发展。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 xml:space="preserve">2.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教学内容：严谨充实，无科学性、政策性错误，能理论联系实际，反映社会和学科发展。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 xml:space="preserve">3. 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教学组织与编排：要符合学生的认知规律；教学过程主线清晰、重点突出，逻辑性强，明了易懂；注重突出学生的主体性以及教与学活动有机结合。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三、教学方法与手段（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15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教学策略选择正确，注重调动学生的学习积极性和创造性思维能力；能根据教学需求选用灵活适当的教学方法；信息技术手段运用合理，正确选择使用各种教学媒体，教学辅助效果好。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jc w:val="center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教学效果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40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一、目标达成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(15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)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完成设定的教学目标，有效解决实际教学问题，促进学生思维能力提高。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二、教学特色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(15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)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教学形式新颖，教学过程深入浅出，形象生动，趣味性和启发性强，教学氛围的营造有利于提升学生学习的积极主动性。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三、教师规范（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10</w:t>
                  </w:r>
                  <w:r w:rsidRPr="007E235D">
                    <w:rPr>
                      <w:rFonts w:ascii="Arial" w:eastAsia="宋体" w:hAnsi="Arial" w:cs="Arial"/>
                      <w:b/>
                      <w:bCs/>
                      <w:color w:val="000000"/>
                      <w:sz w:val="18"/>
                    </w:rPr>
                    <w:t>分）：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教学语言规范、清晰，富有感染力；教学逻辑严谨，能够较好运用各种现代教育技术手段，相关知识点、教学内容等讲解清楚。如教师出镜，则需仪表得当，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教态自然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，能展现良好的教学风貌和个人魅力。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E235D" w:rsidRPr="007E235D" w:rsidTr="007E235D">
              <w:trPr>
                <w:tblCellSpacing w:w="7" w:type="dxa"/>
              </w:trPr>
              <w:tc>
                <w:tcPr>
                  <w:tcW w:w="1158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jc w:val="center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网络评价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br/>
                    <w:t>10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分</w:t>
                  </w: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730" w:type="dxa"/>
                  <w:shd w:val="clear" w:color="auto" w:fill="FFFFFF"/>
                  <w:vAlign w:val="center"/>
                  <w:hideMark/>
                </w:tcPr>
                <w:p w:rsidR="007E235D" w:rsidRPr="007E235D" w:rsidRDefault="007E235D" w:rsidP="007E235D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</w:pPr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依据</w:t>
                  </w:r>
                  <w:proofErr w:type="gramStart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参赛微课作品</w:t>
                  </w:r>
                  <w:proofErr w:type="gramEnd"/>
                  <w:r w:rsidRPr="007E235D">
                    <w:rPr>
                      <w:rFonts w:ascii="Arial" w:eastAsia="宋体" w:hAnsi="Arial" w:cs="Arial"/>
                      <w:color w:val="000000"/>
                      <w:sz w:val="18"/>
                      <w:szCs w:val="18"/>
                    </w:rPr>
                    <w:t>发布后受欢迎程度、点击率、投票率、用户评价、作者与用户互动情况、收藏次数、分享次数、讨论热度等综合评价。</w:t>
                  </w:r>
                </w:p>
              </w:tc>
            </w:tr>
          </w:tbl>
          <w:p w:rsidR="007E235D" w:rsidRPr="007E235D" w:rsidRDefault="007E235D" w:rsidP="007E235D">
            <w:pPr>
              <w:adjustRightInd/>
              <w:snapToGrid/>
              <w:spacing w:after="0" w:line="300" w:lineRule="atLeast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:rsidR="007E235D" w:rsidRPr="007E235D" w:rsidRDefault="007E235D" w:rsidP="00323B43"/>
    <w:sectPr w:rsidR="007E235D" w:rsidRPr="007E235D" w:rsidSect="007E235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E235D"/>
    <w:rsid w:val="000106EE"/>
    <w:rsid w:val="0002441F"/>
    <w:rsid w:val="00031D8D"/>
    <w:rsid w:val="000409E4"/>
    <w:rsid w:val="00041249"/>
    <w:rsid w:val="00043018"/>
    <w:rsid w:val="000646CC"/>
    <w:rsid w:val="0007339C"/>
    <w:rsid w:val="00075A3B"/>
    <w:rsid w:val="00087CC2"/>
    <w:rsid w:val="000A086D"/>
    <w:rsid w:val="000A1710"/>
    <w:rsid w:val="000B05A1"/>
    <w:rsid w:val="000B185E"/>
    <w:rsid w:val="000B5D21"/>
    <w:rsid w:val="000B60DD"/>
    <w:rsid w:val="000C4497"/>
    <w:rsid w:val="000C6A78"/>
    <w:rsid w:val="000D0082"/>
    <w:rsid w:val="000D44E2"/>
    <w:rsid w:val="000D47D3"/>
    <w:rsid w:val="000E452A"/>
    <w:rsid w:val="000F2FF0"/>
    <w:rsid w:val="000F3C80"/>
    <w:rsid w:val="00107A9A"/>
    <w:rsid w:val="001209ED"/>
    <w:rsid w:val="00127D33"/>
    <w:rsid w:val="00133704"/>
    <w:rsid w:val="00136058"/>
    <w:rsid w:val="00141AC3"/>
    <w:rsid w:val="00152740"/>
    <w:rsid w:val="00160C04"/>
    <w:rsid w:val="00164CFC"/>
    <w:rsid w:val="001655D9"/>
    <w:rsid w:val="00180541"/>
    <w:rsid w:val="00181159"/>
    <w:rsid w:val="0018197B"/>
    <w:rsid w:val="00182885"/>
    <w:rsid w:val="00184851"/>
    <w:rsid w:val="001A6028"/>
    <w:rsid w:val="001B16CD"/>
    <w:rsid w:val="001C1577"/>
    <w:rsid w:val="001C33E3"/>
    <w:rsid w:val="001D21A9"/>
    <w:rsid w:val="001D402C"/>
    <w:rsid w:val="001D495E"/>
    <w:rsid w:val="001E3128"/>
    <w:rsid w:val="001F320B"/>
    <w:rsid w:val="00207153"/>
    <w:rsid w:val="002071E3"/>
    <w:rsid w:val="002146F6"/>
    <w:rsid w:val="00222200"/>
    <w:rsid w:val="00244201"/>
    <w:rsid w:val="00246949"/>
    <w:rsid w:val="00250889"/>
    <w:rsid w:val="0025181F"/>
    <w:rsid w:val="00255AC0"/>
    <w:rsid w:val="00256E3C"/>
    <w:rsid w:val="00260731"/>
    <w:rsid w:val="00267FFA"/>
    <w:rsid w:val="00273B31"/>
    <w:rsid w:val="00285DAD"/>
    <w:rsid w:val="00297DD9"/>
    <w:rsid w:val="002B02A6"/>
    <w:rsid w:val="002B2C2B"/>
    <w:rsid w:val="002D7BFD"/>
    <w:rsid w:val="00302D11"/>
    <w:rsid w:val="00323230"/>
    <w:rsid w:val="00323B43"/>
    <w:rsid w:val="00327B45"/>
    <w:rsid w:val="003566D3"/>
    <w:rsid w:val="003651FC"/>
    <w:rsid w:val="0037057A"/>
    <w:rsid w:val="003935DF"/>
    <w:rsid w:val="003936ED"/>
    <w:rsid w:val="00395997"/>
    <w:rsid w:val="00396BC9"/>
    <w:rsid w:val="003A43AC"/>
    <w:rsid w:val="003D37D8"/>
    <w:rsid w:val="003D4975"/>
    <w:rsid w:val="003E119C"/>
    <w:rsid w:val="003E1A5D"/>
    <w:rsid w:val="00407B4C"/>
    <w:rsid w:val="004233E3"/>
    <w:rsid w:val="00431ABF"/>
    <w:rsid w:val="004358AB"/>
    <w:rsid w:val="0044180E"/>
    <w:rsid w:val="004523F7"/>
    <w:rsid w:val="004524F6"/>
    <w:rsid w:val="00475A63"/>
    <w:rsid w:val="004917F4"/>
    <w:rsid w:val="00493598"/>
    <w:rsid w:val="00494A85"/>
    <w:rsid w:val="004A2DBD"/>
    <w:rsid w:val="004A5B38"/>
    <w:rsid w:val="004B2BE1"/>
    <w:rsid w:val="004C29DB"/>
    <w:rsid w:val="004D0841"/>
    <w:rsid w:val="004D7660"/>
    <w:rsid w:val="004E0857"/>
    <w:rsid w:val="004E66B2"/>
    <w:rsid w:val="004E7011"/>
    <w:rsid w:val="00500357"/>
    <w:rsid w:val="00511AEF"/>
    <w:rsid w:val="005206CA"/>
    <w:rsid w:val="005264E7"/>
    <w:rsid w:val="005406F5"/>
    <w:rsid w:val="0054532F"/>
    <w:rsid w:val="005533AD"/>
    <w:rsid w:val="00561DB2"/>
    <w:rsid w:val="0056707F"/>
    <w:rsid w:val="00570047"/>
    <w:rsid w:val="00575ED1"/>
    <w:rsid w:val="00576BAE"/>
    <w:rsid w:val="005B27AE"/>
    <w:rsid w:val="005B3A89"/>
    <w:rsid w:val="005B61F8"/>
    <w:rsid w:val="005D1B1B"/>
    <w:rsid w:val="005F046B"/>
    <w:rsid w:val="005F6AE9"/>
    <w:rsid w:val="00611855"/>
    <w:rsid w:val="00611E92"/>
    <w:rsid w:val="00634C16"/>
    <w:rsid w:val="0064038C"/>
    <w:rsid w:val="00647A9A"/>
    <w:rsid w:val="00654F5A"/>
    <w:rsid w:val="00661ADE"/>
    <w:rsid w:val="006B0F05"/>
    <w:rsid w:val="006B270D"/>
    <w:rsid w:val="006B586E"/>
    <w:rsid w:val="006C1BD9"/>
    <w:rsid w:val="006C2D7C"/>
    <w:rsid w:val="006D2343"/>
    <w:rsid w:val="006D2F9B"/>
    <w:rsid w:val="006E488C"/>
    <w:rsid w:val="006E48F9"/>
    <w:rsid w:val="006F12D3"/>
    <w:rsid w:val="006F1A76"/>
    <w:rsid w:val="006F29BE"/>
    <w:rsid w:val="00714677"/>
    <w:rsid w:val="00716776"/>
    <w:rsid w:val="00721A1A"/>
    <w:rsid w:val="00726A6E"/>
    <w:rsid w:val="00730E6A"/>
    <w:rsid w:val="00745484"/>
    <w:rsid w:val="00745A1C"/>
    <w:rsid w:val="00752263"/>
    <w:rsid w:val="00762766"/>
    <w:rsid w:val="00776461"/>
    <w:rsid w:val="0078364C"/>
    <w:rsid w:val="00786010"/>
    <w:rsid w:val="007C007B"/>
    <w:rsid w:val="007C055C"/>
    <w:rsid w:val="007C6C3F"/>
    <w:rsid w:val="007E235D"/>
    <w:rsid w:val="007E5635"/>
    <w:rsid w:val="007F115D"/>
    <w:rsid w:val="007F6A4E"/>
    <w:rsid w:val="007F7EAB"/>
    <w:rsid w:val="00804C3D"/>
    <w:rsid w:val="008068B4"/>
    <w:rsid w:val="00813A94"/>
    <w:rsid w:val="00826C33"/>
    <w:rsid w:val="008305D3"/>
    <w:rsid w:val="008345C9"/>
    <w:rsid w:val="0086667D"/>
    <w:rsid w:val="008677ED"/>
    <w:rsid w:val="0088303C"/>
    <w:rsid w:val="00887D63"/>
    <w:rsid w:val="00887F4D"/>
    <w:rsid w:val="00891F0A"/>
    <w:rsid w:val="008A0123"/>
    <w:rsid w:val="008A7A14"/>
    <w:rsid w:val="008B7726"/>
    <w:rsid w:val="008C7AA7"/>
    <w:rsid w:val="008D0509"/>
    <w:rsid w:val="008F21A0"/>
    <w:rsid w:val="009271A0"/>
    <w:rsid w:val="00927B34"/>
    <w:rsid w:val="00936D77"/>
    <w:rsid w:val="00943093"/>
    <w:rsid w:val="00965615"/>
    <w:rsid w:val="009723A8"/>
    <w:rsid w:val="0097684E"/>
    <w:rsid w:val="00976DB9"/>
    <w:rsid w:val="009802CF"/>
    <w:rsid w:val="00990242"/>
    <w:rsid w:val="00997D12"/>
    <w:rsid w:val="009C5CC0"/>
    <w:rsid w:val="009D7318"/>
    <w:rsid w:val="00A01AA1"/>
    <w:rsid w:val="00A20215"/>
    <w:rsid w:val="00A37325"/>
    <w:rsid w:val="00A51B26"/>
    <w:rsid w:val="00A57053"/>
    <w:rsid w:val="00A618BD"/>
    <w:rsid w:val="00A80FBA"/>
    <w:rsid w:val="00A865EE"/>
    <w:rsid w:val="00AB50C2"/>
    <w:rsid w:val="00AB7CFA"/>
    <w:rsid w:val="00AD5F66"/>
    <w:rsid w:val="00AE43BF"/>
    <w:rsid w:val="00AF2507"/>
    <w:rsid w:val="00AF7CB9"/>
    <w:rsid w:val="00B1076A"/>
    <w:rsid w:val="00B11C86"/>
    <w:rsid w:val="00B22A0A"/>
    <w:rsid w:val="00B34D9B"/>
    <w:rsid w:val="00B84B98"/>
    <w:rsid w:val="00B97859"/>
    <w:rsid w:val="00BA2CA0"/>
    <w:rsid w:val="00BA3B6D"/>
    <w:rsid w:val="00BA6B20"/>
    <w:rsid w:val="00BA7683"/>
    <w:rsid w:val="00BB6386"/>
    <w:rsid w:val="00BC688A"/>
    <w:rsid w:val="00BD313A"/>
    <w:rsid w:val="00BE2031"/>
    <w:rsid w:val="00BE41FF"/>
    <w:rsid w:val="00BE5B88"/>
    <w:rsid w:val="00BF230D"/>
    <w:rsid w:val="00C04AB6"/>
    <w:rsid w:val="00C32AF7"/>
    <w:rsid w:val="00C47C30"/>
    <w:rsid w:val="00C545EC"/>
    <w:rsid w:val="00C5589B"/>
    <w:rsid w:val="00C5703F"/>
    <w:rsid w:val="00C57ED7"/>
    <w:rsid w:val="00C71D3C"/>
    <w:rsid w:val="00C81F6A"/>
    <w:rsid w:val="00C8390B"/>
    <w:rsid w:val="00C85B92"/>
    <w:rsid w:val="00C90FD6"/>
    <w:rsid w:val="00CB318B"/>
    <w:rsid w:val="00CB79D8"/>
    <w:rsid w:val="00CD1DE2"/>
    <w:rsid w:val="00CD6CFF"/>
    <w:rsid w:val="00CE6063"/>
    <w:rsid w:val="00CF0320"/>
    <w:rsid w:val="00CF4967"/>
    <w:rsid w:val="00D068F3"/>
    <w:rsid w:val="00D32853"/>
    <w:rsid w:val="00D34FFE"/>
    <w:rsid w:val="00D5084B"/>
    <w:rsid w:val="00D50D83"/>
    <w:rsid w:val="00D51B2A"/>
    <w:rsid w:val="00D62C6D"/>
    <w:rsid w:val="00D70CDC"/>
    <w:rsid w:val="00D9335F"/>
    <w:rsid w:val="00DA5E52"/>
    <w:rsid w:val="00DB1A13"/>
    <w:rsid w:val="00DC2444"/>
    <w:rsid w:val="00DC7574"/>
    <w:rsid w:val="00DD67D8"/>
    <w:rsid w:val="00DE4F95"/>
    <w:rsid w:val="00DF1657"/>
    <w:rsid w:val="00DF49BE"/>
    <w:rsid w:val="00DF5DF2"/>
    <w:rsid w:val="00E03FB9"/>
    <w:rsid w:val="00E11635"/>
    <w:rsid w:val="00E229C6"/>
    <w:rsid w:val="00E50313"/>
    <w:rsid w:val="00E574FC"/>
    <w:rsid w:val="00E713FD"/>
    <w:rsid w:val="00E72AAB"/>
    <w:rsid w:val="00E80D67"/>
    <w:rsid w:val="00E820BF"/>
    <w:rsid w:val="00E90E48"/>
    <w:rsid w:val="00E963AB"/>
    <w:rsid w:val="00EA7B83"/>
    <w:rsid w:val="00EB3075"/>
    <w:rsid w:val="00EB3760"/>
    <w:rsid w:val="00EC4058"/>
    <w:rsid w:val="00EC7B14"/>
    <w:rsid w:val="00ED2CFA"/>
    <w:rsid w:val="00EF1A32"/>
    <w:rsid w:val="00F1099B"/>
    <w:rsid w:val="00F121F1"/>
    <w:rsid w:val="00F249DF"/>
    <w:rsid w:val="00F324D9"/>
    <w:rsid w:val="00F3427E"/>
    <w:rsid w:val="00F3470B"/>
    <w:rsid w:val="00F44EA4"/>
    <w:rsid w:val="00F74536"/>
    <w:rsid w:val="00F83835"/>
    <w:rsid w:val="00F87047"/>
    <w:rsid w:val="00F90CDF"/>
    <w:rsid w:val="00FA5C8A"/>
    <w:rsid w:val="00FB072E"/>
    <w:rsid w:val="00FD103F"/>
    <w:rsid w:val="00FD36A8"/>
    <w:rsid w:val="00FD3CE4"/>
    <w:rsid w:val="00FF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23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2014-12-16T03:01:00Z</dcterms:created>
  <dcterms:modified xsi:type="dcterms:W3CDTF">2014-12-16T03:13:00Z</dcterms:modified>
</cp:coreProperties>
</file>