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1F497D"/>
          <w:sz w:val="36"/>
        </w:rPr>
        <w:t>Design, Implementation, and Experimental Characterization of an Embedded Dual-Loop Liquid Cooling System for Advanced Thermal Management</w:t>
      </w:r>
    </w:p>
    <w:p>
      <w:pPr>
        <w:spacing w:before="0" w:after="80"/>
      </w:pPr>
    </w:p>
    <w:p>
      <w:pPr>
        <w:keepNext/>
        <w:spacing w:before="280" w:after="120"/>
      </w:pPr>
      <w:r>
        <w:rPr>
          <w:rFonts w:ascii="Times New Roman" w:hAnsi="Times New Roman"/>
          <w:b/>
          <w:color w:val="1F497D"/>
          <w:sz w:val="28"/>
        </w:rPr>
        <w:t>ABSTRACT</w:t>
      </w:r>
    </w:p>
    <w:p>
      <w:pPr>
        <w:spacing w:before="60" w:after="120" w:line="276" w:lineRule="auto"/>
      </w:pPr>
      <w:r>
        <w:rPr>
          <w:rFonts w:ascii="Times New Roman" w:hAnsi="Times New Roman"/>
          <w:sz w:val="22"/>
        </w:rPr>
        <w:t>The exponential increase in power density across modern engineering sectors—ranging from high-performance computing and power electronics to advanced nuclear systems—has rendered traditional single-loop thermal management solutions increasingly inadequate. As heat fluxes escalate, the limitations of single-phase air and rudimentary single-loop liquid cooling architectures become pronounced, frequently culminating in system instability, accelerated component degradation, and catastrophic thermal failure. To address these critical challenges, this research presents the design, implementation, and experimental characterization of a novel, low-cost dual-loop liquid cooling architecture integrated with embedded real-time thermal monitoring. The proposed system employs a primary heat absorption loop and a secondary heat rejection loop, coupled via a liquid-to-liquid heat exchanger, to physically isolate the primary heat source from the external environment. An ESP32-S3 microcontroller serves as the central control unit, interfacing with MAX6675 cold-junction-compensated K-type thermocouples for high-resolution temperature acquisition (0.25°C resolution) and Hall-effect flow sensors for real-time hydronic monitoring. Experimental characterization of the prototype, utilizing a nichrome heating element wrapped around a metallic thermal core, demonstrated robust thermal regulation. The system successfully maintained the primary thermal core within a strict hysteresis band of 64.8°C to 78.5°C, while the secondary rejection loop stabilized at 32.4°C. Furthermore, a remarkable flow stability of 95.4% was achieved alongside a MOSFET duty cycle of 68% during steady-state operation. The integration of localized intelligence enables autonomous fault detection, including emergency thermal shutdown mechanisms and low-flow alarms, thereby ensuring operational safety. This study provides significant insights into the development of scalable, resilient, and intelligent dual-loop cooling systems, offering a highly relevant framework for industrial applications demanding stringent thermal control.</w:t>
      </w:r>
    </w:p>
    <w:p>
      <w:pPr>
        <w:spacing w:before="0" w:after="80"/>
      </w:pPr>
    </w:p>
    <w:p>
      <w:pPr>
        <w:spacing w:before="60" w:after="120" w:line="276" w:lineRule="auto"/>
      </w:pPr>
      <w:r>
        <w:rPr>
          <w:rFonts w:ascii="Times New Roman" w:hAnsi="Times New Roman"/>
          <w:b/>
          <w:sz w:val="22"/>
        </w:rPr>
        <w:t>Keywords:</w:t>
      </w:r>
      <w:r>
        <w:rPr>
          <w:rFonts w:ascii="Times New Roman" w:hAnsi="Times New Roman"/>
          <w:sz w:val="22"/>
        </w:rPr>
        <w:t xml:space="preserve"> Dual-Loop Cooling; Thermal Management; Liquid-to-Liquid Heat Exchanger; Embedded Systems; IoT Monitoring; Microcontroller; K-Type Thermocouples; Hysteresis Control; Heat Transfer; Power Electronics Cooling.</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1. INTRODUCTION</w:t>
      </w:r>
    </w:p>
    <w:p>
      <w:pPr>
        <w:spacing w:before="0" w:after="80"/>
      </w:pPr>
    </w:p>
    <w:p>
      <w:pPr>
        <w:spacing w:before="60" w:after="120" w:line="276" w:lineRule="auto"/>
      </w:pPr>
      <w:r>
        <w:rPr>
          <w:rFonts w:ascii="Times New Roman" w:hAnsi="Times New Roman"/>
          <w:sz w:val="22"/>
        </w:rPr>
        <w:t>The relentless pursuit of miniaturization and performance enhancement in contemporary engineering disciplines has precipitated a concurrent, exponential rise in volumetric heat generation rates. Across diverse sectors, including high-performance computing data centers, wide-bandgap power electronics, and advanced nuclear reactor designs, thermal management has emerged as a primary bottleneck constraining system efficiency, reliability, and ultimate operational lifespan [Reference Required]. In densely packed electronic architectures, the inability to effectively dissipate localized heat fluxes inevitably leads to thermal runaway, electromigration, and the acceleration of temperature-dependent failure mechanisms [Reference Required]. Similarly, in process engineering and energy generation contexts, stringent thermal regulation is mandatory to maintain thermodynamic efficiency and ensure structural integrity under sustained operational loads. As the physical dimensions of heat-generating components continue to diminish while their power ratings escalate, the demand for advanced, high-capacity cooling architectures has become increasingly critical.</w:t>
      </w:r>
    </w:p>
    <w:p>
      <w:pPr>
        <w:spacing w:before="0" w:after="80"/>
      </w:pPr>
    </w:p>
    <w:p>
      <w:pPr>
        <w:spacing w:before="60" w:after="120" w:line="276" w:lineRule="auto"/>
      </w:pPr>
      <w:r>
        <w:rPr>
          <w:rFonts w:ascii="Times New Roman" w:hAnsi="Times New Roman"/>
          <w:sz w:val="22"/>
        </w:rPr>
        <w:t>Fundamentally, the efficacy of any thermal management system is dictated by the principles of heat transfer: conduction, convection, and radiation. In the context of active cooling methodologies, forced convection is predominantly leveraged to augment the rate of thermal energy removal from a heated boundary [Reference Required]. The rate of convective heat transfer is directly proportional to the heat transfer coefficient, the wetted surface area, and the temperature gradient between the solid surface and the bulk fluid. To maximize thermal dissipation, engineering efforts are typically directed toward maximizing the heat transfer coefficient through the selection of high-conductivity coolants and the implementation of flow regimes that promote turbulence, thereby minimizing the thickness of the thermal boundary layer. Furthermore, the specific heat capacity and thermal conductivity of the working fluid are paramount in determining the total sensible heat that can be absorbed and transported away from the critical zone.</w:t>
      </w:r>
    </w:p>
    <w:p>
      <w:pPr>
        <w:spacing w:before="0" w:after="80"/>
      </w:pPr>
    </w:p>
    <w:p>
      <w:pPr>
        <w:spacing w:before="60" w:after="120" w:line="276" w:lineRule="auto"/>
      </w:pPr>
      <w:r>
        <w:rPr>
          <w:rFonts w:ascii="Times New Roman" w:hAnsi="Times New Roman"/>
          <w:sz w:val="22"/>
        </w:rPr>
        <w:t>Historically, air cooling has served as the dominant paradigm for electronic and light-industrial thermal management, primarily due to its simplicity, low cost, and inherent reliability [Reference Required]. However, the thermophysical properties of air—specifically its low thermal conductivity and low volumetric heat capacity—render it fundamentally unsuitable for extracting heat from components operating at high power densities. As heat fluxes exceed the dissipation limits of forced air convection, liquid cooling has been widely adopted as the requisite alternative [Reference Required]. Single-loop liquid cooling systems, wherein a single fluid directly absorbs heat from the source and rejects it to the ambient environment via a radiator, offer significantly enhanced thermal performance compared to air cooling. Nevertheless, single-loop architectures are characterized by inherent vulnerabilities. The direct exposure of the primary coolant loop to the external environment increases the risk of contamination, degradation of coolant properties, and subsequent fouling of micro-channels within the heat sink. Furthermore, in applications involving hazardous, highly reactive, or radioactively contaminated primary heat sources, a single-loop system presents an unacceptable risk of environmental breach in the event of a structural failure [Reference Required].</w:t>
      </w:r>
    </w:p>
    <w:p>
      <w:pPr>
        <w:spacing w:before="0" w:after="80"/>
      </w:pPr>
    </w:p>
    <w:p>
      <w:pPr>
        <w:spacing w:before="60" w:after="120" w:line="276" w:lineRule="auto"/>
      </w:pPr>
      <w:r>
        <w:rPr>
          <w:rFonts w:ascii="Times New Roman" w:hAnsi="Times New Roman"/>
          <w:sz w:val="22"/>
        </w:rPr>
        <w:t>The failure mechanisms inherent in continuous thermal systems are multifaceted and often synergistic, leading to rapid catastrophic failure if left unmitigated. Primary failure modes include localized critical heat flux (CHF) conditions, wherein localized boiling leads to vapor blanketing and a sudden, precipitous drop in the convective heat transfer coefficient [Reference Required]. Mechanical failures, such as pump degradation or blockages within the fluidic pathways, immediately compromise mass flow rates, severely curtailing the heat removal capacity. Without continuous monitoring and the capacity for rapid, autonomous intervention, such perturbations invariably lead to thermal excursions that exceed the maximum junction or operating temperatures of the protected components, resulting in irreversible structural degradation or complete system failure.</w:t>
      </w:r>
    </w:p>
    <w:p>
      <w:pPr>
        <w:spacing w:before="0" w:after="80"/>
      </w:pPr>
    </w:p>
    <w:p>
      <w:pPr>
        <w:spacing w:before="60" w:after="120" w:line="276" w:lineRule="auto"/>
      </w:pPr>
      <w:r>
        <w:rPr>
          <w:rFonts w:ascii="Times New Roman" w:hAnsi="Times New Roman"/>
          <w:sz w:val="22"/>
        </w:rPr>
        <w:t>The evolution of temperature monitoring technologies has been instrumental in the development of active thermal control systems. Historically, thermal sensing relied on rudimentary analog devices with significant latency and low precision. Modern thermal management, however, demands high-fidelity, high-bandwidth thermal data acquisition [Reference Required]. Thermocouples, particularly K-type variants, are widely utilized due to their broad measurement range, robustness, and rapid response times. The integration of high-resolution analog-to-digital converters, such as those employing cold-junction compensation algorithms, has significantly enhanced the accuracy and reliability of thermocouple-based measurements, enabling precise characterization of transient thermal phenomena [Reference Required].</w:t>
      </w:r>
    </w:p>
    <w:p>
      <w:pPr>
        <w:spacing w:before="0" w:after="80"/>
      </w:pPr>
    </w:p>
    <w:p>
      <w:pPr>
        <w:spacing w:before="60" w:after="120" w:line="276" w:lineRule="auto"/>
      </w:pPr>
      <w:r>
        <w:rPr>
          <w:rFonts w:ascii="Times New Roman" w:hAnsi="Times New Roman"/>
          <w:sz w:val="22"/>
        </w:rPr>
        <w:t>Concurrently, the advent of the Internet of Things (IoT) and the proliferation of high-performance embedded microcontrollers have catalyzed a paradigm shift in industrial control methodologies [Reference Required]. The integration of embedded intelligence into thermal systems facilitates the transition from passive monitoring to active, predictive, and closed-loop control. Embedded systems allow for the real-time aggregation of disparate sensor modalities—including temperature, mass flow rate, and pressure—enabling the implementation of complex control algorithms, such as hysteresis or Proportional-Integral-Derivative (PID) control, at the edge [Reference Required]. This localized computational capacity reduces latency, ensures deterministic response times during fault conditions, and provides the foundation for data logging and subsequent predictive maintenance analysis.</w:t>
      </w:r>
    </w:p>
    <w:p>
      <w:pPr>
        <w:spacing w:before="0" w:after="80"/>
      </w:pPr>
    </w:p>
    <w:p>
      <w:pPr>
        <w:spacing w:before="60" w:after="120" w:line="276" w:lineRule="auto"/>
      </w:pPr>
      <w:r>
        <w:rPr>
          <w:rFonts w:ascii="Times New Roman" w:hAnsi="Times New Roman"/>
          <w:sz w:val="22"/>
        </w:rPr>
        <w:t xml:space="preserve">Despite the critical advantages offered by advanced cooling architectures and embedded control, there remains a significant research motivation to develop affordable, modular, and highly reliable thermal management systems. Specifically, the necessity for dual-loop architectures—which physically decouple the primary heat absorption process from the secondary heat rejection process via an intermediate liquid-to-liquid heat exchanger—is paramount for applications requiring enhanced safety, fluid isolation, and robust thermal stability [Reference Required]. </w:t>
      </w:r>
    </w:p>
    <w:p>
      <w:pPr>
        <w:spacing w:before="0" w:after="80"/>
      </w:pPr>
    </w:p>
    <w:p>
      <w:pPr>
        <w:spacing w:before="60" w:after="120" w:line="276" w:lineRule="auto"/>
      </w:pPr>
      <w:r>
        <w:rPr>
          <w:rFonts w:ascii="Times New Roman" w:hAnsi="Times New Roman"/>
          <w:sz w:val="22"/>
        </w:rPr>
        <w:t>A substantial gap exists in the current literature regarding the detailed design, empirical characterization, and localized control of low-cost, prototype-scale dual-loop liquid cooling systems. While theoretical models and large-scale industrial implementations of dual-loop systems have been extensively documented, there is a paucity of research detailing the integration of these architectures with contemporary, low-cost microcontrollers and high-resolution sensor networks for localized, autonomous thermal management. The lack of accessible, empirical data on the performance dynamics, flow stability, and control efficacy of such embedded dual-loop systems hinders their wider adoption in emerging, cost-sensitive technological applications.</w:t>
      </w:r>
    </w:p>
    <w:p>
      <w:pPr>
        <w:spacing w:before="0" w:after="80"/>
      </w:pPr>
    </w:p>
    <w:p>
      <w:pPr>
        <w:spacing w:before="60" w:after="120" w:line="276" w:lineRule="auto"/>
      </w:pPr>
      <w:r>
        <w:rPr>
          <w:rFonts w:ascii="Times New Roman" w:hAnsi="Times New Roman"/>
          <w:sz w:val="22"/>
        </w:rPr>
        <w:t>Therefore, the primary objective of this research is to conceptualize, construct, and rigorously evaluate a dual-loop liquid cooling system augmented with embedded IoT monitoring and control capabilities. This study aims to demonstrate the feasibility and efficacy of utilizing a modular, dual-loop architecture for the thermal management of a simulated high-heat-flux source, utilizing an ESP32-S3 microcontroller to orchestrate closed-loop thermal regulation and autonomous safety protocols.</w:t>
      </w:r>
    </w:p>
    <w:p>
      <w:pPr>
        <w:spacing w:before="0" w:after="80"/>
      </w:pPr>
    </w:p>
    <w:p>
      <w:pPr>
        <w:keepNext/>
        <w:spacing w:before="200" w:after="80"/>
      </w:pPr>
      <w:r>
        <w:rPr>
          <w:rFonts w:ascii="Times New Roman" w:hAnsi="Times New Roman"/>
          <w:b/>
          <w:color w:val="366092"/>
          <w:sz w:val="24"/>
        </w:rPr>
        <w:t>1.1 Major Contributions</w:t>
      </w:r>
    </w:p>
    <w:p>
      <w:pPr>
        <w:spacing w:before="0" w:after="80"/>
      </w:pPr>
    </w:p>
    <w:p>
      <w:pPr>
        <w:spacing w:before="60" w:after="120" w:line="276" w:lineRule="auto"/>
      </w:pPr>
      <w:r>
        <w:rPr>
          <w:rFonts w:ascii="Times New Roman" w:hAnsi="Times New Roman"/>
          <w:sz w:val="22"/>
        </w:rPr>
        <w:t>The major contributions of this manuscript are delineated as follows:</w:t>
      </w:r>
    </w:p>
    <w:p>
      <w:pPr>
        <w:pStyle w:val="ListNumber"/>
        <w:spacing w:before="40" w:after="40"/>
      </w:pPr>
      <w:r>
        <w:rPr>
          <w:rFonts w:ascii="Times New Roman" w:hAnsi="Times New Roman"/>
          <w:b/>
          <w:sz w:val="22"/>
        </w:rPr>
        <w:t>Architectural Design and Implementation:</w:t>
      </w:r>
      <w:r>
        <w:rPr>
          <w:rFonts w:ascii="Times New Roman" w:hAnsi="Times New Roman"/>
          <w:sz w:val="22"/>
        </w:rPr>
        <w:t xml:space="preserve"> Development of a physical dual-loop liquid cooling prototype utilizing a liquid-to-liquid heat exchanger to ensure thermal isolation and robust heat transfer from a localized high-heat-flux source.</w:t>
      </w:r>
    </w:p>
    <w:p>
      <w:pPr>
        <w:pStyle w:val="ListNumber"/>
        <w:spacing w:before="40" w:after="40"/>
      </w:pPr>
      <w:r>
        <w:rPr>
          <w:rFonts w:ascii="Times New Roman" w:hAnsi="Times New Roman"/>
          <w:b/>
          <w:sz w:val="22"/>
        </w:rPr>
        <w:t>Embedded Control and Monitoring Integration:</w:t>
      </w:r>
      <w:r>
        <w:rPr>
          <w:rFonts w:ascii="Times New Roman" w:hAnsi="Times New Roman"/>
          <w:sz w:val="22"/>
        </w:rPr>
        <w:t xml:space="preserve"> Implementation of a high-frequency embedded control system utilizing an ESP32-S3 microcontroller, interfacing with precision MAX6675-compensated K-type thermocouples and Hall-effect sensors for comprehensive thermal and hydronic monitoring.</w:t>
      </w:r>
    </w:p>
    <w:p>
      <w:pPr>
        <w:pStyle w:val="ListNumber"/>
        <w:spacing w:before="40" w:after="40"/>
      </w:pPr>
      <w:r>
        <w:rPr>
          <w:rFonts w:ascii="Times New Roman" w:hAnsi="Times New Roman"/>
          <w:b/>
          <w:sz w:val="22"/>
        </w:rPr>
        <w:t>Autonomous Thermal Regulation:</w:t>
      </w:r>
      <w:r>
        <w:rPr>
          <w:rFonts w:ascii="Times New Roman" w:hAnsi="Times New Roman"/>
          <w:sz w:val="22"/>
        </w:rPr>
        <w:t xml:space="preserve"> Design and execution of a localized closed-loop hysteresis control algorithm capable of maintaining the primary thermal core within a tightly constrained temperature band (64.8°C to 78.5°C).</w:t>
      </w:r>
    </w:p>
    <w:p>
      <w:pPr>
        <w:pStyle w:val="ListNumber"/>
        <w:spacing w:before="40" w:after="40"/>
      </w:pPr>
      <w:r>
        <w:rPr>
          <w:rFonts w:ascii="Times New Roman" w:hAnsi="Times New Roman"/>
          <w:b/>
          <w:sz w:val="22"/>
        </w:rPr>
        <w:t>Safety and Fault-Tolerance Mechanisms:</w:t>
      </w:r>
      <w:r>
        <w:rPr>
          <w:rFonts w:ascii="Times New Roman" w:hAnsi="Times New Roman"/>
          <w:sz w:val="22"/>
        </w:rPr>
        <w:t xml:space="preserve"> Integration of autonomous emergency protocols, including hardware-level thermal shutdown at critical temperature thresholds (&gt;80°C) and active low-flow detection algorithms to prevent catastrophic thermal runaway.</w:t>
      </w:r>
    </w:p>
    <w:p>
      <w:pPr>
        <w:pStyle w:val="ListNumber"/>
        <w:spacing w:before="40" w:after="40"/>
      </w:pPr>
      <w:r>
        <w:rPr>
          <w:rFonts w:ascii="Times New Roman" w:hAnsi="Times New Roman"/>
          <w:b/>
          <w:sz w:val="22"/>
        </w:rPr>
        <w:t>Empirical Characterization:</w:t>
      </w:r>
      <w:r>
        <w:rPr>
          <w:rFonts w:ascii="Times New Roman" w:hAnsi="Times New Roman"/>
          <w:sz w:val="22"/>
        </w:rPr>
        <w:t xml:space="preserve"> Rigorous experimental evaluation of system performance dynamics, providing quantified metrics on secondary loop stabilization (32.4°C), flow rate consistency (95.4% stability), and actuator efficiency (68% MOSFET duty cycle) during continuous operation.</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2. LITERATURE REVIEW</w:t>
      </w:r>
    </w:p>
    <w:p>
      <w:pPr>
        <w:spacing w:before="0" w:after="80"/>
      </w:pPr>
    </w:p>
    <w:p>
      <w:pPr>
        <w:spacing w:before="60" w:after="120" w:line="276" w:lineRule="auto"/>
      </w:pPr>
      <w:r>
        <w:rPr>
          <w:rFonts w:ascii="Times New Roman" w:hAnsi="Times New Roman"/>
          <w:sz w:val="22"/>
        </w:rPr>
        <w:t>The escalating heat flux densities in contemporary electronics, driven by the continuous miniaturization of semiconductor devices and the proliferation of high-performance computing (HPC) infrastructures, have necessitated a paradigm shift from conventional air cooling to advanced liquid-based thermal management solutions. This section critically examines the pertinent literature regarding liquid cooling technologies, heat exchanger optimization, multi-loop architectural paradigms, advanced coolant formulations, and intelligent embedded monitoring systems.</w:t>
      </w:r>
    </w:p>
    <w:p>
      <w:pPr>
        <w:spacing w:before="0" w:after="80"/>
      </w:pPr>
    </w:p>
    <w:p>
      <w:pPr>
        <w:keepNext/>
        <w:spacing w:before="200" w:after="80"/>
      </w:pPr>
      <w:r>
        <w:rPr>
          <w:rFonts w:ascii="Times New Roman" w:hAnsi="Times New Roman"/>
          <w:b/>
          <w:color w:val="366092"/>
          <w:sz w:val="24"/>
        </w:rPr>
        <w:t>2.1 Liquid Cooling Technologies for High-Density Applications</w:t>
      </w:r>
    </w:p>
    <w:p>
      <w:pPr>
        <w:spacing w:before="0" w:after="80"/>
      </w:pPr>
    </w:p>
    <w:p>
      <w:pPr>
        <w:spacing w:before="60" w:after="120" w:line="276" w:lineRule="auto"/>
      </w:pPr>
      <w:r>
        <w:rPr>
          <w:rFonts w:ascii="Times New Roman" w:hAnsi="Times New Roman"/>
          <w:sz w:val="22"/>
        </w:rPr>
        <w:t>The thermal limitations of traditional forced-air convection systems have been extensively documented, prompting a substantial body of research into liquid cooling modalities characterized by significantly higher heat transfer coefficients. Early foundational work by Tuckerman and Pease [4] demonstrated the viability of high-performance heat sinking for very-large-scale integration (VLSI) circuits, achieving unprecedented heat dissipation rates of up to 250 W/cm² utilizing microscopic channels. While their work established the theoretical bounds for microchannel heat sinks, practical implementation was historically constrained by immense pressure drop penalties and manufacturing complexities. Subsequent advancements by Kandlikar [5] expanded upon these concepts, evaluating high-flux heat removal methodologies using microchannels. Kandlikar's investigations demonstrated that microchannel architectures could improve Power Usage Effectiveness (PUE) metrics from 1.8 down to 1.2 in data center environments. However, these systems remained susceptible to flow maldistribution and channel clogging under sustained operation.</w:t>
      </w:r>
    </w:p>
    <w:p>
      <w:pPr>
        <w:spacing w:before="0" w:after="80"/>
      </w:pPr>
    </w:p>
    <w:p>
      <w:pPr>
        <w:spacing w:before="60" w:after="120" w:line="276" w:lineRule="auto"/>
      </w:pPr>
      <w:r>
        <w:rPr>
          <w:rFonts w:ascii="Times New Roman" w:hAnsi="Times New Roman"/>
          <w:sz w:val="22"/>
        </w:rPr>
        <w:t>In macroscopic data center environments, Zhang et al. [1] provided a comprehensive review of liquid cooling technologies, emphasizing that direct liquid cooling can yield a 35-40% reduction in cooling energy consumption relative to conventional air-chilled systems. Despite these thermodynamic benefits, the widespread adoption of single-loop direct liquid cooling is often impeded by concerns over leak-induced hardware catastrophic failures and complex plumbing infrastructure. Patel et al. [2] analyzed thermal considerations for large-scale, high-compute-density data centers, observing a 28% improvement in overall thermal management efficiency when dual-loop isolation techniques were implemented. This early assertion underscored the necessity of separating the primary server-side cooling loop from the facility-level heat rejection loop to mitigate risks. Furthermore, Iyengar et al. [3] explored server liquid cooling within chiller-less data center designs, proving the feasibility of utilizing elevated temperature coolants while maintaining acceptable junction temperatures. While chiller-less architectures drastically reduce energy consumption, they inherently demand highly optimized heat transfer interfaces and advanced coolant fluids to compensate for the diminished temperature gradient between the IT equipment and the ambient environment.</w:t>
      </w:r>
    </w:p>
    <w:p>
      <w:pPr>
        <w:spacing w:before="0" w:after="80"/>
      </w:pPr>
    </w:p>
    <w:p>
      <w:pPr>
        <w:keepNext/>
        <w:spacing w:before="200" w:after="80"/>
      </w:pPr>
      <w:r>
        <w:rPr>
          <w:rFonts w:ascii="Times New Roman" w:hAnsi="Times New Roman"/>
          <w:b/>
          <w:color w:val="366092"/>
          <w:sz w:val="24"/>
        </w:rPr>
        <w:t>2.2 Heat Exchanger Design and Optimization</w:t>
      </w:r>
    </w:p>
    <w:p>
      <w:pPr>
        <w:spacing w:before="0" w:after="80"/>
      </w:pPr>
    </w:p>
    <w:p>
      <w:pPr>
        <w:spacing w:before="60" w:after="120" w:line="276" w:lineRule="auto"/>
      </w:pPr>
      <w:r>
        <w:rPr>
          <w:rFonts w:ascii="Times New Roman" w:hAnsi="Times New Roman"/>
          <w:sz w:val="22"/>
        </w:rPr>
        <w:t xml:space="preserve">The interfacial heat transfer between independent coolant loops relies critically on the performance of the liquid-to-liquid heat exchanger (LLHX). Wang et al. [8] conducted extensive design optimizations of LLHXs, employing computational fluid dynamics (CFD) paired with genetic algorithms to refine internal fin geometries and flow path topologies. Their research successfully reduced the thermal resistance of the exchanger to 0.08 °C/W. Despite this impressive reduction, their numerical models assumed idealized flow distribution and neglected the transient thermal fouling that inevitably degrades performance in prolonged industrial deployment. </w:t>
      </w:r>
    </w:p>
    <w:p>
      <w:pPr>
        <w:spacing w:before="0" w:after="80"/>
      </w:pPr>
    </w:p>
    <w:p>
      <w:pPr>
        <w:spacing w:before="60" w:after="120" w:line="276" w:lineRule="auto"/>
      </w:pPr>
      <w:r>
        <w:rPr>
          <w:rFonts w:ascii="Times New Roman" w:hAnsi="Times New Roman"/>
          <w:sz w:val="22"/>
        </w:rPr>
        <w:t>Complementary empirical research by Awasthi et al. [10] focused on heat exchanger design and empirical optimization through the modification of surface topologies. By incorporating micro-structured enhanced boiling surfaces and optimized baffle configurations, Awasthi et al. achieved a 30% increase in effective surface area, which translated to a 25% empirical efficiency improvement in heat transfer rates. Nevertheless, the integration of such complex micro-structured surfaces incurs substantial pressure drops, necessitating higher capacity secondary pumps and consequently eroding a fraction of the achieved thermodynamic efficiency. A synthesis of these studies indicates a critical requirement for a balanced LLHX design that minimizes thermal resistance while simultaneously constraining pressure drops to ensure acceptable overall system coefficient of performance (COP).</w:t>
      </w:r>
    </w:p>
    <w:p>
      <w:pPr>
        <w:spacing w:before="0" w:after="80"/>
      </w:pPr>
    </w:p>
    <w:p>
      <w:pPr>
        <w:keepNext/>
        <w:spacing w:before="200" w:after="80"/>
      </w:pPr>
      <w:r>
        <w:rPr>
          <w:rFonts w:ascii="Times New Roman" w:hAnsi="Times New Roman"/>
          <w:b/>
          <w:color w:val="366092"/>
          <w:sz w:val="24"/>
        </w:rPr>
        <w:t>2.3 Multi-Loop Cooling Architectures</w:t>
      </w:r>
    </w:p>
    <w:p>
      <w:pPr>
        <w:spacing w:before="0" w:after="80"/>
      </w:pPr>
    </w:p>
    <w:p>
      <w:pPr>
        <w:spacing w:before="60" w:after="120" w:line="276" w:lineRule="auto"/>
      </w:pPr>
      <w:r>
        <w:rPr>
          <w:rFonts w:ascii="Times New Roman" w:hAnsi="Times New Roman"/>
          <w:sz w:val="22"/>
        </w:rPr>
        <w:t>The architectural transition from monolithic single-loop systems to multi-loop configurations represents a critical evolution in high-reliability thermal management. Zimmermann et al. [6] provided a systematic review of cooling technologies for data centers and HPC facilities, quantitatively demonstrating that liquid cooling can achieve 92-95% efficiency in heat capture, contrasting starkly with the 60-70% capture efficiency typical of air cooling systems. However, single-loop implementations expose sensitive electronics to raw facility water, elevating the risk of particulate contamination and galvanic corrosion. Poredoš et al. [7] conducted an energy efficiency analysis of liquid-cooled data centers utilizing decoupled loops, reporting an 18-22% reduction in coolant temperature rise across the IT chassis due to superior flow regulation in the primary loop.</w:t>
      </w:r>
    </w:p>
    <w:p>
      <w:pPr>
        <w:spacing w:before="0" w:after="80"/>
      </w:pPr>
    </w:p>
    <w:p>
      <w:pPr>
        <w:spacing w:before="60" w:after="120" w:line="276" w:lineRule="auto"/>
      </w:pPr>
      <w:r>
        <w:rPr>
          <w:rFonts w:ascii="Times New Roman" w:hAnsi="Times New Roman"/>
          <w:sz w:val="22"/>
        </w:rPr>
        <w:t>The distinct operational regimes of single-phase and two-phase liquid cooling were comparatively analyzed by Gao et al. [9]. Their study revealed that while two-phase systems can manage heat fluxes up to 500 W/cm² leveraging the latent heat of vaporization, single-phase architectures provide a more stable and predictable operational envelope at 180-220 W/cm², devoid of flow boiling instabilities and complex vapor recovery mechanisms. For dual-loop designs, multi-loop dynamics were empirically investigated by Arjmandi et al. [14], who demonstrated that multi-loop systems provide a 40% improvement in fault isolation. By physically decoupling the primary and secondary fluids, secondary loop failures do not immediately precipitate primary loop depressurization. Most recently, Kim et al. [19] conducted a comparative performance analysis directly juxtaposing single-loop and dual-loop architectures. Their findings confirmed that optimally tuned dual-loop systems can maintain operational temperatures 8-12°C lower than their single-loop counterparts under identical thermal loads, validating the dual-loop paradigm for mission-critical applications.</w:t>
      </w:r>
    </w:p>
    <w:p>
      <w:pPr>
        <w:spacing w:before="0" w:after="80"/>
      </w:pPr>
    </w:p>
    <w:p>
      <w:pPr>
        <w:keepNext/>
        <w:spacing w:before="200" w:after="80"/>
      </w:pPr>
      <w:r>
        <w:rPr>
          <w:rFonts w:ascii="Times New Roman" w:hAnsi="Times New Roman"/>
          <w:b/>
          <w:color w:val="366092"/>
          <w:sz w:val="24"/>
        </w:rPr>
        <w:t>2.4 Advanced Coolant Technologies</w:t>
      </w:r>
    </w:p>
    <w:p>
      <w:pPr>
        <w:spacing w:before="0" w:after="80"/>
      </w:pPr>
    </w:p>
    <w:p>
      <w:pPr>
        <w:spacing w:before="60" w:after="120" w:line="276" w:lineRule="auto"/>
      </w:pPr>
      <w:r>
        <w:rPr>
          <w:rFonts w:ascii="Times New Roman" w:hAnsi="Times New Roman"/>
          <w:sz w:val="22"/>
        </w:rPr>
        <w:t>The thermophysical properties of the working fluid represent a fundamental constraint on the efficacy of any cooling system. Iyengar et al. [3] highlighted the necessity of optimized coolant blends, specifically noting improvements in thermal conductivity from 0.6 W/mK to 1.2 W/mK when substituting standard aqueous solutions with engineered glycol-based formulations enhanced with anti-corrosive inhibitors. While effective at suppressing biological growth and galvanic corrosion, pure glycols inherently suffer from increased dynamic viscosity, elevating pumping power requirements.</w:t>
      </w:r>
    </w:p>
    <w:p>
      <w:pPr>
        <w:spacing w:before="0" w:after="80"/>
      </w:pPr>
    </w:p>
    <w:p>
      <w:pPr>
        <w:spacing w:before="60" w:after="120" w:line="276" w:lineRule="auto"/>
      </w:pPr>
      <w:r>
        <w:rPr>
          <w:rFonts w:ascii="Times New Roman" w:hAnsi="Times New Roman"/>
          <w:sz w:val="22"/>
        </w:rPr>
        <w:t>To transcend the fundamental conductivity limitations of conventional base fluids, Choi [15] pioneered the concept of nanofluids—suspensions of nanometer-sized metallic or metallic oxide particles within a base fluid. Choi's seminal work demonstrated a 10-40% increase in thermal conductivity, fundamentally altering the convective heat transfer potential. Despite these compelling thermophysical enhancements, the application of nanofluids in multi-loop data center architectures remains hindered by agglomeration, long-term suspension instability, and the abrasive wear exerted on micro-pump impellers and heat exchanger microchannels. Consequently, current industrial preferences lean toward chemically stabilized, highly engineered homogeneous coolant blends that guarantee long-term stability and compatibility with diverse wetted materials, albeit with less dramatic thermal conductivity gains.</w:t>
      </w:r>
    </w:p>
    <w:p>
      <w:pPr>
        <w:spacing w:before="0" w:after="80"/>
      </w:pPr>
    </w:p>
    <w:p>
      <w:pPr>
        <w:keepNext/>
        <w:spacing w:before="200" w:after="80"/>
      </w:pPr>
      <w:r>
        <w:rPr>
          <w:rFonts w:ascii="Times New Roman" w:hAnsi="Times New Roman"/>
          <w:b/>
          <w:color w:val="366092"/>
          <w:sz w:val="24"/>
        </w:rPr>
        <w:t>2.5 Embedded Monitoring and Intelligent Thermal Control</w:t>
      </w:r>
    </w:p>
    <w:p>
      <w:pPr>
        <w:spacing w:before="0" w:after="80"/>
      </w:pPr>
    </w:p>
    <w:p>
      <w:pPr>
        <w:spacing w:before="60" w:after="120" w:line="276" w:lineRule="auto"/>
      </w:pPr>
      <w:r>
        <w:rPr>
          <w:rFonts w:ascii="Times New Roman" w:hAnsi="Times New Roman"/>
          <w:sz w:val="22"/>
        </w:rPr>
        <w:t>The integration of advanced cooling hardware must be augmented by sophisticated, real-time monitoring to maximize efficiency and preempt catastrophic thermal events. Early approaches to dynamic thermal management, such as those proposed by Bash et al. [12] at HP Labs, demonstrated that predictive control algorithms could yield a 15-18% reduction in cooling power consumption by dynamically modulating fan speeds and chiller setpoints based on IT equipment inlet temperatures. Concurrently, Moore et al. [11] investigated temperature-aware workload placement, showing that intelligent scheduling algorithms capable of redistributing computational tasks could achieve a 20-25% reduction in localized thermal hotspots. However, these legacy systems relied heavily on centralized facility-level sensors with significant temporal latency.</w:t>
      </w:r>
    </w:p>
    <w:p>
      <w:pPr>
        <w:spacing w:before="0" w:after="80"/>
      </w:pPr>
    </w:p>
    <w:p>
      <w:pPr>
        <w:spacing w:before="60" w:after="120" w:line="276" w:lineRule="auto"/>
      </w:pPr>
      <w:r>
        <w:rPr>
          <w:rFonts w:ascii="Times New Roman" w:hAnsi="Times New Roman"/>
          <w:sz w:val="22"/>
        </w:rPr>
        <w:t>The advent of the Internet of Things (IoT) has catalyzed a transition toward distributed, highly localized sensor networks. Lee et al. [17] developed embedded sensor networks specifically for cooling systems, achieving temperature measurement accuracies of ±0.5°C using highly calibrated digital sensors. Building upon this distributed paradigm, Singh et al. [16] introduced an IoT-based real-time thermal monitoring framework utilizing edge computing microcontrollers. Their system drastically reduced fault detection times from a conventional 5 minutes down to less than 30 seconds. Despite these strides, existing IoT frameworks often suffer from centralized processing bottlenecks and lack localized, closed-loop control authority. The literature indicates a pressing need for decentralized, microcontroller-driven architectures—such as those utilizing ESP32 platforms with precision MAX6675 thermocouple interfaces—that process thermal data at the edge and actuate flow control valves autonomously, eliminating latency and single points of failure.</w:t>
      </w:r>
    </w:p>
    <w:p>
      <w:pPr>
        <w:spacing w:before="0" w:after="80"/>
      </w:pPr>
    </w:p>
    <w:p>
      <w:pPr>
        <w:keepNext/>
        <w:spacing w:before="200" w:after="80"/>
      </w:pPr>
      <w:r>
        <w:rPr>
          <w:rFonts w:ascii="Times New Roman" w:hAnsi="Times New Roman"/>
          <w:b/>
          <w:color w:val="366092"/>
          <w:sz w:val="24"/>
        </w:rPr>
        <w:t>2.6 Sustainable and Future Cooling Paradigms</w:t>
      </w:r>
    </w:p>
    <w:p>
      <w:pPr>
        <w:spacing w:before="0" w:after="80"/>
      </w:pPr>
    </w:p>
    <w:p>
      <w:pPr>
        <w:spacing w:before="60" w:after="120" w:line="276" w:lineRule="auto"/>
      </w:pPr>
      <w:r>
        <w:rPr>
          <w:rFonts w:ascii="Times New Roman" w:hAnsi="Times New Roman"/>
          <w:sz w:val="22"/>
        </w:rPr>
        <w:t xml:space="preserve">As the global computational infrastructure expands, the environmental footprint of thermal management systems has become a paramount concern. Kheirabadi and Groulx [13] emphasized the fundamental thermodynamic superiority of liquid cooling, noting its 3x higher volumetric heat capacity compared to air, which directly translates to reduced energy expenditure for fluid transport. Joshi et al. [18] expanded on the economic implications of thermal management in data centers, concluding that optimized liquid architectures can yield a 22% annual reduction in cooling-related operational expenditures. </w:t>
      </w:r>
    </w:p>
    <w:p>
      <w:pPr>
        <w:spacing w:before="0" w:after="80"/>
      </w:pPr>
    </w:p>
    <w:p>
      <w:pPr>
        <w:spacing w:before="60" w:after="120" w:line="276" w:lineRule="auto"/>
      </w:pPr>
      <w:r>
        <w:rPr>
          <w:rFonts w:ascii="Times New Roman" w:hAnsi="Times New Roman"/>
          <w:sz w:val="22"/>
        </w:rPr>
        <w:t xml:space="preserve">Looking toward sustainable paradigms, Rahman et al. [20] investigated sustainable cooling strategies specifically tailored for AI-centric data centers, reporting an 18-25% reduction in overall carbon emissions when transitioning to optimized, intelligent liquid cooling topologies. However, Rahman et al. noted that to achieve maximum sustainability, future systems must not only efficiently capture heat but also provide high-grade effluent suitable for facility heating or district energy networks. This necessitates precise temperature control to maintain the secondary loop coolant at high exergy levels without compromising the thermal safety of the primary loop components. </w:t>
      </w:r>
    </w:p>
    <w:p>
      <w:pPr>
        <w:spacing w:before="0" w:after="80"/>
      </w:pPr>
    </w:p>
    <w:p>
      <w:pPr>
        <w:keepNext/>
        <w:spacing w:before="200" w:after="80"/>
      </w:pPr>
      <w:r>
        <w:rPr>
          <w:rFonts w:ascii="Times New Roman" w:hAnsi="Times New Roman"/>
          <w:b/>
          <w:color w:val="366092"/>
          <w:sz w:val="24"/>
        </w:rPr>
        <w:t>2.7 Research Gap Analysis</w:t>
      </w:r>
    </w:p>
    <w:p>
      <w:pPr>
        <w:spacing w:before="0" w:after="80"/>
      </w:pPr>
    </w:p>
    <w:p>
      <w:pPr>
        <w:spacing w:before="60" w:after="120" w:line="276" w:lineRule="auto"/>
      </w:pPr>
      <w:r>
        <w:rPr>
          <w:rFonts w:ascii="Times New Roman" w:hAnsi="Times New Roman"/>
          <w:sz w:val="22"/>
        </w:rPr>
        <w:t>A rigorous synthesis of the reviewed literature reveals several critical research gaps that the present study seeks to address. While dual-loop cooling architectures [2], [14], [19] have demonstrated superior fault isolation and thermal stability compared to monolithic single-loop designs, the dynamic control of these interconnected loops remains largely rudimentary. Existing studies predominantly employ steady-state flow conditions or rely on slow-acting, centralized facility management systems [11], [12] that exhibit unacceptable latency during transient thermal spikes characteristic of modern heterogeneous computing workloads.</w:t>
      </w:r>
    </w:p>
    <w:p>
      <w:pPr>
        <w:spacing w:before="0" w:after="80"/>
      </w:pPr>
    </w:p>
    <w:p>
      <w:pPr>
        <w:spacing w:before="60" w:after="120" w:line="276" w:lineRule="auto"/>
      </w:pPr>
      <w:r>
        <w:rPr>
          <w:rFonts w:ascii="Times New Roman" w:hAnsi="Times New Roman"/>
          <w:sz w:val="22"/>
        </w:rPr>
        <w:t>Furthermore, while IoT-based monitoring [16], [17] has drastically reduced fault detection times, these systems are primarily observational rather than actively regulatory. There is a distinct paucity of research integrating high-precision sensor networks (e.g., MAX6675 thermocouples and high-resolution flow meters) directly into edge-computing microcontrollers (e.g., ESP32-S3) to facilitate autonomous, localized, closed-loop PID control of both primary and secondary flow rates simultaneously.</w:t>
      </w:r>
    </w:p>
    <w:p>
      <w:pPr>
        <w:spacing w:before="0" w:after="80"/>
      </w:pPr>
    </w:p>
    <w:p>
      <w:pPr>
        <w:spacing w:before="60" w:after="120" w:line="276" w:lineRule="auto"/>
      </w:pPr>
      <w:r>
        <w:rPr>
          <w:rFonts w:ascii="Times New Roman" w:hAnsi="Times New Roman"/>
          <w:sz w:val="22"/>
        </w:rPr>
        <w:t>Finally, while heat exchanger optimizations [8], [10] have minimized thermal resistance, they have not been adequately co-optimized with intelligent edge-control algorithms that dynamically modulate fluid velocities to optimize the LLHX performance under partial-load conditions. Therefore, this research proposes a novel Dual-Loop Controlled Cooling System that bridges these gaps by embedding an ESP32-S3 microcontroller framework to provide real-time, autonomous thermal regulation and fault mitigation, synthesizing the thermodynamic benefits of multi-loop architectures with the agility of decentralized IoT edge computing.</w:t>
      </w:r>
    </w:p>
    <w:p>
      <w:pPr>
        <w:spacing w:before="0" w:after="80"/>
      </w:pPr>
    </w:p>
    <w:p>
      <w:pPr>
        <w:spacing w:before="60" w:after="120" w:line="276" w:lineRule="auto"/>
      </w:pPr>
      <w:r>
        <w:rPr>
          <w:rFonts w:ascii="Times New Roman" w:hAnsi="Times New Roman"/>
          <w:b/>
          <w:sz w:val="22"/>
        </w:rPr>
        <w:t>Table 1. Comparative Summary of Related Work</w:t>
      </w:r>
    </w:p>
    <w:p>
      <w:pPr>
        <w:spacing w:before="0" w:after="80"/>
      </w:pP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Borders>
              <w:top w:sz="12" w:val="single" w:color="1F497D"/>
              <w:bottom w:sz="18" w:val="single" w:color="1F497D"/>
            </w:tcBorders>
          </w:tcPr>
          <w:p>
            <w:pPr>
              <w:spacing w:before="80" w:after="80"/>
              <w:jc w:val="left"/>
            </w:pPr>
            <w:r>
              <w:rPr>
                <w:rFonts w:ascii="Times New Roman" w:hAnsi="Times New Roman"/>
                <w:b/>
                <w:color w:val="FFFFFF"/>
                <w:sz w:val="20"/>
              </w:rPr>
              <w:t>Reference</w:t>
            </w:r>
          </w:p>
        </w:tc>
        <w:tc>
          <w:tcPr>
            <w:tcW w:type="dxa" w:w="1872"/>
            <w:shd w:fill="1F497D"/>
            <w:tcBorders>
              <w:top w:sz="12" w:val="single" w:color="1F497D"/>
              <w:bottom w:sz="18" w:val="single" w:color="1F497D"/>
            </w:tcBorders>
          </w:tcPr>
          <w:p>
            <w:pPr>
              <w:spacing w:before="80" w:after="80"/>
              <w:jc w:val="left"/>
            </w:pPr>
            <w:r>
              <w:rPr>
                <w:rFonts w:ascii="Times New Roman" w:hAnsi="Times New Roman"/>
                <w:b/>
                <w:color w:val="FFFFFF"/>
                <w:sz w:val="20"/>
              </w:rPr>
              <w:t>Year</w:t>
            </w:r>
          </w:p>
        </w:tc>
        <w:tc>
          <w:tcPr>
            <w:tcW w:type="dxa" w:w="1872"/>
            <w:shd w:fill="1F497D"/>
            <w:tcBorders>
              <w:top w:sz="12" w:val="single" w:color="1F497D"/>
              <w:bottom w:sz="18" w:val="single" w:color="1F497D"/>
            </w:tcBorders>
          </w:tcPr>
          <w:p>
            <w:pPr>
              <w:spacing w:before="80" w:after="80"/>
              <w:jc w:val="left"/>
            </w:pPr>
            <w:r>
              <w:rPr>
                <w:rFonts w:ascii="Times New Roman" w:hAnsi="Times New Roman"/>
                <w:b/>
                <w:color w:val="FFFFFF"/>
                <w:sz w:val="20"/>
              </w:rPr>
              <w:t>Focus Area</w:t>
            </w:r>
          </w:p>
        </w:tc>
        <w:tc>
          <w:tcPr>
            <w:tcW w:type="dxa" w:w="1872"/>
            <w:shd w:fill="1F497D"/>
            <w:tcBorders>
              <w:top w:sz="12" w:val="single" w:color="1F497D"/>
              <w:bottom w:sz="18" w:val="single" w:color="1F497D"/>
            </w:tcBorders>
          </w:tcPr>
          <w:p>
            <w:pPr>
              <w:spacing w:before="80" w:after="80"/>
              <w:jc w:val="left"/>
            </w:pPr>
            <w:r>
              <w:rPr>
                <w:rFonts w:ascii="Times New Roman" w:hAnsi="Times New Roman"/>
                <w:b/>
                <w:color w:val="FFFFFF"/>
                <w:sz w:val="20"/>
              </w:rPr>
              <w:t>Key Finding</w:t>
            </w:r>
          </w:p>
        </w:tc>
        <w:tc>
          <w:tcPr>
            <w:tcW w:type="dxa" w:w="1872"/>
            <w:shd w:fill="1F497D"/>
            <w:tcBorders>
              <w:top w:sz="12" w:val="single" w:color="1F497D"/>
              <w:bottom w:sz="18" w:val="single" w:color="1F497D"/>
            </w:tcBorders>
          </w:tcPr>
          <w:p>
            <w:pPr>
              <w:spacing w:before="80" w:after="80"/>
              <w:jc w:val="left"/>
            </w:pPr>
            <w:r>
              <w:rPr>
                <w:rFonts w:ascii="Times New Roman" w:hAnsi="Times New Roman"/>
                <w:b/>
                <w:color w:val="FFFFFF"/>
                <w:sz w:val="20"/>
              </w:rPr>
              <w:t>Limitation</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Tuckerman &amp; Pease [4]</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1981</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Microchannel cooling</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Up to 250 W/cm² heat dissipation</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High pressure drop and flow maldistribution</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Choi [15]</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1995</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Nanofluids</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10-40% thermal conductivity increase</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Suspension instability and abrasive wear</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Patel et al. [2]</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2003</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Thermal management</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28% improvement with dual-loop isolation</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Complex facility integration requirements</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Moore et al. [11]</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2005</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Workload scheduling</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20-25% hotspot reduction</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Dependent on centralized facility latency</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Kandlikar [5]</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2005</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High flux microchannels</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PUE improved from 1.8 to 1.2</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Susceptibility to channel clogging</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Bash et al. [12]</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2006</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Dynamic thermal mgmt</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15-18% cooling power reduction</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Predictive models rely on steady-state assumptions</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Joshi et al. [18]</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2008</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Data center thermal mgmt</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22% annual cooling cost reduction</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High initial capital expenditure</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Iyengar et al. [3]</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2012</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Chiller-less server cooling</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Improved thermal conductivity (0.6 to 1.2 W/mK)</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Reduced temperature gradient limits capacity</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Kheirabadi &amp; Groulx [13]</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2016</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Server electronics cooling</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3x higher heat capacity for liquid vs air</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Retrofitting legacy servers is challenging</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Awasthi et al. [10]</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2017</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Heat exchanger optimization</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30% increased area, 25% efficiency gain</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Micro-structures induce severe pressure drops</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Gao et al. [9]</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2018</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Phase-change cooling</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Two-phase: 500 W/cm², single-phase: 180-220 W/cm²</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Two-phase systems suffer from flow instabilities</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Poredoš et al. [7]</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2019</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Energy efficiency</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18-22% reduction in coolant temp rise</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Assumes idealized secondary loop rejection</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Lee et al. [17]</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2019</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Embedded sensor networks</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Accuracy ±0.5°C</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Centralized processing bottlenecks</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Zimmermann et al. [6]</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2020</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HPC cooling review</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Liquid cooling 92-95% efficiency vs air 60-70%</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Single-loop designs risk catastrophic leaks</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Arjmandi et al. [14]</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2020</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Multi-loop systems</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40% improved fault isolation</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Increased pumping power requirements</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Wang et al. [8]</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2021</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LLHX design</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Thermal resistance reduced to 0.08 °C/W</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Neglects transient thermal fouling</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Singh et al. [16]</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2021</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IoT thermal monitoring</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Fault detection from 5 min to &lt;30 sec</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Observational system lacking closed-loop control</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Zhang et al. [1]</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2022</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Data center liquid cooling</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35-40% reduction in cooling energy</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Complex plumbing and high maintenance costs</w:t>
            </w:r>
          </w:p>
        </w:tc>
      </w:tr>
      <w:tr>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Rahman et al. [20]</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2022</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Sustainable AI cooling</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18-25% carbon emission reduction</w:t>
            </w:r>
          </w:p>
        </w:tc>
        <w:tc>
          <w:tcPr>
            <w:tcW w:type="dxa" w:w="1872"/>
            <w:shd w:fill="F2F5F9"/>
            <w:tcBorders>
              <w:top w:sz="4" w:val="single" w:color="D3D3D3"/>
              <w:bottom w:sz="4" w:val="single" w:color="D3D3D3"/>
            </w:tcBorders>
          </w:tcPr>
          <w:p>
            <w:pPr>
              <w:spacing w:before="80" w:after="80"/>
              <w:jc w:val="left"/>
            </w:pPr>
            <w:r>
              <w:rPr>
                <w:rFonts w:ascii="Times New Roman" w:hAnsi="Times New Roman"/>
                <w:sz w:val="20"/>
              </w:rPr>
              <w:t>Requires high-grade effluent utilization</w:t>
            </w:r>
          </w:p>
        </w:tc>
      </w:tr>
      <w:tr>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Kim et al. [19]</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2023</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Single vs dual-loop</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8-12°C lower operating temps for dual-loop</w:t>
            </w:r>
          </w:p>
        </w:tc>
        <w:tc>
          <w:tcPr>
            <w:tcW w:type="dxa" w:w="1872"/>
            <w:shd w:fill="FFFFFF"/>
            <w:tcBorders>
              <w:top w:sz="4" w:val="single" w:color="D3D3D3"/>
              <w:bottom w:sz="4" w:val="single" w:color="D3D3D3"/>
            </w:tcBorders>
          </w:tcPr>
          <w:p>
            <w:pPr>
              <w:spacing w:before="80" w:after="80"/>
              <w:jc w:val="left"/>
            </w:pPr>
            <w:r>
              <w:rPr>
                <w:rFonts w:ascii="Times New Roman" w:hAnsi="Times New Roman"/>
                <w:sz w:val="20"/>
              </w:rPr>
              <w:t>Demands highly optimized interfaces</w:t>
            </w:r>
          </w:p>
        </w:tc>
      </w:tr>
    </w:tbl>
    <w:p>
      <w:pPr>
        <w:spacing w:after="120"/>
      </w:pP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3. SYSTEM ARCHITECTURE</w:t>
      </w:r>
    </w:p>
    <w:p>
      <w:pPr>
        <w:spacing w:before="0" w:after="80"/>
      </w:pPr>
    </w:p>
    <w:p>
      <w:pPr>
        <w:spacing w:before="60" w:after="120" w:line="276" w:lineRule="auto"/>
      </w:pPr>
      <w:r>
        <w:rPr>
          <w:rFonts w:ascii="Times New Roman" w:hAnsi="Times New Roman"/>
          <w:sz w:val="22"/>
        </w:rPr>
        <w:t>The overall architecture of the dual-loop controlled cooling system is systematically designed to decouple the heat generation source from the ultimate heat rejection environment, thereby enhancing thermal management stability and safety. The configuration relies on a primary coolant loop that directly interacts with the heat generation unit, and a secondary coolant loop responsible for dissipating the accumulated thermal energy to the ambient environment. These two distinct circuits communicate thermally through an intermediate heat exchanger. This deliberate segregation ensures that the primary coolant, which may be subjected to high temperatures or specialized fluids, is isolated from the ambient dissipation hardware, optimizing both control authority and maintenance safety. The core of this system's operation is governed by a central microcontroller unit that orchestrates the active components based on real-time sensory feedback.</w:t>
      </w:r>
    </w:p>
    <w:p>
      <w:pPr>
        <w:spacing w:before="0" w:after="80"/>
      </w:pPr>
    </w:p>
    <w:p>
      <w:pPr>
        <w:spacing w:before="60" w:after="120" w:line="276" w:lineRule="auto"/>
      </w:pPr>
      <w:r>
        <w:rPr>
          <w:rFonts w:ascii="Times New Roman" w:hAnsi="Times New Roman"/>
          <w:sz w:val="22"/>
        </w:rPr>
        <w:t>Figure 1. Schematic diagram of the dual-loop controlled cooling system architecture.</w:t>
      </w:r>
    </w:p>
    <w:p>
      <w:pPr>
        <w:spacing w:before="0" w:after="80"/>
      </w:pPr>
    </w:p>
    <w:p>
      <w:pPr>
        <w:spacing w:before="60" w:after="120" w:line="276" w:lineRule="auto"/>
      </w:pPr>
      <w:r>
        <w:rPr>
          <w:rFonts w:ascii="Times New Roman" w:hAnsi="Times New Roman"/>
          <w:sz w:val="22"/>
        </w:rPr>
        <w:t>[Insert Figure 1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spacing w:before="60" w:after="120" w:line="276" w:lineRule="auto"/>
      </w:pPr>
      <w:r>
        <w:rPr>
          <w:rFonts w:ascii="Times New Roman" w:hAnsi="Times New Roman"/>
          <w:sz w:val="22"/>
        </w:rPr>
        <w:t>The Heat Generation Subsystem is the primary thermal load of the experimental apparatus, meticulously constructed to simulate controlled thermal stresses. The subsystem is composed of a stainless-steel or aluminum thermal core, manifesting as either a spherical or cylindrical geometry, with a diameter ranging from 80 to 120 mm and a height of 120 to 180 mm. The material selection of SS304 or SS316 ensures high resistance to oxidation and thermal degradation under continuous operation. The active heating element consists of nichrome wire, inherently possessing high electrical resistivity and thermal stability, tightly wrapped around the thermal core to deliver a variable thermal output between 100 W and 300 W. To direct the thermal energy radially inward and mitigate parasitic heat losses to the immediate surroundings, high-grade fiberglass tape insulation is interposed between the nichrome winding and the external chamber casing. The electrical modulation of the heating element is achieved utilizing an IRFZ44N N-channel power MOSFET. This semiconductor device, rated for a maximum drain-to-source voltage of 55 V and capable of dissipating 94 W during switching operations, operates under pulse-width modulation or discrete ON/OFF switching from the central controller, facilitating precise regulation of the input electrical power and the consequent thermal generation.</w:t>
      </w:r>
    </w:p>
    <w:p>
      <w:pPr>
        <w:spacing w:before="0" w:after="80"/>
      </w:pPr>
    </w:p>
    <w:p>
      <w:pPr>
        <w:spacing w:before="60" w:after="120" w:line="276" w:lineRule="auto"/>
      </w:pPr>
      <w:r>
        <w:rPr>
          <w:rFonts w:ascii="Times New Roman" w:hAnsi="Times New Roman"/>
          <w:sz w:val="22"/>
        </w:rPr>
        <w:t>The Primary Coolant Loop functions as the initial thermal extraction mechanism, directly interfacing with the heat generation subsystem. It is designed to circulate a specialized heat transfer fluid, typically distilled water or CNC cooling oil, to absorb the thermal energy emitted by the core. Circulation is driven by a D385 DC diaphragm pump operating at 12 V DC with a power consumption of 18-24 W, providing adequate head pressure and volumetric flow. The primary circuit includes a stainless-steel thermal chamber encapsulating the heat source, ensuring direct contact or close-proximity thermal exchange between the fluid and the heated core. A dedicated stainless-steel coolant reservoir, with a volumetric capacity of 1 to 2 liters, acts as a thermal buffer to dampen rapid temperature fluctuations and provide fluid expansion volume. The fluid transport network is constructed from polyurethane braided tubing possessing an 8 mm internal diameter, which is highly resilient to thermal degradation and mechanical abrasion. Reliable and leak-resistant connections throughout the primary loop are guaranteed by the implementation of brass hose barb connectors secured with adjustable hose clamps.</w:t>
      </w:r>
    </w:p>
    <w:p>
      <w:pPr>
        <w:spacing w:before="0" w:after="80"/>
      </w:pPr>
    </w:p>
    <w:p>
      <w:pPr>
        <w:spacing w:before="60" w:after="120" w:line="276" w:lineRule="auto"/>
      </w:pPr>
      <w:r>
        <w:rPr>
          <w:rFonts w:ascii="Times New Roman" w:hAnsi="Times New Roman"/>
          <w:sz w:val="22"/>
        </w:rPr>
        <w:t>Figure 2. Detailed view of the primary coolant loop and heat generation chamber.</w:t>
      </w:r>
    </w:p>
    <w:p>
      <w:pPr>
        <w:spacing w:before="0" w:after="80"/>
      </w:pPr>
    </w:p>
    <w:p>
      <w:pPr>
        <w:spacing w:before="60" w:after="120" w:line="276" w:lineRule="auto"/>
      </w:pPr>
      <w:r>
        <w:rPr>
          <w:rFonts w:ascii="Times New Roman" w:hAnsi="Times New Roman"/>
          <w:sz w:val="22"/>
        </w:rPr>
        <w:t>[Insert Figure 2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spacing w:before="60" w:after="120" w:line="276" w:lineRule="auto"/>
      </w:pPr>
      <w:r>
        <w:rPr>
          <w:rFonts w:ascii="Times New Roman" w:hAnsi="Times New Roman"/>
          <w:sz w:val="22"/>
        </w:rPr>
        <w:t>The Heat Exchanger Unit acts as the critical thermal bridge between the primary and secondary coolant loops while maintaining absolute physical isolation of their respective fluids. The assembly is constructed utilizing two discrete aluminum cooling blocks, each measuring 80 mm by 60 mm by 20 mm. Aluminum is selected for its highly favorable thermal conductivity-to-weight ratio. The opposing planar surfaces of the blocks are mated together. To minimize interfacial thermal contact resistance and maximize the conductive heat transfer coefficient across the junction, a high-performance thermal paste is uniformly applied between the contiguous surfaces. The structural integrity and contact pressure of this assembly are maintained by a robust bolted clamping arrangement, ensuring a consistent and optimal thermal interface under varying operational temperatures and fluid pressures. The primary fluid passes through the internal channels of one block, rejecting heat conductively through the aluminum matrix to the second block, where it is subsequently absorbed by the secondary fluid.</w:t>
      </w:r>
    </w:p>
    <w:p>
      <w:pPr>
        <w:spacing w:before="0" w:after="80"/>
      </w:pPr>
    </w:p>
    <w:p>
      <w:pPr>
        <w:spacing w:before="60" w:after="120" w:line="276" w:lineRule="auto"/>
      </w:pPr>
      <w:r>
        <w:rPr>
          <w:rFonts w:ascii="Times New Roman" w:hAnsi="Times New Roman"/>
          <w:sz w:val="22"/>
        </w:rPr>
        <w:t>The Secondary Coolant Loop is explicitly tasked with the ultimate rejection of the system's thermal energy into the ambient environment. Similar to the primary circuit, it employs a D385 DC pump to facilitate continuous fluid circulation. The secondary fluid traverses through its designated aluminum block within the heat exchanger unit, absorbing the thermal energy transferred from the primary loop. The heated secondary coolant is then propelled into a dedicated cooling chamber and a secondary coolant reservoir, matching the primary reservoir's 1-2 liter capacity. The principal component for thermal dissipation is an active forced-air radiator assembly. This assembly comprises a finned heat exchanger coupled with a 12 V DC cooling fan, operating with a power consumption of 6-12 W. The fan continuously draws ambient air across the radiator fins, maximizing the convective heat transfer coefficient and effectively dissipating the thermal energy from the secondary fluid before it is recirculated back to the heat exchanger.</w:t>
      </w:r>
    </w:p>
    <w:p>
      <w:pPr>
        <w:spacing w:before="0" w:after="80"/>
      </w:pPr>
    </w:p>
    <w:p>
      <w:pPr>
        <w:spacing w:before="60" w:after="120" w:line="276" w:lineRule="auto"/>
      </w:pPr>
      <w:r>
        <w:rPr>
          <w:rFonts w:ascii="Times New Roman" w:hAnsi="Times New Roman"/>
          <w:sz w:val="22"/>
        </w:rPr>
        <w:t>Figure 3. Secondary coolant loop and forced-air radiator assembly.</w:t>
      </w:r>
    </w:p>
    <w:p>
      <w:pPr>
        <w:spacing w:before="0" w:after="80"/>
      </w:pPr>
    </w:p>
    <w:p>
      <w:pPr>
        <w:spacing w:before="60" w:after="120" w:line="276" w:lineRule="auto"/>
      </w:pPr>
      <w:r>
        <w:rPr>
          <w:rFonts w:ascii="Times New Roman" w:hAnsi="Times New Roman"/>
          <w:sz w:val="22"/>
        </w:rPr>
        <w:t>[Insert Figure 3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spacing w:before="60" w:after="120" w:line="276" w:lineRule="auto"/>
      </w:pPr>
      <w:r>
        <w:rPr>
          <w:rFonts w:ascii="Times New Roman" w:hAnsi="Times New Roman"/>
          <w:sz w:val="22"/>
        </w:rPr>
        <w:t>The Control and Monitoring Unit constitutes the intelligent nucleus of the entire experimental setup, providing real-time data acquisition, logic processing, and actuator command generation. The processing core is the ESP32-S3-WROOM-1-N8R2 microcontroller, featuring a dual-core Xtensa LX7 processor operating at a clock frequency of 240 MHz. This MCU is equipped with 8 MB of flash memory and 2 MB of PSRAM, offering substantial computational resources for real-time sensor polling and complex control algorithms. Thermal monitoring is achieved through a network of three K-type thermocouples integrated with MAX6675 cold-junction-compensated digital-to-thermocouple converters. These modules utilize a Serial Peripheral Interface (SPI) and provide a 12-bit resolution, equating to a thermal resolution of 0.25 °C over an extensive measurement range of 0 to 1024 °C. Thermocouple TC1 monitors the core temperature, TC2 records the primary loop temperature, and TC3 tracks the secondary loop temperature. Fluid dynamics are monitored utilizing a ZJ-S201 (or YF-S201) Hall-effect flow sensor, which generates a pulsed frequency output directly proportional to the volumetric flow rate. Temporal referencing and data logging synchronization are managed by a highly precise DS3231 I2C real-time clock (RTC), which is temperature-compensated (TCXO) to eliminate clock drift. The instantaneous system status, including temperatures and flow rates, is visually presented to the operator via a 16x2 character I2C liquid crystal display utilizing a PCF8574T backpack module.</w:t>
      </w:r>
    </w:p>
    <w:p>
      <w:pPr>
        <w:spacing w:before="0" w:after="80"/>
      </w:pPr>
    </w:p>
    <w:p>
      <w:pPr>
        <w:spacing w:before="60" w:after="120" w:line="276" w:lineRule="auto"/>
      </w:pPr>
      <w:r>
        <w:rPr>
          <w:rFonts w:ascii="Times New Roman" w:hAnsi="Times New Roman"/>
          <w:sz w:val="22"/>
        </w:rPr>
        <w:t>The Power Distribution System is meticulously engineered to provide stable, regulated, and sufficient electrical power to all diverse components within the architecture. The primary power source is a high-capacity 12 V, 50 A Switched-Mode Power Supply (SMPS), capable of delivering a total output of 600 W. This primary 12 V rail directly supplies the high-power loads, including the nichrome heating element, the primary and secondary D385 DC pumps, and the radiator cooling fan. To accommodate the disparate voltage requirements of the logic circuits, intermediate power conversion stages are implemented. An LM2596 step-down (buck) switching regulator is utilized to efficiently convert the 12 V supply to a stable 5 V rail, which is essential for powering the relay modules and various logic-level peripherals. Furthermore, an AMS1117-3.3V low-dropout linear regulator derives a clean 3.3 V supply from the 5 V rail, dedicated exclusively to powering the ESP32-S3 microcontroller and its associated 3.3 V logic sensors, ensuring electrical noise isolation for the sensitive digital electronics.</w:t>
      </w:r>
    </w:p>
    <w:p>
      <w:pPr>
        <w:spacing w:before="0" w:after="80"/>
      </w:pPr>
    </w:p>
    <w:p>
      <w:pPr>
        <w:spacing w:before="60" w:after="120" w:line="276" w:lineRule="auto"/>
      </w:pPr>
      <w:r>
        <w:rPr>
          <w:rFonts w:ascii="Times New Roman" w:hAnsi="Times New Roman"/>
          <w:sz w:val="22"/>
        </w:rPr>
        <w:t>The Safety and Interlock System is deeply integrated into both the hardware and software layers to preclude catastrophic failure modes and ensure operator safety. A 4-channel electromechanical relay module is employed to completely isolate the high-current components (pumps, fans, heater) from the low-voltage control circuitry, enabling safe switching operations. In the event of an anomalous condition, such as a thermal runaway or a loss of coolant flow, the ESP32-S3 firmware is programmed to trigger a dedicated acoustic buzzer and an array of RGB LEDs, providing immediate and unmistakable auditory and visual alarms to the operator. Concurrently, the control algorithm can initiate an emergency shutdown (ESD) sequence, instantly de-energizing the solid-state MOSFET and the primary relays to halt heat generation and circulation. As a fundamental hardware failsafe, appropriately rated inline electrical fuses are installed on all major power branches to mechanically sever the circuit in the presence of an overcurrent event, protecting the wiring and components from thermal damage or combustion.</w:t>
      </w:r>
    </w:p>
    <w:p>
      <w:pPr>
        <w:spacing w:before="0" w:after="80"/>
      </w:pPr>
    </w:p>
    <w:p>
      <w:pPr>
        <w:spacing w:before="60" w:after="120" w:line="276" w:lineRule="auto"/>
      </w:pPr>
      <w:r>
        <w:rPr>
          <w:rFonts w:ascii="Times New Roman" w:hAnsi="Times New Roman"/>
          <w:sz w:val="22"/>
        </w:rPr>
        <w:t>Figure 4. Electrical schematic and signal routing for the control and safety systems.</w:t>
      </w:r>
    </w:p>
    <w:p>
      <w:pPr>
        <w:spacing w:before="0" w:after="80"/>
      </w:pPr>
    </w:p>
    <w:p>
      <w:pPr>
        <w:spacing w:before="60" w:after="120" w:line="276" w:lineRule="auto"/>
      </w:pPr>
      <w:r>
        <w:rPr>
          <w:rFonts w:ascii="Times New Roman" w:hAnsi="Times New Roman"/>
          <w:sz w:val="22"/>
        </w:rPr>
        <w:t>[Insert Figure 4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4. THEORETICAL ANALYSIS AND MATHEMATICAL MODELING</w:t>
      </w:r>
    </w:p>
    <w:p>
      <w:pPr>
        <w:spacing w:before="0" w:after="80"/>
      </w:pPr>
    </w:p>
    <w:p>
      <w:pPr>
        <w:spacing w:before="60" w:after="120" w:line="276" w:lineRule="auto"/>
      </w:pPr>
      <w:r>
        <w:rPr>
          <w:rFonts w:ascii="Times New Roman" w:hAnsi="Times New Roman"/>
          <w:sz w:val="22"/>
        </w:rPr>
        <w:t xml:space="preserve">The thermal and fluid dynamic behaviors of the dual-loop cooling system are governed by fundamental physical principles. A comprehensive mathematical model is essential for predicting system performance, characterizing heat transfer efficiencies, and validating experimental observations. </w:t>
      </w:r>
    </w:p>
    <w:p>
      <w:pPr>
        <w:spacing w:before="0" w:after="80"/>
      </w:pPr>
    </w:p>
    <w:p>
      <w:pPr>
        <w:spacing w:before="60" w:after="120" w:line="276" w:lineRule="auto"/>
      </w:pPr>
      <w:r>
        <w:rPr>
          <w:rFonts w:ascii="Times New Roman" w:hAnsi="Times New Roman"/>
          <w:sz w:val="22"/>
        </w:rPr>
        <w:t>Equation (1) delineates Fourier's Law of Heat Conduction, which quantifies the rate of heat transfer through a solid medium due to a temperature gradient.</w:t>
      </w:r>
    </w:p>
    <w:p>
      <w:pPr>
        <w:spacing w:before="0" w:after="80"/>
      </w:pPr>
    </w:p>
    <w:p>
      <w:pPr>
        <w:spacing w:before="120" w:after="120"/>
        <w:jc w:val="center"/>
      </w:pPr>
      <w:r>
        <w:rPr>
          <w:rFonts w:ascii="Cambria Math" w:hAnsi="Cambria Math"/>
          <w:i/>
          <w:sz w:val="22"/>
        </w:rPr>
        <w:t>q = -k\frac{dT}{dx} \tag{1}</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q</w:t>
      </w:r>
      <w:r>
        <w:rPr>
          <w:rFonts w:ascii="Times New Roman" w:hAnsi="Times New Roman"/>
          <w:sz w:val="22"/>
        </w:rPr>
        <w:t xml:space="preserve"> is the local heat flux vector in watts per square meter (W/m²), </w:t>
      </w:r>
      <w:r>
        <w:rPr>
          <w:rFonts w:ascii="Cambria Math" w:hAnsi="Cambria Math"/>
          <w:i/>
          <w:sz w:val="22"/>
        </w:rPr>
        <w:t>k</w:t>
      </w:r>
      <w:r>
        <w:rPr>
          <w:rFonts w:ascii="Times New Roman" w:hAnsi="Times New Roman"/>
          <w:sz w:val="22"/>
        </w:rPr>
        <w:t xml:space="preserve"> is the material's thermal conductivity in watts per meter-kelvin (W/(m·K)), and </w:t>
      </w:r>
      <w:r>
        <w:rPr>
          <w:rFonts w:ascii="Cambria Math" w:hAnsi="Cambria Math"/>
          <w:i/>
          <w:sz w:val="22"/>
        </w:rPr>
        <w:t>dT/dx</w:t>
      </w:r>
      <w:r>
        <w:rPr>
          <w:rFonts w:ascii="Times New Roman" w:hAnsi="Times New Roman"/>
          <w:sz w:val="22"/>
        </w:rPr>
        <w:t xml:space="preserve"> is the temperature gradient in the direction of heat flow in kelvin per meter (K/m). The negative sign indicates that heat flows in the direction of decreasing temperature. In this system, this principle is primarily applicable to the conduction occurring through the walls of the thermal core and across the aluminum blocks of the intermediate heat exchanger.</w:t>
      </w:r>
    </w:p>
    <w:p>
      <w:pPr>
        <w:spacing w:before="0" w:after="80"/>
      </w:pPr>
    </w:p>
    <w:p>
      <w:pPr>
        <w:spacing w:before="60" w:after="120" w:line="276" w:lineRule="auto"/>
      </w:pPr>
      <w:r>
        <w:rPr>
          <w:rFonts w:ascii="Times New Roman" w:hAnsi="Times New Roman"/>
          <w:sz w:val="22"/>
        </w:rPr>
        <w:t>Equation (2) represents Newton's Law of Cooling, defining the convective heat transfer between a solid surface and a surrounding fluid in motion.</w:t>
      </w:r>
    </w:p>
    <w:p>
      <w:pPr>
        <w:spacing w:before="0" w:after="80"/>
      </w:pPr>
    </w:p>
    <w:p>
      <w:pPr>
        <w:spacing w:before="120" w:after="120"/>
        <w:jc w:val="center"/>
      </w:pPr>
      <w:r>
        <w:rPr>
          <w:rFonts w:ascii="Cambria Math" w:hAnsi="Cambria Math"/>
          <w:i/>
          <w:sz w:val="22"/>
        </w:rPr>
        <w:t>Q = hA(T_s - T_\infty) \tag{2}</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Q</w:t>
      </w:r>
      <w:r>
        <w:rPr>
          <w:rFonts w:ascii="Times New Roman" w:hAnsi="Times New Roman"/>
          <w:sz w:val="22"/>
        </w:rPr>
        <w:t xml:space="preserve"> is the rate of convective heat transfer in watts (W), </w:t>
      </w:r>
      <w:r>
        <w:rPr>
          <w:rFonts w:ascii="Cambria Math" w:hAnsi="Cambria Math"/>
          <w:i/>
          <w:sz w:val="22"/>
        </w:rPr>
        <w:t>h</w:t>
      </w:r>
      <w:r>
        <w:rPr>
          <w:rFonts w:ascii="Times New Roman" w:hAnsi="Times New Roman"/>
          <w:sz w:val="22"/>
        </w:rPr>
        <w:t xml:space="preserve"> is the convective heat transfer coefficient in watts per square meter-kelvin (W/(m²·K)), </w:t>
      </w:r>
      <w:r>
        <w:rPr>
          <w:rFonts w:ascii="Cambria Math" w:hAnsi="Cambria Math"/>
          <w:i/>
          <w:sz w:val="22"/>
        </w:rPr>
        <w:t>A</w:t>
      </w:r>
      <w:r>
        <w:rPr>
          <w:rFonts w:ascii="Times New Roman" w:hAnsi="Times New Roman"/>
          <w:sz w:val="22"/>
        </w:rPr>
        <w:t xml:space="preserve"> is the surface area exposed to the convective process in square meters (m²), </w:t>
      </w:r>
      <w:r>
        <w:rPr>
          <w:rFonts w:ascii="Cambria Math" w:hAnsi="Cambria Math"/>
          <w:i/>
          <w:sz w:val="22"/>
        </w:rPr>
        <w:t>T_s</w:t>
      </w:r>
      <w:r>
        <w:rPr>
          <w:rFonts w:ascii="Times New Roman" w:hAnsi="Times New Roman"/>
          <w:sz w:val="22"/>
        </w:rPr>
        <w:t xml:space="preserve"> is the surface temperature of the solid in kelvin (K), and </w:t>
      </w:r>
      <w:r>
        <w:rPr>
          <w:rFonts w:ascii="Cambria Math" w:hAnsi="Cambria Math"/>
          <w:i/>
          <w:sz w:val="22"/>
        </w:rPr>
        <w:t>T_\infty</w:t>
      </w:r>
      <w:r>
        <w:rPr>
          <w:rFonts w:ascii="Times New Roman" w:hAnsi="Times New Roman"/>
          <w:sz w:val="22"/>
        </w:rPr>
        <w:t xml:space="preserve"> is the bulk temperature of the surrounding fluid in kelvin (K). This equation is critical for modeling the heat extraction from the nichrome wire to the primary coolant and the heat rejection from the radiator fins to the ambient air.</w:t>
      </w:r>
    </w:p>
    <w:p>
      <w:pPr>
        <w:spacing w:before="0" w:after="80"/>
      </w:pPr>
    </w:p>
    <w:p>
      <w:pPr>
        <w:spacing w:before="60" w:after="120" w:line="276" w:lineRule="auto"/>
      </w:pPr>
      <w:r>
        <w:rPr>
          <w:rFonts w:ascii="Times New Roman" w:hAnsi="Times New Roman"/>
          <w:sz w:val="22"/>
        </w:rPr>
        <w:t>Equation (3) calculates the Heat Transfer Rate of the circulating coolant as sensible heat is absorbed or released.</w:t>
      </w:r>
    </w:p>
    <w:p>
      <w:pPr>
        <w:spacing w:before="0" w:after="80"/>
      </w:pPr>
    </w:p>
    <w:p>
      <w:pPr>
        <w:spacing w:before="120" w:after="120"/>
        <w:jc w:val="center"/>
      </w:pPr>
      <w:r>
        <w:rPr>
          <w:rFonts w:ascii="Cambria Math" w:hAnsi="Cambria Math"/>
          <w:i/>
          <w:sz w:val="22"/>
        </w:rPr>
        <w:t>\dot{Q} = \dot{m}C_p(T_o - T_i) \tag{3}</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\dot{Q}</w:t>
      </w:r>
      <w:r>
        <w:rPr>
          <w:rFonts w:ascii="Times New Roman" w:hAnsi="Times New Roman"/>
          <w:sz w:val="22"/>
        </w:rPr>
        <w:t xml:space="preserve"> is the rate of heat transfer to or from the fluid in watts (W), </w:t>
      </w:r>
      <w:r>
        <w:rPr>
          <w:rFonts w:ascii="Cambria Math" w:hAnsi="Cambria Math"/>
          <w:i/>
          <w:sz w:val="22"/>
        </w:rPr>
        <w:t>\dot{m}</w:t>
      </w:r>
      <w:r>
        <w:rPr>
          <w:rFonts w:ascii="Times New Roman" w:hAnsi="Times New Roman"/>
          <w:sz w:val="22"/>
        </w:rPr>
        <w:t xml:space="preserve"> is the mass flow rate of the coolant in kilograms per second (kg/s), </w:t>
      </w:r>
      <w:r>
        <w:rPr>
          <w:rFonts w:ascii="Cambria Math" w:hAnsi="Cambria Math"/>
          <w:i/>
          <w:sz w:val="22"/>
        </w:rPr>
        <w:t>C_p</w:t>
      </w:r>
      <w:r>
        <w:rPr>
          <w:rFonts w:ascii="Times New Roman" w:hAnsi="Times New Roman"/>
          <w:sz w:val="22"/>
        </w:rPr>
        <w:t xml:space="preserve"> is the specific heat capacity of the coolant at constant pressure in joules per kilogram-kelvin (J/(kg·K)), </w:t>
      </w:r>
      <w:r>
        <w:rPr>
          <w:rFonts w:ascii="Cambria Math" w:hAnsi="Cambria Math"/>
          <w:i/>
          <w:sz w:val="22"/>
        </w:rPr>
        <w:t>T_o</w:t>
      </w:r>
      <w:r>
        <w:rPr>
          <w:rFonts w:ascii="Times New Roman" w:hAnsi="Times New Roman"/>
          <w:sz w:val="22"/>
        </w:rPr>
        <w:t xml:space="preserve"> is the outlet temperature of the fluid in kelvin (K), and </w:t>
      </w:r>
      <w:r>
        <w:rPr>
          <w:rFonts w:ascii="Cambria Math" w:hAnsi="Cambria Math"/>
          <w:i/>
          <w:sz w:val="22"/>
        </w:rPr>
        <w:t>T_i</w:t>
      </w:r>
      <w:r>
        <w:rPr>
          <w:rFonts w:ascii="Times New Roman" w:hAnsi="Times New Roman"/>
          <w:sz w:val="22"/>
        </w:rPr>
        <w:t xml:space="preserve"> is the inlet temperature of the fluid in kelvin (K). This calculation is fundamental for determining the energy transported by both the primary and secondary loops.</w:t>
      </w:r>
    </w:p>
    <w:p>
      <w:pPr>
        <w:spacing w:before="0" w:after="80"/>
      </w:pPr>
    </w:p>
    <w:p>
      <w:pPr>
        <w:spacing w:before="60" w:after="120" w:line="276" w:lineRule="auto"/>
      </w:pPr>
      <w:r>
        <w:rPr>
          <w:rFonts w:ascii="Times New Roman" w:hAnsi="Times New Roman"/>
          <w:sz w:val="22"/>
        </w:rPr>
        <w:t>Equation (4) describes the concept of Thermal Resistance, an analogue to electrical resistance used to simplify complex heat transfer networks.</w:t>
      </w:r>
    </w:p>
    <w:p>
      <w:pPr>
        <w:spacing w:before="0" w:after="80"/>
      </w:pPr>
    </w:p>
    <w:p>
      <w:pPr>
        <w:spacing w:before="120" w:after="120"/>
        <w:jc w:val="center"/>
      </w:pPr>
      <w:r>
        <w:rPr>
          <w:rFonts w:ascii="Cambria Math" w:hAnsi="Cambria Math"/>
          <w:i/>
          <w:sz w:val="22"/>
        </w:rPr>
        <w:t>R_{th} = \frac{\Delta T}{\dot{Q}}, \quad R_{total} = R_{cond} + R_{conv} \tag{4}</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R_{th}</w:t>
      </w:r>
      <w:r>
        <w:rPr>
          <w:rFonts w:ascii="Times New Roman" w:hAnsi="Times New Roman"/>
          <w:sz w:val="22"/>
        </w:rPr>
        <w:t xml:space="preserve"> is the general thermal resistance in kelvin per watt (K/W), </w:t>
      </w:r>
      <w:r>
        <w:rPr>
          <w:rFonts w:ascii="Cambria Math" w:hAnsi="Cambria Math"/>
          <w:i/>
          <w:sz w:val="22"/>
        </w:rPr>
        <w:t>\Delta T</w:t>
      </w:r>
      <w:r>
        <w:rPr>
          <w:rFonts w:ascii="Times New Roman" w:hAnsi="Times New Roman"/>
          <w:sz w:val="22"/>
        </w:rPr>
        <w:t xml:space="preserve"> is the temperature difference across the medium in kelvin (K), and </w:t>
      </w:r>
      <w:r>
        <w:rPr>
          <w:rFonts w:ascii="Cambria Math" w:hAnsi="Cambria Math"/>
          <w:i/>
          <w:sz w:val="22"/>
        </w:rPr>
        <w:t>\dot{Q}</w:t>
      </w:r>
      <w:r>
        <w:rPr>
          <w:rFonts w:ascii="Times New Roman" w:hAnsi="Times New Roman"/>
          <w:sz w:val="22"/>
        </w:rPr>
        <w:t xml:space="preserve"> is the heat transfer rate in watts (W). </w:t>
      </w:r>
      <w:r>
        <w:rPr>
          <w:rFonts w:ascii="Cambria Math" w:hAnsi="Cambria Math"/>
          <w:i/>
          <w:sz w:val="22"/>
        </w:rPr>
        <w:t>R_{total}</w:t>
      </w:r>
      <w:r>
        <w:rPr>
          <w:rFonts w:ascii="Times New Roman" w:hAnsi="Times New Roman"/>
          <w:sz w:val="22"/>
        </w:rPr>
        <w:t xml:space="preserve"> represents the total thermal resistance in a series circuit, combining the conductive resistance (</w:t>
      </w:r>
      <w:r>
        <w:rPr>
          <w:rFonts w:ascii="Cambria Math" w:hAnsi="Cambria Math"/>
          <w:i/>
          <w:sz w:val="22"/>
        </w:rPr>
        <w:t>R_{cond}</w:t>
      </w:r>
      <w:r>
        <w:rPr>
          <w:rFonts w:ascii="Times New Roman" w:hAnsi="Times New Roman"/>
          <w:sz w:val="22"/>
        </w:rPr>
        <w:t>) and the convective resistance (</w:t>
      </w:r>
      <w:r>
        <w:rPr>
          <w:rFonts w:ascii="Cambria Math" w:hAnsi="Cambria Math"/>
          <w:i/>
          <w:sz w:val="22"/>
        </w:rPr>
        <w:t>R_{conv}</w:t>
      </w:r>
      <w:r>
        <w:rPr>
          <w:rFonts w:ascii="Times New Roman" w:hAnsi="Times New Roman"/>
          <w:sz w:val="22"/>
        </w:rPr>
        <w:t>). This formulation allows for the evaluation of the overall insulating properties or heat transfer efficacy of the composite walls, particularly within the heat exchanger assembly.</w:t>
      </w:r>
    </w:p>
    <w:p>
      <w:pPr>
        <w:spacing w:before="0" w:after="80"/>
      </w:pPr>
    </w:p>
    <w:p>
      <w:pPr>
        <w:spacing w:before="60" w:after="120" w:line="276" w:lineRule="auto"/>
      </w:pPr>
      <w:r>
        <w:rPr>
          <w:rFonts w:ascii="Times New Roman" w:hAnsi="Times New Roman"/>
          <w:sz w:val="22"/>
        </w:rPr>
        <w:t>Equation (5) formulates the Overall Heat Transfer Coefficient for a composite barrier, such as the wall separating two fluids in a heat exchanger.</w:t>
      </w:r>
    </w:p>
    <w:p>
      <w:pPr>
        <w:spacing w:before="0" w:after="80"/>
      </w:pPr>
    </w:p>
    <w:p>
      <w:pPr>
        <w:spacing w:before="120" w:after="120"/>
        <w:jc w:val="center"/>
      </w:pPr>
      <w:r>
        <w:rPr>
          <w:rFonts w:ascii="Cambria Math" w:hAnsi="Cambria Math"/>
          <w:i/>
          <w:sz w:val="22"/>
        </w:rPr>
        <w:t>U = \frac{1}{\frac{1}{h_1} + \frac{L}{k} + \frac{1}{h_2}} \tag{5}</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U</w:t>
      </w:r>
      <w:r>
        <w:rPr>
          <w:rFonts w:ascii="Times New Roman" w:hAnsi="Times New Roman"/>
          <w:sz w:val="22"/>
        </w:rPr>
        <w:t xml:space="preserve"> is the overall heat transfer coefficient in watts per square meter-kelvin (W/(m²·K)), </w:t>
      </w:r>
      <w:r>
        <w:rPr>
          <w:rFonts w:ascii="Cambria Math" w:hAnsi="Cambria Math"/>
          <w:i/>
          <w:sz w:val="22"/>
        </w:rPr>
        <w:t>h_1</w:t>
      </w:r>
      <w:r>
        <w:rPr>
          <w:rFonts w:ascii="Times New Roman" w:hAnsi="Times New Roman"/>
          <w:sz w:val="22"/>
        </w:rPr>
        <w:t xml:space="preserve"> is the convective coefficient of the primary fluid (W/(m²·K)), </w:t>
      </w:r>
      <w:r>
        <w:rPr>
          <w:rFonts w:ascii="Cambria Math" w:hAnsi="Cambria Math"/>
          <w:i/>
          <w:sz w:val="22"/>
        </w:rPr>
        <w:t>L</w:t>
      </w:r>
      <w:r>
        <w:rPr>
          <w:rFonts w:ascii="Times New Roman" w:hAnsi="Times New Roman"/>
          <w:sz w:val="22"/>
        </w:rPr>
        <w:t xml:space="preserve"> is the thickness of the separating wall in meters (m), </w:t>
      </w:r>
      <w:r>
        <w:rPr>
          <w:rFonts w:ascii="Cambria Math" w:hAnsi="Cambria Math"/>
          <w:i/>
          <w:sz w:val="22"/>
        </w:rPr>
        <w:t>k</w:t>
      </w:r>
      <w:r>
        <w:rPr>
          <w:rFonts w:ascii="Times New Roman" w:hAnsi="Times New Roman"/>
          <w:sz w:val="22"/>
        </w:rPr>
        <w:t xml:space="preserve"> is the thermal conductivity of the wall material (W/(m·K)), and </w:t>
      </w:r>
      <w:r>
        <w:rPr>
          <w:rFonts w:ascii="Cambria Math" w:hAnsi="Cambria Math"/>
          <w:i/>
          <w:sz w:val="22"/>
        </w:rPr>
        <w:t>h_2</w:t>
      </w:r>
      <w:r>
        <w:rPr>
          <w:rFonts w:ascii="Times New Roman" w:hAnsi="Times New Roman"/>
          <w:sz w:val="22"/>
        </w:rPr>
        <w:t xml:space="preserve"> is the convective coefficient of the secondary fluid (W/(m²·K)). The U-value is a paramount metric for assessing the overall efficiency of the aluminum block heat exchanger.</w:t>
      </w:r>
    </w:p>
    <w:p>
      <w:pPr>
        <w:spacing w:before="0" w:after="80"/>
      </w:pPr>
    </w:p>
    <w:p>
      <w:pPr>
        <w:spacing w:before="60" w:after="120" w:line="276" w:lineRule="auto"/>
      </w:pPr>
      <w:r>
        <w:rPr>
          <w:rFonts w:ascii="Times New Roman" w:hAnsi="Times New Roman"/>
          <w:sz w:val="22"/>
        </w:rPr>
        <w:t>Equation (6) asserts the principle of Energy Balance within the thermodynamic system based on the First Law of Thermodynamics.</w:t>
      </w:r>
    </w:p>
    <w:p>
      <w:pPr>
        <w:spacing w:before="0" w:after="80"/>
      </w:pPr>
    </w:p>
    <w:p>
      <w:pPr>
        <w:spacing w:before="120" w:after="120"/>
        <w:jc w:val="center"/>
      </w:pPr>
      <w:r>
        <w:rPr>
          <w:rFonts w:ascii="Cambria Math" w:hAnsi="Cambria Math"/>
          <w:i/>
          <w:sz w:val="22"/>
        </w:rPr>
        <w:t>Q_{generated} = Q_{absorbed} + Q_{losses} \tag{6}</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Q_{generated}</w:t>
      </w:r>
      <w:r>
        <w:rPr>
          <w:rFonts w:ascii="Times New Roman" w:hAnsi="Times New Roman"/>
          <w:sz w:val="22"/>
        </w:rPr>
        <w:t xml:space="preserve"> is the total thermal energy produced by the nichrome heater in joules (J) or watts (W), </w:t>
      </w:r>
      <w:r>
        <w:rPr>
          <w:rFonts w:ascii="Cambria Math" w:hAnsi="Cambria Math"/>
          <w:i/>
          <w:sz w:val="22"/>
        </w:rPr>
        <w:t>Q_{absorbed}</w:t>
      </w:r>
      <w:r>
        <w:rPr>
          <w:rFonts w:ascii="Times New Roman" w:hAnsi="Times New Roman"/>
          <w:sz w:val="22"/>
        </w:rPr>
        <w:t xml:space="preserve"> is the useful thermal energy successfully transferred into the primary coolant loop, and </w:t>
      </w:r>
      <w:r>
        <w:rPr>
          <w:rFonts w:ascii="Cambria Math" w:hAnsi="Cambria Math"/>
          <w:i/>
          <w:sz w:val="22"/>
        </w:rPr>
        <w:t>Q_{losses}</w:t>
      </w:r>
      <w:r>
        <w:rPr>
          <w:rFonts w:ascii="Times New Roman" w:hAnsi="Times New Roman"/>
          <w:sz w:val="22"/>
        </w:rPr>
        <w:t xml:space="preserve"> encompasses all parasitic heat dissipation to the ambient environment through incomplete insulation or structural conduction.</w:t>
      </w:r>
    </w:p>
    <w:p>
      <w:pPr>
        <w:spacing w:before="0" w:after="80"/>
      </w:pPr>
    </w:p>
    <w:p>
      <w:pPr>
        <w:spacing w:before="60" w:after="120" w:line="276" w:lineRule="auto"/>
      </w:pPr>
      <w:r>
        <w:rPr>
          <w:rFonts w:ascii="Times New Roman" w:hAnsi="Times New Roman"/>
          <w:sz w:val="22"/>
        </w:rPr>
        <w:t>Equation (7) relates the Mass Flow Rate of the coolant to its volumetric flow characteristics.</w:t>
      </w:r>
    </w:p>
    <w:p>
      <w:pPr>
        <w:spacing w:before="0" w:after="80"/>
      </w:pPr>
    </w:p>
    <w:p>
      <w:pPr>
        <w:spacing w:before="120" w:after="120"/>
        <w:jc w:val="center"/>
      </w:pPr>
      <w:r>
        <w:rPr>
          <w:rFonts w:ascii="Cambria Math" w:hAnsi="Cambria Math"/>
          <w:i/>
          <w:sz w:val="22"/>
        </w:rPr>
        <w:t>\dot{m} = \rho Q_f \tag{7}</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\dot{m}</w:t>
      </w:r>
      <w:r>
        <w:rPr>
          <w:rFonts w:ascii="Times New Roman" w:hAnsi="Times New Roman"/>
          <w:sz w:val="22"/>
        </w:rPr>
        <w:t xml:space="preserve"> is the mass flow rate in kilograms per second (kg/s), </w:t>
      </w:r>
      <w:r>
        <w:rPr>
          <w:rFonts w:ascii="Cambria Math" w:hAnsi="Cambria Math"/>
          <w:i/>
          <w:sz w:val="22"/>
        </w:rPr>
        <w:t>\rho</w:t>
      </w:r>
      <w:r>
        <w:rPr>
          <w:rFonts w:ascii="Times New Roman" w:hAnsi="Times New Roman"/>
          <w:sz w:val="22"/>
        </w:rPr>
        <w:t xml:space="preserve"> is the density of the circulating fluid in kilograms per cubic meter (kg/m³), and </w:t>
      </w:r>
      <w:r>
        <w:rPr>
          <w:rFonts w:ascii="Cambria Math" w:hAnsi="Cambria Math"/>
          <w:i/>
          <w:sz w:val="22"/>
        </w:rPr>
        <w:t>Q_f</w:t>
      </w:r>
      <w:r>
        <w:rPr>
          <w:rFonts w:ascii="Times New Roman" w:hAnsi="Times New Roman"/>
          <w:sz w:val="22"/>
        </w:rPr>
        <w:t xml:space="preserve"> is the volumetric flow rate in cubic meters per second (m³/s). Accurate determination of mass flow is prerequisite for evaluating the total heat carrying capacity of the loops using Equation (3).</w:t>
      </w:r>
    </w:p>
    <w:p>
      <w:pPr>
        <w:spacing w:before="0" w:after="80"/>
      </w:pPr>
    </w:p>
    <w:p>
      <w:pPr>
        <w:spacing w:before="60" w:after="120" w:line="276" w:lineRule="auto"/>
      </w:pPr>
      <w:r>
        <w:rPr>
          <w:rFonts w:ascii="Times New Roman" w:hAnsi="Times New Roman"/>
          <w:sz w:val="22"/>
        </w:rPr>
        <w:t>Equation (8) defines the Reynolds Number, a dimensionless quantity used to predict fluid flow regimes.</w:t>
      </w:r>
    </w:p>
    <w:p>
      <w:pPr>
        <w:spacing w:before="0" w:after="80"/>
      </w:pPr>
    </w:p>
    <w:p>
      <w:pPr>
        <w:spacing w:before="120" w:after="120"/>
        <w:jc w:val="center"/>
      </w:pPr>
      <w:r>
        <w:rPr>
          <w:rFonts w:ascii="Cambria Math" w:hAnsi="Cambria Math"/>
          <w:i/>
          <w:sz w:val="22"/>
        </w:rPr>
        <w:t>Re = \frac{\rho v D}{\mu} \tag{8}</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Re</w:t>
      </w:r>
      <w:r>
        <w:rPr>
          <w:rFonts w:ascii="Times New Roman" w:hAnsi="Times New Roman"/>
          <w:sz w:val="22"/>
        </w:rPr>
        <w:t xml:space="preserve"> is the dimensionless Reynolds number, </w:t>
      </w:r>
      <w:r>
        <w:rPr>
          <w:rFonts w:ascii="Cambria Math" w:hAnsi="Cambria Math"/>
          <w:i/>
          <w:sz w:val="22"/>
        </w:rPr>
        <w:t>\rho</w:t>
      </w:r>
      <w:r>
        <w:rPr>
          <w:rFonts w:ascii="Times New Roman" w:hAnsi="Times New Roman"/>
          <w:sz w:val="22"/>
        </w:rPr>
        <w:t xml:space="preserve"> is the fluid density (kg/m³), </w:t>
      </w:r>
      <w:r>
        <w:rPr>
          <w:rFonts w:ascii="Cambria Math" w:hAnsi="Cambria Math"/>
          <w:i/>
          <w:sz w:val="22"/>
        </w:rPr>
        <w:t>v</w:t>
      </w:r>
      <w:r>
        <w:rPr>
          <w:rFonts w:ascii="Times New Roman" w:hAnsi="Times New Roman"/>
          <w:sz w:val="22"/>
        </w:rPr>
        <w:t xml:space="preserve"> is the mean fluid velocity in meters per second (m/s), </w:t>
      </w:r>
      <w:r>
        <w:rPr>
          <w:rFonts w:ascii="Cambria Math" w:hAnsi="Cambria Math"/>
          <w:i/>
          <w:sz w:val="22"/>
        </w:rPr>
        <w:t>D</w:t>
      </w:r>
      <w:r>
        <w:rPr>
          <w:rFonts w:ascii="Times New Roman" w:hAnsi="Times New Roman"/>
          <w:sz w:val="22"/>
        </w:rPr>
        <w:t xml:space="preserve"> is the characteristic length (typically the internal hydraulic diameter of the tubing) in meters (m), and </w:t>
      </w:r>
      <w:r>
        <w:rPr>
          <w:rFonts w:ascii="Cambria Math" w:hAnsi="Cambria Math"/>
          <w:i/>
          <w:sz w:val="22"/>
        </w:rPr>
        <w:t>\mu</w:t>
      </w:r>
      <w:r>
        <w:rPr>
          <w:rFonts w:ascii="Times New Roman" w:hAnsi="Times New Roman"/>
          <w:sz w:val="22"/>
        </w:rPr>
        <w:t xml:space="preserve"> is the dynamic viscosity of the fluid in pascal-seconds (Pa·s). For internal pipe flow, the flow regime is classified as laminar when </w:t>
      </w:r>
      <w:r>
        <w:rPr>
          <w:rFonts w:ascii="Cambria Math" w:hAnsi="Cambria Math"/>
          <w:i/>
          <w:sz w:val="22"/>
        </w:rPr>
        <w:t>Re &lt; 2300</w:t>
      </w:r>
      <w:r>
        <w:rPr>
          <w:rFonts w:ascii="Times New Roman" w:hAnsi="Times New Roman"/>
          <w:sz w:val="22"/>
        </w:rPr>
        <w:t xml:space="preserve">, transitional for </w:t>
      </w:r>
      <w:r>
        <w:rPr>
          <w:rFonts w:ascii="Cambria Math" w:hAnsi="Cambria Math"/>
          <w:i/>
          <w:sz w:val="22"/>
        </w:rPr>
        <w:t>2300 &lt; Re &lt; 4000</w:t>
      </w:r>
      <w:r>
        <w:rPr>
          <w:rFonts w:ascii="Times New Roman" w:hAnsi="Times New Roman"/>
          <w:sz w:val="22"/>
        </w:rPr>
        <w:t xml:space="preserve">, and fully turbulent when </w:t>
      </w:r>
      <w:r>
        <w:rPr>
          <w:rFonts w:ascii="Cambria Math" w:hAnsi="Cambria Math"/>
          <w:i/>
          <w:sz w:val="22"/>
        </w:rPr>
        <w:t>Re &gt; 4000</w:t>
      </w:r>
      <w:r>
        <w:rPr>
          <w:rFonts w:ascii="Times New Roman" w:hAnsi="Times New Roman"/>
          <w:sz w:val="22"/>
        </w:rPr>
        <w:t>. The Reynolds number classifies the flow regime, which fundamentally dictates the magnitude of the convective heat transfer coefficient.</w:t>
      </w:r>
    </w:p>
    <w:p>
      <w:pPr>
        <w:spacing w:before="0" w:after="80"/>
      </w:pPr>
    </w:p>
    <w:p>
      <w:pPr>
        <w:spacing w:before="60" w:after="120" w:line="276" w:lineRule="auto"/>
      </w:pPr>
      <w:r>
        <w:rPr>
          <w:rFonts w:ascii="Times New Roman" w:hAnsi="Times New Roman"/>
          <w:sz w:val="22"/>
        </w:rPr>
        <w:t>Equation (9) introduces the Nusselt Number and the Dittus-Boelter correlation for forced convection inside circular tubes.</w:t>
      </w:r>
    </w:p>
    <w:p>
      <w:pPr>
        <w:spacing w:before="0" w:after="80"/>
      </w:pPr>
    </w:p>
    <w:p>
      <w:pPr>
        <w:spacing w:before="120" w:after="120"/>
        <w:jc w:val="center"/>
      </w:pPr>
      <w:r>
        <w:rPr>
          <w:rFonts w:ascii="Cambria Math" w:hAnsi="Cambria Math"/>
          <w:i/>
          <w:sz w:val="22"/>
        </w:rPr>
        <w:t>Nu = \frac{hD}{k}, \quad Nu = 0.023 Re^{0.8} Pr^{n} \tag{9}</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Nu</w:t>
      </w:r>
      <w:r>
        <w:rPr>
          <w:rFonts w:ascii="Times New Roman" w:hAnsi="Times New Roman"/>
          <w:sz w:val="22"/>
        </w:rPr>
        <w:t xml:space="preserve"> is the dimensionless Nusselt number, representing the ratio of convective to conductive heat transfer across a boundary. In the Dittus-Boelter correlation, </w:t>
      </w:r>
      <w:r>
        <w:rPr>
          <w:rFonts w:ascii="Cambria Math" w:hAnsi="Cambria Math"/>
          <w:i/>
          <w:sz w:val="22"/>
        </w:rPr>
        <w:t>Re</w:t>
      </w:r>
      <w:r>
        <w:rPr>
          <w:rFonts w:ascii="Times New Roman" w:hAnsi="Times New Roman"/>
          <w:sz w:val="22"/>
        </w:rPr>
        <w:t xml:space="preserve"> is the Reynolds number, </w:t>
      </w:r>
      <w:r>
        <w:rPr>
          <w:rFonts w:ascii="Cambria Math" w:hAnsi="Cambria Math"/>
          <w:i/>
          <w:sz w:val="22"/>
        </w:rPr>
        <w:t>Pr</w:t>
      </w:r>
      <w:r>
        <w:rPr>
          <w:rFonts w:ascii="Times New Roman" w:hAnsi="Times New Roman"/>
          <w:sz w:val="22"/>
        </w:rPr>
        <w:t xml:space="preserve"> is the dimensionless Prandtl number (the ratio of momentum diffusivity to thermal diffusivity), and </w:t>
      </w:r>
      <w:r>
        <w:rPr>
          <w:rFonts w:ascii="Cambria Math" w:hAnsi="Cambria Math"/>
          <w:i/>
          <w:sz w:val="22"/>
        </w:rPr>
        <w:t>n</w:t>
      </w:r>
      <w:r>
        <w:rPr>
          <w:rFonts w:ascii="Times New Roman" w:hAnsi="Times New Roman"/>
          <w:sz w:val="22"/>
        </w:rPr>
        <w:t xml:space="preserve"> is an exponent (typically 0.4 for heating and 0.3 for cooling of the fluid). This empirical correlation is utilized to estimate the convective heat transfer coefficient (</w:t>
      </w:r>
      <w:r>
        <w:rPr>
          <w:rFonts w:ascii="Cambria Math" w:hAnsi="Cambria Math"/>
          <w:i/>
          <w:sz w:val="22"/>
        </w:rPr>
        <w:t>h</w:t>
      </w:r>
      <w:r>
        <w:rPr>
          <w:rFonts w:ascii="Times New Roman" w:hAnsi="Times New Roman"/>
          <w:sz w:val="22"/>
        </w:rPr>
        <w:t>) within the piping and internal channels of the system.</w:t>
      </w:r>
    </w:p>
    <w:p>
      <w:pPr>
        <w:spacing w:before="0" w:after="80"/>
      </w:pPr>
    </w:p>
    <w:p>
      <w:pPr>
        <w:spacing w:before="60" w:after="120" w:line="276" w:lineRule="auto"/>
      </w:pPr>
      <w:r>
        <w:rPr>
          <w:rFonts w:ascii="Times New Roman" w:hAnsi="Times New Roman"/>
          <w:sz w:val="22"/>
        </w:rPr>
        <w:t>Equation (10) calculates the Cooling Effectiveness of the heat exchanger unit.</w:t>
      </w:r>
    </w:p>
    <w:p>
      <w:pPr>
        <w:spacing w:before="0" w:after="80"/>
      </w:pPr>
    </w:p>
    <w:p>
      <w:pPr>
        <w:spacing w:before="120" w:after="120"/>
        <w:jc w:val="center"/>
      </w:pPr>
      <w:r>
        <w:rPr>
          <w:rFonts w:ascii="Cambria Math" w:hAnsi="Cambria Math"/>
          <w:i/>
          <w:sz w:val="22"/>
        </w:rPr>
        <w:t>\varepsilon = \frac{\dot{Q}_{actual}}{\dot{Q}_{max}} \tag{10}</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\varepsilon</w:t>
      </w:r>
      <w:r>
        <w:rPr>
          <w:rFonts w:ascii="Times New Roman" w:hAnsi="Times New Roman"/>
          <w:sz w:val="22"/>
        </w:rPr>
        <w:t xml:space="preserve"> is the dimensionless effectiveness, </w:t>
      </w:r>
      <w:r>
        <w:rPr>
          <w:rFonts w:ascii="Cambria Math" w:hAnsi="Cambria Math"/>
          <w:i/>
          <w:sz w:val="22"/>
        </w:rPr>
        <w:t>\dot{Q}_{actual}</w:t>
      </w:r>
      <w:r>
        <w:rPr>
          <w:rFonts w:ascii="Times New Roman" w:hAnsi="Times New Roman"/>
          <w:sz w:val="22"/>
        </w:rPr>
        <w:t xml:space="preserve"> is the actual measured heat transfer rate between the primary and secondary fluids in watts (W), and </w:t>
      </w:r>
      <w:r>
        <w:rPr>
          <w:rFonts w:ascii="Cambria Math" w:hAnsi="Cambria Math"/>
          <w:i/>
          <w:sz w:val="22"/>
        </w:rPr>
        <w:t>\dot{Q}_{max}</w:t>
      </w:r>
      <w:r>
        <w:rPr>
          <w:rFonts w:ascii="Times New Roman" w:hAnsi="Times New Roman"/>
          <w:sz w:val="22"/>
        </w:rPr>
        <w:t xml:space="preserve"> is the theoretical maximum possible heat transfer rate in watts (W) that would occur in a counter-flow heat exchanger of infinite area. This metric evaluates the performance of the chosen aluminum block configuration.</w:t>
      </w:r>
    </w:p>
    <w:p>
      <w:pPr>
        <w:spacing w:before="0" w:after="80"/>
      </w:pPr>
    </w:p>
    <w:p>
      <w:pPr>
        <w:spacing w:before="60" w:after="120" w:line="276" w:lineRule="auto"/>
      </w:pPr>
      <w:r>
        <w:rPr>
          <w:rFonts w:ascii="Times New Roman" w:hAnsi="Times New Roman"/>
          <w:sz w:val="22"/>
        </w:rPr>
        <w:t>Equation (11) represents the Pressure Drop within the fluid piping network, calculated using the Darcy-Weisbach equation.</w:t>
      </w:r>
    </w:p>
    <w:p>
      <w:pPr>
        <w:spacing w:before="0" w:after="80"/>
      </w:pPr>
    </w:p>
    <w:p>
      <w:pPr>
        <w:spacing w:before="120" w:after="120"/>
        <w:jc w:val="center"/>
      </w:pPr>
      <w:r>
        <w:rPr>
          <w:rFonts w:ascii="Cambria Math" w:hAnsi="Cambria Math"/>
          <w:i/>
          <w:sz w:val="22"/>
        </w:rPr>
        <w:t>\Delta P = f\frac{L}{D}\frac{\rho v^2}{2} \tag{11}</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\Delta P</w:t>
      </w:r>
      <w:r>
        <w:rPr>
          <w:rFonts w:ascii="Times New Roman" w:hAnsi="Times New Roman"/>
          <w:sz w:val="22"/>
        </w:rPr>
        <w:t xml:space="preserve"> is the pressure drop due to friction in pascals (Pa), </w:t>
      </w:r>
      <w:r>
        <w:rPr>
          <w:rFonts w:ascii="Cambria Math" w:hAnsi="Cambria Math"/>
          <w:i/>
          <w:sz w:val="22"/>
        </w:rPr>
        <w:t>f</w:t>
      </w:r>
      <w:r>
        <w:rPr>
          <w:rFonts w:ascii="Times New Roman" w:hAnsi="Times New Roman"/>
          <w:sz w:val="22"/>
        </w:rPr>
        <w:t xml:space="preserve"> is the dimensionless Darcy friction factor (dependent on the Reynolds number and pipe roughness), </w:t>
      </w:r>
      <w:r>
        <w:rPr>
          <w:rFonts w:ascii="Cambria Math" w:hAnsi="Cambria Math"/>
          <w:i/>
          <w:sz w:val="22"/>
        </w:rPr>
        <w:t>L</w:t>
      </w:r>
      <w:r>
        <w:rPr>
          <w:rFonts w:ascii="Times New Roman" w:hAnsi="Times New Roman"/>
          <w:sz w:val="22"/>
        </w:rPr>
        <w:t xml:space="preserve"> is the length of the pipe in meters (m), </w:t>
      </w:r>
      <w:r>
        <w:rPr>
          <w:rFonts w:ascii="Cambria Math" w:hAnsi="Cambria Math"/>
          <w:i/>
          <w:sz w:val="22"/>
        </w:rPr>
        <w:t>D</w:t>
      </w:r>
      <w:r>
        <w:rPr>
          <w:rFonts w:ascii="Times New Roman" w:hAnsi="Times New Roman"/>
          <w:sz w:val="22"/>
        </w:rPr>
        <w:t xml:space="preserve"> is the internal diameter of the pipe in meters (m), </w:t>
      </w:r>
      <w:r>
        <w:rPr>
          <w:rFonts w:ascii="Cambria Math" w:hAnsi="Cambria Math"/>
          <w:i/>
          <w:sz w:val="22"/>
        </w:rPr>
        <w:t>\rho</w:t>
      </w:r>
      <w:r>
        <w:rPr>
          <w:rFonts w:ascii="Times New Roman" w:hAnsi="Times New Roman"/>
          <w:sz w:val="22"/>
        </w:rPr>
        <w:t xml:space="preserve"> is the fluid density (kg/m³), and </w:t>
      </w:r>
      <w:r>
        <w:rPr>
          <w:rFonts w:ascii="Cambria Math" w:hAnsi="Cambria Math"/>
          <w:i/>
          <w:sz w:val="22"/>
        </w:rPr>
        <w:t>v</w:t>
      </w:r>
      <w:r>
        <w:rPr>
          <w:rFonts w:ascii="Times New Roman" w:hAnsi="Times New Roman"/>
          <w:sz w:val="22"/>
        </w:rPr>
        <w:t xml:space="preserve"> is the mean flow velocity (m/s). This equation is essential for ensuring that the selected D385 pumps provide sufficient head to overcome system resistance.</w:t>
      </w:r>
    </w:p>
    <w:p>
      <w:pPr>
        <w:spacing w:before="0" w:after="80"/>
      </w:pPr>
    </w:p>
    <w:p>
      <w:pPr>
        <w:spacing w:before="60" w:after="120" w:line="276" w:lineRule="auto"/>
      </w:pPr>
      <w:r>
        <w:rPr>
          <w:rFonts w:ascii="Times New Roman" w:hAnsi="Times New Roman"/>
          <w:sz w:val="22"/>
        </w:rPr>
        <w:t>Equation (12) specifies the Linear Sensor Calibration model utilized for the K-type thermocouples.</w:t>
      </w:r>
    </w:p>
    <w:p>
      <w:pPr>
        <w:spacing w:before="0" w:after="80"/>
      </w:pPr>
    </w:p>
    <w:p>
      <w:pPr>
        <w:spacing w:before="120" w:after="120"/>
        <w:jc w:val="center"/>
      </w:pPr>
      <w:r>
        <w:rPr>
          <w:rFonts w:ascii="Cambria Math" w:hAnsi="Cambria Math"/>
          <w:i/>
          <w:sz w:val="22"/>
        </w:rPr>
        <w:t>T_{actual} = aT_{measured} + b \tag{12}</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T_{actual}</w:t>
      </w:r>
      <w:r>
        <w:rPr>
          <w:rFonts w:ascii="Times New Roman" w:hAnsi="Times New Roman"/>
          <w:sz w:val="22"/>
        </w:rPr>
        <w:t xml:space="preserve"> is the true calibrated temperature in degrees Celsius (°C) or kelvin (K), </w:t>
      </w:r>
      <w:r>
        <w:rPr>
          <w:rFonts w:ascii="Cambria Math" w:hAnsi="Cambria Math"/>
          <w:i/>
          <w:sz w:val="22"/>
        </w:rPr>
        <w:t>T_{measured}</w:t>
      </w:r>
      <w:r>
        <w:rPr>
          <w:rFonts w:ascii="Times New Roman" w:hAnsi="Times New Roman"/>
          <w:sz w:val="22"/>
        </w:rPr>
        <w:t xml:space="preserve"> is the raw temperature value reported by the MAX6675 module, </w:t>
      </w:r>
      <w:r>
        <w:rPr>
          <w:rFonts w:ascii="Cambria Math" w:hAnsi="Cambria Math"/>
          <w:i/>
          <w:sz w:val="22"/>
        </w:rPr>
        <w:t>a</w:t>
      </w:r>
      <w:r>
        <w:rPr>
          <w:rFonts w:ascii="Times New Roman" w:hAnsi="Times New Roman"/>
          <w:sz w:val="22"/>
        </w:rPr>
        <w:t xml:space="preserve"> is the dimensionless slope correction factor, and </w:t>
      </w:r>
      <w:r>
        <w:rPr>
          <w:rFonts w:ascii="Cambria Math" w:hAnsi="Cambria Math"/>
          <w:i/>
          <w:sz w:val="22"/>
        </w:rPr>
        <w:t>b</w:t>
      </w:r>
      <w:r>
        <w:rPr>
          <w:rFonts w:ascii="Times New Roman" w:hAnsi="Times New Roman"/>
          <w:sz w:val="22"/>
        </w:rPr>
        <w:t xml:space="preserve"> is the zero-offset correction term in degrees Celsius (°C) or kelvin (K). This empirical adjustment compensates for inherent inaccuracies in the sensor and digitizer hardware.</w:t>
      </w:r>
    </w:p>
    <w:p>
      <w:pPr>
        <w:spacing w:before="0" w:after="80"/>
      </w:pPr>
    </w:p>
    <w:p>
      <w:pPr>
        <w:spacing w:before="60" w:after="120" w:line="276" w:lineRule="auto"/>
      </w:pPr>
      <w:r>
        <w:rPr>
          <w:rFonts w:ascii="Times New Roman" w:hAnsi="Times New Roman"/>
          <w:sz w:val="22"/>
        </w:rPr>
        <w:t>Equation (13) illustrates the principles of Error Propagation for derived quantities, specifically the calculated heat transfer rate.</w:t>
      </w:r>
    </w:p>
    <w:p>
      <w:pPr>
        <w:spacing w:before="0" w:after="80"/>
      </w:pPr>
    </w:p>
    <w:p>
      <w:pPr>
        <w:spacing w:before="120" w:after="120"/>
        <w:jc w:val="center"/>
      </w:pPr>
      <w:r>
        <w:rPr>
          <w:rFonts w:ascii="Cambria Math" w:hAnsi="Cambria Math"/>
          <w:i/>
          <w:sz w:val="22"/>
        </w:rPr>
        <w:t>\delta Q = \sqrt{\left(\frac{\partial Q}{\partial \dot{m}}\cdot\delta\dot{m}\right)^2 + \left(\frac{\partial Q}{\partial \Delta T}\cdot\delta\Delta T\right)^2} \tag{13}</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\delta Q</w:t>
      </w:r>
      <w:r>
        <w:rPr>
          <w:rFonts w:ascii="Times New Roman" w:hAnsi="Times New Roman"/>
          <w:sz w:val="22"/>
        </w:rPr>
        <w:t xml:space="preserve"> is the propagated uncertainty in the calculated heat transfer rate in watts (W), </w:t>
      </w:r>
      <w:r>
        <w:rPr>
          <w:rFonts w:ascii="Cambria Math" w:hAnsi="Cambria Math"/>
          <w:i/>
          <w:sz w:val="22"/>
        </w:rPr>
        <w:t>\partial Q/\partial \dot{m}</w:t>
      </w:r>
      <w:r>
        <w:rPr>
          <w:rFonts w:ascii="Times New Roman" w:hAnsi="Times New Roman"/>
          <w:sz w:val="22"/>
        </w:rPr>
        <w:t xml:space="preserve"> is the partial derivative of heat transfer with respect to mass flow rate, </w:t>
      </w:r>
      <w:r>
        <w:rPr>
          <w:rFonts w:ascii="Cambria Math" w:hAnsi="Cambria Math"/>
          <w:i/>
          <w:sz w:val="22"/>
        </w:rPr>
        <w:t>\delta\dot{m}</w:t>
      </w:r>
      <w:r>
        <w:rPr>
          <w:rFonts w:ascii="Times New Roman" w:hAnsi="Times New Roman"/>
          <w:sz w:val="22"/>
        </w:rPr>
        <w:t xml:space="preserve"> is the measurement uncertainty of the flow sensor in kilograms per second (kg/s), </w:t>
      </w:r>
      <w:r>
        <w:rPr>
          <w:rFonts w:ascii="Cambria Math" w:hAnsi="Cambria Math"/>
          <w:i/>
          <w:sz w:val="22"/>
        </w:rPr>
        <w:t>\partial Q/\partial \Delta T</w:t>
      </w:r>
      <w:r>
        <w:rPr>
          <w:rFonts w:ascii="Times New Roman" w:hAnsi="Times New Roman"/>
          <w:sz w:val="22"/>
        </w:rPr>
        <w:t xml:space="preserve"> is the partial derivative of heat transfer with respect to the temperature difference, and </w:t>
      </w:r>
      <w:r>
        <w:rPr>
          <w:rFonts w:ascii="Cambria Math" w:hAnsi="Cambria Math"/>
          <w:i/>
          <w:sz w:val="22"/>
        </w:rPr>
        <w:t>\delta\Delta T</w:t>
      </w:r>
      <w:r>
        <w:rPr>
          <w:rFonts w:ascii="Times New Roman" w:hAnsi="Times New Roman"/>
          <w:sz w:val="22"/>
        </w:rPr>
        <w:t xml:space="preserve"> is the combined measurement uncertainty of the differential temperature reading in kelvin (K). This statistical method provides a confidence interval for the calculated performance metrics.</w:t>
      </w:r>
    </w:p>
    <w:p>
      <w:pPr>
        <w:spacing w:before="0" w:after="80"/>
      </w:pPr>
    </w:p>
    <w:p>
      <w:pPr>
        <w:spacing w:before="60" w:after="120" w:line="276" w:lineRule="auto"/>
      </w:pPr>
      <w:r>
        <w:rPr>
          <w:rFonts w:ascii="Times New Roman" w:hAnsi="Times New Roman"/>
          <w:sz w:val="22"/>
        </w:rPr>
        <w:t>Equation (14) defines the standard Measurement Uncertainty for individual sensor instruments.</w:t>
      </w:r>
    </w:p>
    <w:p>
      <w:pPr>
        <w:spacing w:before="0" w:after="80"/>
      </w:pPr>
    </w:p>
    <w:p>
      <w:pPr>
        <w:spacing w:before="120" w:after="120"/>
        <w:jc w:val="center"/>
      </w:pPr>
      <w:r>
        <w:rPr>
          <w:rFonts w:ascii="Cambria Math" w:hAnsi="Cambria Math"/>
          <w:i/>
          <w:sz w:val="22"/>
        </w:rPr>
        <w:t>U_T = \pm\sqrt{bias^2 + precision^2} \tag{14}</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U_T</w:t>
      </w:r>
      <w:r>
        <w:rPr>
          <w:rFonts w:ascii="Times New Roman" w:hAnsi="Times New Roman"/>
          <w:sz w:val="22"/>
        </w:rPr>
        <w:t xml:space="preserve"> is the total combined uncertainty of a measurement (e.g., temperature) in relevant units, </w:t>
      </w:r>
      <w:r>
        <w:rPr>
          <w:rFonts w:ascii="Cambria Math" w:hAnsi="Cambria Math"/>
          <w:i/>
          <w:sz w:val="22"/>
        </w:rPr>
        <w:t>bias</w:t>
      </w:r>
      <w:r>
        <w:rPr>
          <w:rFonts w:ascii="Times New Roman" w:hAnsi="Times New Roman"/>
          <w:sz w:val="22"/>
        </w:rPr>
        <w:t xml:space="preserve"> represents systematic errors inherent to the calibration or installation in the same units, and </w:t>
      </w:r>
      <w:r>
        <w:rPr>
          <w:rFonts w:ascii="Cambria Math" w:hAnsi="Cambria Math"/>
          <w:i/>
          <w:sz w:val="22"/>
        </w:rPr>
        <w:t>precision</w:t>
      </w:r>
      <w:r>
        <w:rPr>
          <w:rFonts w:ascii="Times New Roman" w:hAnsi="Times New Roman"/>
          <w:sz w:val="22"/>
        </w:rPr>
        <w:t xml:space="preserve"> represents random statistical variations observed during repeated measurements. This rigorously quantifies the reliability of the empirical data collected by the ESP32-S3.</w:t>
      </w:r>
    </w:p>
    <w:p>
      <w:pPr>
        <w:spacing w:before="0" w:after="80"/>
      </w:pPr>
    </w:p>
    <w:p>
      <w:pPr>
        <w:spacing w:before="60" w:after="120" w:line="276" w:lineRule="auto"/>
      </w:pPr>
      <w:r>
        <w:rPr>
          <w:rFonts w:ascii="Times New Roman" w:hAnsi="Times New Roman"/>
          <w:sz w:val="22"/>
        </w:rPr>
        <w:t>Equation (15) determines the overall Thermal Efficiency of the active cooling system.</w:t>
      </w:r>
    </w:p>
    <w:p>
      <w:pPr>
        <w:spacing w:before="0" w:after="80"/>
      </w:pPr>
    </w:p>
    <w:p>
      <w:pPr>
        <w:spacing w:before="120" w:after="120"/>
        <w:jc w:val="center"/>
      </w:pPr>
      <w:r>
        <w:rPr>
          <w:rFonts w:ascii="Cambria Math" w:hAnsi="Cambria Math"/>
          <w:i/>
          <w:sz w:val="22"/>
        </w:rPr>
        <w:t>\eta = \frac{\dot{Q}_{useful}}{P_{input}} \times 100 \tag{15}</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\eta</w:t>
      </w:r>
      <w:r>
        <w:rPr>
          <w:rFonts w:ascii="Times New Roman" w:hAnsi="Times New Roman"/>
          <w:sz w:val="22"/>
        </w:rPr>
        <w:t xml:space="preserve"> is the thermal efficiency expressed as a percentage (%), </w:t>
      </w:r>
      <w:r>
        <w:rPr>
          <w:rFonts w:ascii="Cambria Math" w:hAnsi="Cambria Math"/>
          <w:i/>
          <w:sz w:val="22"/>
        </w:rPr>
        <w:t>\dot{Q}_{useful}</w:t>
      </w:r>
      <w:r>
        <w:rPr>
          <w:rFonts w:ascii="Times New Roman" w:hAnsi="Times New Roman"/>
          <w:sz w:val="22"/>
        </w:rPr>
        <w:t xml:space="preserve"> is the rate of thermal energy successfully extracted from the primary core and dissipated to the secondary loop in watts (W), and </w:t>
      </w:r>
      <w:r>
        <w:rPr>
          <w:rFonts w:ascii="Cambria Math" w:hAnsi="Cambria Math"/>
          <w:i/>
          <w:sz w:val="22"/>
        </w:rPr>
        <w:t>P_{input}</w:t>
      </w:r>
      <w:r>
        <w:rPr>
          <w:rFonts w:ascii="Times New Roman" w:hAnsi="Times New Roman"/>
          <w:sz w:val="22"/>
        </w:rPr>
        <w:t xml:space="preserve"> is the total electrical power supplied to the heating element in watts (W). This metric evaluates the cumulative effectiveness of the thermal transport mechanisms versus the electrical energy expended.</w:t>
      </w:r>
    </w:p>
    <w:p>
      <w:pPr>
        <w:spacing w:before="0" w:after="80"/>
      </w:pPr>
    </w:p>
    <w:p>
      <w:pPr>
        <w:spacing w:before="60" w:after="120" w:line="276" w:lineRule="auto"/>
      </w:pPr>
      <w:r>
        <w:rPr>
          <w:rFonts w:ascii="Times New Roman" w:hAnsi="Times New Roman"/>
          <w:sz w:val="22"/>
        </w:rPr>
        <w:t>Equation (16) models the system's Response Time based on a lumped capacitance assumption.</w:t>
      </w:r>
    </w:p>
    <w:p>
      <w:pPr>
        <w:spacing w:before="0" w:after="80"/>
      </w:pPr>
    </w:p>
    <w:p>
      <w:pPr>
        <w:spacing w:before="120" w:after="120"/>
        <w:jc w:val="center"/>
      </w:pPr>
      <w:r>
        <w:rPr>
          <w:rFonts w:ascii="Cambria Math" w:hAnsi="Cambria Math"/>
          <w:i/>
          <w:sz w:val="22"/>
        </w:rPr>
        <w:t>\tau = RC \tag{16}</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\tau</w:t>
      </w:r>
      <w:r>
        <w:rPr>
          <w:rFonts w:ascii="Times New Roman" w:hAnsi="Times New Roman"/>
          <w:sz w:val="22"/>
        </w:rPr>
        <w:t xml:space="preserve"> is the thermal time constant in seconds (s), representing the time required for the system to reach approximately 63.2% of its final temperature following a step change in heat input. </w:t>
      </w:r>
      <w:r>
        <w:rPr>
          <w:rFonts w:ascii="Cambria Math" w:hAnsi="Cambria Math"/>
          <w:i/>
          <w:sz w:val="22"/>
        </w:rPr>
        <w:t>R</w:t>
      </w:r>
      <w:r>
        <w:rPr>
          <w:rFonts w:ascii="Times New Roman" w:hAnsi="Times New Roman"/>
          <w:sz w:val="22"/>
        </w:rPr>
        <w:t xml:space="preserve"> is the equivalent thermal resistance of the system in kelvin per watt (K/W), and </w:t>
      </w:r>
      <w:r>
        <w:rPr>
          <w:rFonts w:ascii="Cambria Math" w:hAnsi="Cambria Math"/>
          <w:i/>
          <w:sz w:val="22"/>
        </w:rPr>
        <w:t>C</w:t>
      </w:r>
      <w:r>
        <w:rPr>
          <w:rFonts w:ascii="Times New Roman" w:hAnsi="Times New Roman"/>
          <w:sz w:val="22"/>
        </w:rPr>
        <w:t xml:space="preserve"> is the lumped thermal capacitance (mass times specific heat) of the core and primary fluid in joules per kelvin (J/K). This parameter defines the dynamic sluggishness of the thermal mass.</w:t>
      </w:r>
    </w:p>
    <w:p>
      <w:pPr>
        <w:spacing w:before="0" w:after="80"/>
      </w:pPr>
    </w:p>
    <w:p>
      <w:pPr>
        <w:spacing w:before="60" w:after="120" w:line="276" w:lineRule="auto"/>
      </w:pPr>
      <w:r>
        <w:rPr>
          <w:rFonts w:ascii="Times New Roman" w:hAnsi="Times New Roman"/>
          <w:sz w:val="22"/>
        </w:rPr>
        <w:t>Equation (17) presents the Dynamic System Model for the thermal core based on energy conservation.</w:t>
      </w:r>
    </w:p>
    <w:p>
      <w:pPr>
        <w:spacing w:before="0" w:after="80"/>
      </w:pPr>
    </w:p>
    <w:p>
      <w:pPr>
        <w:spacing w:before="120" w:after="120"/>
        <w:jc w:val="center"/>
      </w:pPr>
      <w:r>
        <w:rPr>
          <w:rFonts w:ascii="Cambria Math" w:hAnsi="Cambria Math"/>
          <w:i/>
          <w:sz w:val="22"/>
        </w:rPr>
        <w:t>C\frac{dT}{dt} = Q_{in} - Q_{out} \tag{17}</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C</w:t>
      </w:r>
      <w:r>
        <w:rPr>
          <w:rFonts w:ascii="Times New Roman" w:hAnsi="Times New Roman"/>
          <w:sz w:val="22"/>
        </w:rPr>
        <w:t xml:space="preserve"> is the thermal capacitance of the core in joules per kelvin (J/K), </w:t>
      </w:r>
      <w:r>
        <w:rPr>
          <w:rFonts w:ascii="Cambria Math" w:hAnsi="Cambria Math"/>
          <w:i/>
          <w:sz w:val="22"/>
        </w:rPr>
        <w:t>dT/dt</w:t>
      </w:r>
      <w:r>
        <w:rPr>
          <w:rFonts w:ascii="Times New Roman" w:hAnsi="Times New Roman"/>
          <w:sz w:val="22"/>
        </w:rPr>
        <w:t xml:space="preserve"> is the rate of change of temperature with respect to time in kelvin per second (K/s), </w:t>
      </w:r>
      <w:r>
        <w:rPr>
          <w:rFonts w:ascii="Cambria Math" w:hAnsi="Cambria Math"/>
          <w:i/>
          <w:sz w:val="22"/>
        </w:rPr>
        <w:t>Q_{in}</w:t>
      </w:r>
      <w:r>
        <w:rPr>
          <w:rFonts w:ascii="Times New Roman" w:hAnsi="Times New Roman"/>
          <w:sz w:val="22"/>
        </w:rPr>
        <w:t xml:space="preserve"> is the thermal power generated by the nichrome heater in watts (W), and </w:t>
      </w:r>
      <w:r>
        <w:rPr>
          <w:rFonts w:ascii="Cambria Math" w:hAnsi="Cambria Math"/>
          <w:i/>
          <w:sz w:val="22"/>
        </w:rPr>
        <w:t>Q_{out}</w:t>
      </w:r>
      <w:r>
        <w:rPr>
          <w:rFonts w:ascii="Times New Roman" w:hAnsi="Times New Roman"/>
          <w:sz w:val="22"/>
        </w:rPr>
        <w:t xml:space="preserve"> is the thermal power extracted by the primary coolant in watts (W). This differential equation forms the basis for designing and tuning the hysteresis control algorithm.</w:t>
      </w:r>
    </w:p>
    <w:p>
      <w:pPr>
        <w:spacing w:before="0" w:after="80"/>
      </w:pPr>
    </w:p>
    <w:p>
      <w:pPr>
        <w:spacing w:before="60" w:after="120" w:line="276" w:lineRule="auto"/>
      </w:pPr>
      <w:r>
        <w:rPr>
          <w:rFonts w:ascii="Times New Roman" w:hAnsi="Times New Roman"/>
          <w:sz w:val="22"/>
        </w:rPr>
        <w:t>Equation (18) calculates the Electrical Power dissipated by the nichrome heating element.</w:t>
      </w:r>
    </w:p>
    <w:p>
      <w:pPr>
        <w:spacing w:before="0" w:after="80"/>
      </w:pPr>
    </w:p>
    <w:p>
      <w:pPr>
        <w:spacing w:before="120" w:after="120"/>
        <w:jc w:val="center"/>
      </w:pPr>
      <w:r>
        <w:rPr>
          <w:rFonts w:ascii="Cambria Math" w:hAnsi="Cambria Math"/>
          <w:i/>
          <w:sz w:val="22"/>
        </w:rPr>
        <w:t>P = \frac{V^2}{R} \tag{18}</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P</w:t>
      </w:r>
      <w:r>
        <w:rPr>
          <w:rFonts w:ascii="Times New Roman" w:hAnsi="Times New Roman"/>
          <w:sz w:val="22"/>
        </w:rPr>
        <w:t xml:space="preserve"> is the electrical power in watts (W), </w:t>
      </w:r>
      <w:r>
        <w:rPr>
          <w:rFonts w:ascii="Cambria Math" w:hAnsi="Cambria Math"/>
          <w:i/>
          <w:sz w:val="22"/>
        </w:rPr>
        <w:t>V</w:t>
      </w:r>
      <w:r>
        <w:rPr>
          <w:rFonts w:ascii="Times New Roman" w:hAnsi="Times New Roman"/>
          <w:sz w:val="22"/>
        </w:rPr>
        <w:t xml:space="preserve"> is the root-mean-square (RMS) voltage applied across the element in volts (V), and </w:t>
      </w:r>
      <w:r>
        <w:rPr>
          <w:rFonts w:ascii="Cambria Math" w:hAnsi="Cambria Math"/>
          <w:i/>
          <w:sz w:val="22"/>
        </w:rPr>
        <w:t>R</w:t>
      </w:r>
      <w:r>
        <w:rPr>
          <w:rFonts w:ascii="Times New Roman" w:hAnsi="Times New Roman"/>
          <w:sz w:val="22"/>
        </w:rPr>
        <w:t xml:space="preserve"> is the electrical resistance of the nichrome wire at the operating temperature in ohms (Ω). The ESP32-S3 modulates the effective voltage </w:t>
      </w:r>
      <w:r>
        <w:rPr>
          <w:rFonts w:ascii="Cambria Math" w:hAnsi="Cambria Math"/>
          <w:i/>
          <w:sz w:val="22"/>
        </w:rPr>
        <w:t>V</w:t>
      </w:r>
      <w:r>
        <w:rPr>
          <w:rFonts w:ascii="Times New Roman" w:hAnsi="Times New Roman"/>
          <w:sz w:val="22"/>
        </w:rPr>
        <w:t xml:space="preserve"> via the MOSFET to precisely control the heat generation (</w:t>
      </w:r>
      <w:r>
        <w:rPr>
          <w:rFonts w:ascii="Cambria Math" w:hAnsi="Cambria Math"/>
          <w:i/>
          <w:sz w:val="22"/>
        </w:rPr>
        <w:t>Q_{in}</w:t>
      </w:r>
      <w:r>
        <w:rPr>
          <w:rFonts w:ascii="Times New Roman" w:hAnsi="Times New Roman"/>
          <w:sz w:val="22"/>
        </w:rPr>
        <w:t>).</w:t>
      </w:r>
    </w:p>
    <w:p>
      <w:pPr>
        <w:spacing w:before="0" w:after="80"/>
      </w:pPr>
    </w:p>
    <w:p>
      <w:pPr>
        <w:spacing w:before="60" w:after="120" w:line="276" w:lineRule="auto"/>
      </w:pPr>
      <w:r>
        <w:rPr>
          <w:rFonts w:ascii="Times New Roman" w:hAnsi="Times New Roman"/>
          <w:sz w:val="22"/>
        </w:rPr>
        <w:t>Equation (19) defines the specific Flow Sensor Calibration for the Hall-effect transducer.</w:t>
      </w:r>
    </w:p>
    <w:p>
      <w:pPr>
        <w:spacing w:before="0" w:after="80"/>
      </w:pPr>
    </w:p>
    <w:p>
      <w:pPr>
        <w:spacing w:before="120" w:after="120"/>
        <w:jc w:val="center"/>
      </w:pPr>
      <w:r>
        <w:rPr>
          <w:rFonts w:ascii="Cambria Math" w:hAnsi="Cambria Math"/>
          <w:i/>
          <w:sz w:val="22"/>
        </w:rPr>
        <w:t>Q = \frac{F}{7.5} \tag{19}</w:t>
      </w:r>
    </w:p>
    <w:p>
      <w:pPr>
        <w:spacing w:before="0" w:after="80"/>
      </w:pPr>
    </w:p>
    <w:p>
      <w:pPr>
        <w:spacing w:before="60" w:after="120" w:line="276" w:lineRule="auto"/>
      </w:pPr>
      <w:r>
        <w:rPr>
          <w:rFonts w:ascii="Times New Roman" w:hAnsi="Times New Roman"/>
          <w:sz w:val="22"/>
        </w:rPr>
        <w:t xml:space="preserve">where </w:t>
      </w:r>
      <w:r>
        <w:rPr>
          <w:rFonts w:ascii="Cambria Math" w:hAnsi="Cambria Math"/>
          <w:i/>
          <w:sz w:val="22"/>
        </w:rPr>
        <w:t>Q</w:t>
      </w:r>
      <w:r>
        <w:rPr>
          <w:rFonts w:ascii="Times New Roman" w:hAnsi="Times New Roman"/>
          <w:sz w:val="22"/>
        </w:rPr>
        <w:t xml:space="preserve"> is the volumetric flow rate of the coolant in liters per minute (L/min), </w:t>
      </w:r>
      <w:r>
        <w:rPr>
          <w:rFonts w:ascii="Cambria Math" w:hAnsi="Cambria Math"/>
          <w:i/>
          <w:sz w:val="22"/>
        </w:rPr>
        <w:t>F</w:t>
      </w:r>
      <w:r>
        <w:rPr>
          <w:rFonts w:ascii="Times New Roman" w:hAnsi="Times New Roman"/>
          <w:sz w:val="22"/>
        </w:rPr>
        <w:t xml:space="preserve"> is the frequency of the pulse train output by the sensor in hertz (Hz), and 7.5 is an empirically derived proportionality constant provided by the sensor manufacturer. This conversion transforms raw digital timing signals into quantifiable physical fluid dynamics data.</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5. METHODOLOGY</w:t>
      </w:r>
    </w:p>
    <w:p>
      <w:pPr>
        <w:spacing w:before="0" w:after="80"/>
      </w:pPr>
    </w:p>
    <w:p>
      <w:pPr>
        <w:spacing w:before="60" w:after="120" w:line="276" w:lineRule="auto"/>
      </w:pPr>
      <w:r>
        <w:rPr>
          <w:rFonts w:ascii="Times New Roman" w:hAnsi="Times New Roman"/>
          <w:sz w:val="22"/>
        </w:rPr>
        <w:t xml:space="preserve">The development and evaluation of the dual-loop controlled cooling system proceeded through a rigorous methodology encompassing hardware design, circuit implementation, software architecture development, and standardized experimental validation. </w:t>
      </w:r>
    </w:p>
    <w:p>
      <w:pPr>
        <w:spacing w:before="0" w:after="80"/>
      </w:pPr>
    </w:p>
    <w:p>
      <w:pPr>
        <w:spacing w:before="60" w:after="120" w:line="276" w:lineRule="auto"/>
      </w:pPr>
      <w:r>
        <w:rPr>
          <w:rFonts w:ascii="Times New Roman" w:hAnsi="Times New Roman"/>
          <w:sz w:val="22"/>
        </w:rPr>
        <w:t>The hardware design methodology was predicated on the requirement for distinct thermal zones and strict fluid isolation. Component selection was driven by thermal performance specifications and chemical compatibility. Stainless steel (SS304/SS316) was selected for the primary thermal core and fluid reservoirs due to its structural integrity at elevated temperatures and resistance to corrosion from varying heat transfer fluids. The nichrome wire was specified for the heating element due to its stable resistance profile up to 1000 °C. The dual aluminum cooling blocks were chosen for the heat exchanger to leverage aluminum's high thermal conductivity (approx. 237 W/(m·K)) while utilizing a clamped, paste-interfaced geometry to allow for modularity and prevent fluid cross-contamination. The selection of the D385 diaphragm pumps was based on their ability to self-prime and deliver consistent volumetric flow against the anticipated hydraulic resistance of the 8 mm polyurethane tubing networks.</w:t>
      </w:r>
    </w:p>
    <w:p>
      <w:pPr>
        <w:spacing w:before="0" w:after="80"/>
      </w:pPr>
    </w:p>
    <w:p>
      <w:pPr>
        <w:spacing w:before="60" w:after="120" w:line="276" w:lineRule="auto"/>
      </w:pPr>
      <w:r>
        <w:rPr>
          <w:rFonts w:ascii="Times New Roman" w:hAnsi="Times New Roman"/>
          <w:sz w:val="22"/>
        </w:rPr>
        <w:t>Circuit implementation and wiring were executed with a strict adherence to signal integrity and power isolation principles. High-current power planes originating from the 12V 50A SMPS were segregated from low-voltage logic traces. The IRFZ44N MOSFET was heatsinked and driven via an intermediary transistor or optoisolator from the ESP32-S3 GPIO to ensure complete galvanic isolation and rapid gate charging. The MAX6675 SPI interfaces (utilizing GPIO 14 for SCK, GPIO 12 for MISO, and GPIO 13, 15, 16 for discrete Chip Selects) were routed using twisted pair cabling to minimize electromagnetic interference from the brushed DC pumps. I2C communication lines (GPIO 21 SDA, GPIO 22 SCL) connecting the DS3231 RTC and the PCF8574T LCD backpack were equipped with appropriate pull-up resistors to ensure deterministic signal rise times. The solid-state control of the high-power loads via the 4-channel relay module (actuated by GPIO 17, 18, 19) provided a robust, click-switching isolation barrier.</w:t>
      </w:r>
    </w:p>
    <w:p>
      <w:pPr>
        <w:spacing w:before="0" w:after="80"/>
      </w:pPr>
    </w:p>
    <w:p>
      <w:pPr>
        <w:spacing w:before="60" w:after="120" w:line="276" w:lineRule="auto"/>
      </w:pPr>
      <w:r>
        <w:rPr>
          <w:rFonts w:ascii="Times New Roman" w:hAnsi="Times New Roman"/>
          <w:sz w:val="22"/>
        </w:rPr>
        <w:t>The experimental methodology involved a structured, step-by-step protocol to characterize system performance. Prior to thermal testing, the primary and secondary loops were primed with the designated working fluid (distilled water) and subjected to a prolonged ambient circulation test to ensure hydraulic integrity and purge entrapped air. A mandatory sensor calibration procedure was executed by comparing the K-type thermocouple readings against an NIST-traceable reference thermometer in an isothermal water bath, deriving the linear correction coefficients (</w:t>
      </w:r>
      <w:r>
        <w:rPr>
          <w:rFonts w:ascii="Cambria Math" w:hAnsi="Cambria Math"/>
          <w:i/>
          <w:sz w:val="22"/>
        </w:rPr>
        <w:t>a</w:t>
      </w:r>
      <w:r>
        <w:rPr>
          <w:rFonts w:ascii="Times New Roman" w:hAnsi="Times New Roman"/>
          <w:sz w:val="22"/>
        </w:rPr>
        <w:t xml:space="preserve"> and </w:t>
      </w:r>
      <w:r>
        <w:rPr>
          <w:rFonts w:ascii="Cambria Math" w:hAnsi="Cambria Math"/>
          <w:i/>
          <w:sz w:val="22"/>
        </w:rPr>
        <w:t>b</w:t>
      </w:r>
      <w:r>
        <w:rPr>
          <w:rFonts w:ascii="Times New Roman" w:hAnsi="Times New Roman"/>
          <w:sz w:val="22"/>
        </w:rPr>
        <w:t>) for Equation (12). Flow sensor calibration was verified volumetrically utilizing a graduated cylinder and a chronometer.</w:t>
      </w:r>
    </w:p>
    <w:p>
      <w:pPr>
        <w:spacing w:before="0" w:after="80"/>
      </w:pPr>
    </w:p>
    <w:p>
      <w:pPr>
        <w:spacing w:before="60" w:after="120" w:line="276" w:lineRule="auto"/>
      </w:pPr>
      <w:r>
        <w:rPr>
          <w:rFonts w:ascii="Times New Roman" w:hAnsi="Times New Roman"/>
          <w:sz w:val="22"/>
        </w:rPr>
        <w:t>The software architecture of the ESP32-S3 was structured as a deterministic finite state machine (FSM) implemented in C++ via the Arduino IDE/PlatformIO environment, utilizing established libraries (</w:t>
      </w:r>
      <w:r>
        <w:rPr>
          <w:rFonts w:ascii="Courier New" w:hAnsi="Courier New"/>
          <w:sz w:val="20"/>
        </w:rPr>
        <w:t>Wire.h</w:t>
      </w:r>
      <w:r>
        <w:rPr>
          <w:rFonts w:ascii="Times New Roman" w:hAnsi="Times New Roman"/>
          <w:sz w:val="22"/>
        </w:rPr>
        <w:t xml:space="preserve">, </w:t>
      </w:r>
      <w:r>
        <w:rPr>
          <w:rFonts w:ascii="Courier New" w:hAnsi="Courier New"/>
          <w:sz w:val="20"/>
        </w:rPr>
        <w:t>LiquidCrystal_I2C.h</w:t>
      </w:r>
      <w:r>
        <w:rPr>
          <w:rFonts w:ascii="Times New Roman" w:hAnsi="Times New Roman"/>
          <w:sz w:val="22"/>
        </w:rPr>
        <w:t xml:space="preserve">, </w:t>
      </w:r>
      <w:r>
        <w:rPr>
          <w:rFonts w:ascii="Courier New" w:hAnsi="Courier New"/>
          <w:sz w:val="20"/>
        </w:rPr>
        <w:t>max6675.h</w:t>
      </w:r>
      <w:r>
        <w:rPr>
          <w:rFonts w:ascii="Times New Roman" w:hAnsi="Times New Roman"/>
          <w:sz w:val="22"/>
        </w:rPr>
        <w:t xml:space="preserve">, </w:t>
      </w:r>
      <w:r>
        <w:rPr>
          <w:rFonts w:ascii="Courier New" w:hAnsi="Courier New"/>
          <w:sz w:val="20"/>
        </w:rPr>
        <w:t>RTClib.h</w:t>
      </w:r>
      <w:r>
        <w:rPr>
          <w:rFonts w:ascii="Times New Roman" w:hAnsi="Times New Roman"/>
          <w:sz w:val="22"/>
        </w:rPr>
        <w:t xml:space="preserve">). The FSM architecture comprises four primary states: Initializing (system diagnostics, sensor verification), Normal (active thermal regulation), Warning (parameter deviation beyond primary thresholds), and ESD (Emergency Shutdown triggered by critical failures). </w:t>
      </w:r>
    </w:p>
    <w:p>
      <w:pPr>
        <w:spacing w:before="0" w:after="80"/>
      </w:pPr>
    </w:p>
    <w:p>
      <w:pPr>
        <w:spacing w:before="60" w:after="120" w:line="276" w:lineRule="auto"/>
      </w:pPr>
      <w:r>
        <w:rPr>
          <w:rFonts w:ascii="Times New Roman" w:hAnsi="Times New Roman"/>
          <w:sz w:val="22"/>
        </w:rPr>
        <w:t xml:space="preserve">Data collection was governed by a strictly timed protocol, driven by hardware timer interrupts or the RTC, enforcing a 2-second sampling interval. At each interval, the ESP32-S3 polled the three MAX6675 modules, calculated the moving average of the flow sensor frequency, and retrieved the absolute timestamp. This synchronized dataset was subsequently formatted and outputted via the serial interface for external logging and real-time visualization on the 16x2 LCD. </w:t>
      </w:r>
    </w:p>
    <w:p>
      <w:pPr>
        <w:spacing w:before="0" w:after="80"/>
      </w:pPr>
    </w:p>
    <w:p>
      <w:pPr>
        <w:spacing w:before="60" w:after="120" w:line="276" w:lineRule="auto"/>
      </w:pPr>
      <w:r>
        <w:rPr>
          <w:rFonts w:ascii="Times New Roman" w:hAnsi="Times New Roman"/>
          <w:sz w:val="22"/>
        </w:rPr>
        <w:t>The core thermal regulation was governed by a hysteresis control algorithm. This algorithm continuously evaluated the core temperature (TC1). According to the defined logic, the controller commanded the MOSFET gate (GPIO 5) to energize the nichrome heater continuously while the core temperature remained below a lower threshold of 65 °C. Heat generation was subsequently terminated when the temperature exceeded an upper threshold of 80 °C. This operational band (65 °C - 80 °C) permitted the evaluation of the system's transient response, the thermal inertia of the primary loop, and the ultimate heat dissipation capacity of the secondary loop during cyclical thermal loading. Validation procedures involved running the system through multiple hysteresis cycles, verifying the repeatability of the thermal curves, and ensuring that no secondary system temperatures approached material limits, thereby confirming the efficacy of the dual-loop architecture.</w:t>
      </w:r>
    </w:p>
    <w:p>
      <w:pPr>
        <w:spacing w:before="0" w:after="80"/>
      </w:pPr>
    </w:p>
    <w:p>
      <w:pPr>
        <w:spacing w:before="60" w:after="120" w:line="276" w:lineRule="auto"/>
      </w:pPr>
      <w:r>
        <w:rPr>
          <w:rFonts w:ascii="Times New Roman" w:hAnsi="Times New Roman"/>
          <w:sz w:val="22"/>
        </w:rPr>
        <w:t>Figure 5. Flowchart of system operational algorithm.</w:t>
      </w:r>
    </w:p>
    <w:p>
      <w:pPr>
        <w:spacing w:before="0" w:after="80"/>
      </w:pPr>
    </w:p>
    <w:p>
      <w:pPr>
        <w:spacing w:before="60" w:after="120" w:line="276" w:lineRule="auto"/>
      </w:pPr>
      <w:r>
        <w:rPr>
          <w:rFonts w:ascii="Times New Roman" w:hAnsi="Times New Roman"/>
          <w:sz w:val="22"/>
        </w:rPr>
        <w:t>[Insert Figure 5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6. EXPERIMENTAL SETUP</w:t>
      </w:r>
    </w:p>
    <w:p>
      <w:pPr>
        <w:spacing w:before="0" w:after="80"/>
      </w:pPr>
    </w:p>
    <w:p>
      <w:pPr>
        <w:spacing w:before="60" w:after="120" w:line="276" w:lineRule="auto"/>
      </w:pPr>
      <w:r>
        <w:rPr>
          <w:rFonts w:ascii="Times New Roman" w:hAnsi="Times New Roman"/>
          <w:sz w:val="22"/>
        </w:rPr>
        <w:t>The experimental apparatus was meticulously designed and assembled to evaluate the thermal performance and control dynamics of the proposed dual-loop cooling architecture. The system integrates a simulated high-heat-flux thermal core, a primary coolant loop, a secondary coolant loop, a liquid-to-liquid heat exchanger, and an array of sensors governed by an ESP32-S3 microcontroller. The physical setup was situated in a controlled laboratory environment with an ambient temperature maintained at approximately 25°C to minimize external thermal perturbations during testing.</w:t>
      </w:r>
    </w:p>
    <w:p>
      <w:pPr>
        <w:spacing w:before="0" w:after="80"/>
      </w:pPr>
    </w:p>
    <w:p>
      <w:pPr>
        <w:keepNext/>
        <w:spacing w:before="200" w:after="80"/>
      </w:pPr>
      <w:r>
        <w:rPr>
          <w:rFonts w:ascii="Times New Roman" w:hAnsi="Times New Roman"/>
          <w:b/>
          <w:color w:val="366092"/>
          <w:sz w:val="24"/>
        </w:rPr>
        <w:t>6.1 System Components and Specifications</w:t>
      </w:r>
    </w:p>
    <w:p>
      <w:pPr>
        <w:spacing w:before="0" w:after="80"/>
      </w:pPr>
    </w:p>
    <w:p>
      <w:pPr>
        <w:spacing w:before="60" w:after="120" w:line="276" w:lineRule="auto"/>
      </w:pPr>
      <w:r>
        <w:rPr>
          <w:rFonts w:ascii="Times New Roman" w:hAnsi="Times New Roman"/>
          <w:sz w:val="22"/>
        </w:rPr>
        <w:t>A comprehensive selection of industrial and consumer-grade components was utilized to construct the prototype. The central processing unit for data acquisition and control was the ESP32-S3 microcontroller, chosen for its dual-core architecture, robust I/O capabilities, and integrated Wi-Fi/Bluetooth functionalities. Thermal energy was generated using a variable 100-300W nichrome heater, acting as the simulated thermal core. Flow circulation within the loops was driven by two D385 DC pumps, each rated at 18-24W, providing sufficient head pressure to maintain steady-state flow conditions. The hardware specifications of the critical components are detailed in Table 2.</w:t>
      </w:r>
    </w:p>
    <w:p>
      <w:pPr>
        <w:spacing w:before="0" w:after="80"/>
      </w:pPr>
    </w:p>
    <w:p>
      <w:pPr>
        <w:spacing w:before="60" w:after="120" w:line="276" w:lineRule="auto"/>
      </w:pPr>
      <w:r>
        <w:rPr>
          <w:rFonts w:ascii="Times New Roman" w:hAnsi="Times New Roman"/>
          <w:b/>
          <w:sz w:val="22"/>
        </w:rPr>
        <w:t>Table 2. Experimental Component Specifications</w:t>
      </w:r>
    </w:p>
    <w:p>
      <w:pPr>
        <w:spacing w:before="0" w:after="80"/>
      </w:pP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Component</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Model/Type</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Rating</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Function</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Microcontroller</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ESP32-S3</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~1.2W, 5V DC</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Central processing, data acquisition, and control</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Thermal Core Heater</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Nichrome Heater</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100-300W, 12V DC</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Heat generation for thermal load simulation</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Coolant Pumps (×2)</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D385 DC Diaphragm</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18-24W, 12V DC</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Fluid circulation in primary and secondary loops</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Flow Sensor</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ZJ-S201</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~0.15W, 5-18V DC</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Volumetric flow rate measurement</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Power Switching</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IRFZ44N MOSFET</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94W max, 55V max</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High-frequency switching for heater control</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Relay Module</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4-Channel Relay</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~2W, 5V DC</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Actuation of pumps, fans, and safety shutdown</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Heat Rejection Fan</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Axial Cooling Fan</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6-12W, 12V DC</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Forced convective cooling for heat exchanger</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Voltage Regulation</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LM2596 Buck Converter</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Up to 15W</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Voltage step-down for low-power electronics</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System Display</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16×2 I2C LCD</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~0.4W, 5V DC</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Real-time visualization of system parameters</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Real-Time Clock</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DS3231 I2C RTC</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~0.01W, 3.3-5V DC</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Time-stamping for data logging</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Main Power Supply</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SMPS</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600W, 12V 50A</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Centralized power distribution for all modules</w:t>
            </w:r>
          </w:p>
        </w:tc>
      </w:tr>
    </w:tbl>
    <w:p>
      <w:pPr>
        <w:spacing w:after="120"/>
      </w:pPr>
    </w:p>
    <w:p>
      <w:pPr>
        <w:spacing w:before="0" w:after="80"/>
      </w:pPr>
    </w:p>
    <w:p>
      <w:pPr>
        <w:keepNext/>
        <w:spacing w:before="200" w:after="80"/>
      </w:pPr>
      <w:r>
        <w:rPr>
          <w:rFonts w:ascii="Times New Roman" w:hAnsi="Times New Roman"/>
          <w:b/>
          <w:color w:val="366092"/>
          <w:sz w:val="24"/>
        </w:rPr>
        <w:t>6.2 Power Supply Architecture</w:t>
      </w:r>
    </w:p>
    <w:p>
      <w:pPr>
        <w:spacing w:before="0" w:after="80"/>
      </w:pPr>
    </w:p>
    <w:p>
      <w:pPr>
        <w:spacing w:before="60" w:after="120" w:line="276" w:lineRule="auto"/>
      </w:pPr>
      <w:r>
        <w:rPr>
          <w:rFonts w:ascii="Times New Roman" w:hAnsi="Times New Roman"/>
          <w:sz w:val="22"/>
        </w:rPr>
        <w:t>The power distribution system was architected to ensure stable operation of both high-power electromechanical components and sensitive digital logic circuits. A central 12V, 50A (600W) Switched-Mode Power Supply (SMPS) was utilized as the primary power source. The nichrome heater, cooling fan, and dual D385 pumps were powered directly from the 12V rail. The heater's power modulation was achieved via Pulse Width Modulation (PWM) utilizing an IRFZ44N power MOSFET, driven by the microcontroller. To supply the 5V logic level required by the ESP32-S3, relays, and the LCD module, an LM2596 step-down buck converter was employed. This segregation of high-current analog loads from digital logic minimized electromagnetic interference (EMI) and voltage droop issues.</w:t>
      </w:r>
    </w:p>
    <w:p>
      <w:pPr>
        <w:spacing w:before="0" w:after="80"/>
      </w:pPr>
    </w:p>
    <w:p>
      <w:pPr>
        <w:keepNext/>
        <w:spacing w:before="200" w:after="80"/>
      </w:pPr>
      <w:r>
        <w:rPr>
          <w:rFonts w:ascii="Times New Roman" w:hAnsi="Times New Roman"/>
          <w:b/>
          <w:color w:val="366092"/>
          <w:sz w:val="24"/>
        </w:rPr>
        <w:t>6.3 Sensor Placement and Instrumentation</w:t>
      </w:r>
    </w:p>
    <w:p>
      <w:pPr>
        <w:spacing w:before="0" w:after="80"/>
      </w:pPr>
    </w:p>
    <w:p>
      <w:pPr>
        <w:spacing w:before="60" w:after="120" w:line="276" w:lineRule="auto"/>
      </w:pPr>
      <w:r>
        <w:rPr>
          <w:rFonts w:ascii="Times New Roman" w:hAnsi="Times New Roman"/>
          <w:sz w:val="22"/>
        </w:rPr>
        <w:t>Accurate characterization of the thermal gradients across the system necessitated precise sensor placement. Three MAX6675 cold-junction-compensated K-Type thermocouple amplifiers were deployed. Thermocouple 1 (TC1) was physically bonded to the thermal core sphere using high-conductivity thermal paste to measure the source temperature. Thermocouple 2 (TC2) was positioned at the primary loop outlet, immediately downstream of the heat source, capturing the temperature of the fluid after heat absorption. Thermocouple 3 (TC3) was located at the secondary loop outlet to monitor the temperature of the cooling fluid post-heat exchange. Volumetric flow rates were monitored continuously using the ZJ-S201 Hall-effect flow sensor integrated into the primary loop. The specifications of the sensory instrumentation are summarized in Table 3.</w:t>
      </w:r>
    </w:p>
    <w:p>
      <w:pPr>
        <w:spacing w:before="0" w:after="80"/>
      </w:pPr>
    </w:p>
    <w:p>
      <w:pPr>
        <w:spacing w:before="60" w:after="120" w:line="276" w:lineRule="auto"/>
      </w:pPr>
      <w:r>
        <w:rPr>
          <w:rFonts w:ascii="Times New Roman" w:hAnsi="Times New Roman"/>
          <w:b/>
          <w:sz w:val="22"/>
        </w:rPr>
        <w:t>Table 3. Sensor Specifications</w:t>
      </w:r>
    </w:p>
    <w:p>
      <w:pPr>
        <w:spacing w:before="0" w:after="80"/>
      </w:pPr>
    </w:p>
    <w:tbl>
      <w:tblPr>
        <w:tblW w:type="auto" w:w="0"/>
        <w:jc w:val="center"/>
        <w:tblLook w:firstColumn="1" w:firstRow="1" w:lastColumn="0" w:lastRow="0" w:noHBand="0" w:noVBand="1" w:val="04A0"/>
      </w:tblPr>
      <w:tblGrid>
        <w:gridCol w:w="4680"/>
        <w:gridCol w:w="4680"/>
      </w:tblGrid>
      <w:tr>
        <w:tc>
          <w:tcPr>
            <w:tcW w:type="dxa" w:w="4680"/>
            <w:shd w:fill="1F497D"/>
            <w:tcBorders>
              <w:top w:sz="12" w:val="single" w:color="1F497D"/>
              <w:bottom w:sz="18" w:val="single" w:color="1F497D"/>
            </w:tcBorders>
          </w:tcPr>
          <w:p>
            <w:pPr>
              <w:spacing w:before="80" w:after="80"/>
              <w:jc w:val="left"/>
            </w:pPr>
            <w:r>
              <w:rPr>
                <w:rFonts w:ascii="Times New Roman" w:hAnsi="Times New Roman"/>
                <w:b/>
                <w:color w:val="FFFFFF"/>
                <w:sz w:val="20"/>
              </w:rPr>
              <w:t>Parameter</w:t>
            </w:r>
          </w:p>
        </w:tc>
        <w:tc>
          <w:tcPr>
            <w:tcW w:type="dxa" w:w="4680"/>
            <w:shd w:fill="1F497D"/>
            <w:tcBorders>
              <w:top w:sz="12" w:val="single" w:color="1F497D"/>
              <w:bottom w:sz="18" w:val="single" w:color="1F497D"/>
            </w:tcBorders>
          </w:tcPr>
          <w:p>
            <w:pPr>
              <w:spacing w:before="80" w:after="80"/>
              <w:jc w:val="left"/>
            </w:pPr>
            <w:r>
              <w:rPr>
                <w:rFonts w:ascii="Times New Roman" w:hAnsi="Times New Roman"/>
                <w:b/>
                <w:color w:val="FFFFFF"/>
                <w:sz w:val="20"/>
              </w:rPr>
              <w:t>Specification</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Sensor IC</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MAX6675</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Sensor Type</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K-Type Thermocouple (Passive)</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Operating Voltage</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3.3V - 5.0V DC</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ADC Resolution</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12-bit</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Temperature Resolution</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0.25°C</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Accuracy</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±1.5°C (Class 1)</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Maximum Temperature Range</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Up to 1000°C</w:t>
            </w:r>
          </w:p>
        </w:tc>
      </w:tr>
    </w:tbl>
    <w:p>
      <w:pPr>
        <w:spacing w:after="120"/>
      </w:pPr>
    </w:p>
    <w:p>
      <w:pPr>
        <w:spacing w:before="0" w:after="80"/>
      </w:pPr>
    </w:p>
    <w:p>
      <w:pPr>
        <w:keepNext/>
        <w:spacing w:before="200" w:after="80"/>
      </w:pPr>
      <w:r>
        <w:rPr>
          <w:rFonts w:ascii="Times New Roman" w:hAnsi="Times New Roman"/>
          <w:b/>
          <w:color w:val="366092"/>
          <w:sz w:val="24"/>
        </w:rPr>
        <w:t>6.4 Cooling Arrangement and Data Acquisition</w:t>
      </w:r>
    </w:p>
    <w:p>
      <w:pPr>
        <w:spacing w:before="0" w:after="80"/>
      </w:pPr>
    </w:p>
    <w:p>
      <w:pPr>
        <w:spacing w:before="60" w:after="120" w:line="276" w:lineRule="auto"/>
      </w:pPr>
      <w:r>
        <w:rPr>
          <w:rFonts w:ascii="Times New Roman" w:hAnsi="Times New Roman"/>
          <w:sz w:val="22"/>
        </w:rPr>
        <w:t>The cooling flow path was designed for optimal thermal extraction. The primary loop circulated deionized water through a custom cooling block intimately attached to the thermal core. The absorbed thermal energy was then transported to the liquid-to-liquid heat exchanger. The secondary loop circulated fluid through the cold side of the heat exchanger, absorbing the heat from the primary fluid before rejecting it to the ambient environment via a finned radiator coupled with a forced-draft axial cooling fan. High-performance thermal paste was applied at all solid-solid interfaces, particularly between the thermal core and the primary cooling block, to minimize thermal contact resistance.</w:t>
      </w:r>
    </w:p>
    <w:p>
      <w:pPr>
        <w:spacing w:before="0" w:after="80"/>
      </w:pPr>
    </w:p>
    <w:p>
      <w:pPr>
        <w:spacing w:before="60" w:after="120" w:line="276" w:lineRule="auto"/>
      </w:pPr>
      <w:r>
        <w:rPr>
          <w:rFonts w:ascii="Times New Roman" w:hAnsi="Times New Roman"/>
          <w:sz w:val="22"/>
        </w:rPr>
        <w:t>Data acquisition was handled autonomously by the ESP32-S3 microcontroller. A polling interval of 2.0 seconds was established to sample data from the MAX6675 sensors and the ZJ-S201 flow sensor. This sampling rate was deemed sufficient to capture the transient thermal dynamics of the fluid loops without saturating the microcontroller's processing bandwidth. Safety interlocks were hard-coded into the firmware, utilizing the 4-channel relay module, an active buzzer, and RGB LED indicators to execute automatic system shutdown and alert operators in the event of thermal runaway or flow loss.</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7. RESULTS AND DISCUSSION</w:t>
      </w:r>
    </w:p>
    <w:p>
      <w:pPr>
        <w:spacing w:before="0" w:after="80"/>
      </w:pPr>
    </w:p>
    <w:p>
      <w:pPr>
        <w:spacing w:before="60" w:after="120" w:line="276" w:lineRule="auto"/>
      </w:pPr>
      <w:r>
        <w:rPr>
          <w:rFonts w:ascii="Times New Roman" w:hAnsi="Times New Roman"/>
          <w:sz w:val="22"/>
        </w:rPr>
        <w:t>The experimental prototype was subjected to a continuous 60-minute test run to thoroughly characterize its transient response, steady-state stability, and the efficacy of the hysteresis control algorithm. All subsystems were initially tested individually to confirm operational integrity before full system integration. The subsequent analysis details the thermal, fluidic, and control dynamics observed during the continuous operational phase.</w:t>
      </w:r>
    </w:p>
    <w:p>
      <w:pPr>
        <w:spacing w:before="0" w:after="80"/>
      </w:pPr>
    </w:p>
    <w:p>
      <w:pPr>
        <w:keepNext/>
        <w:spacing w:before="200" w:after="80"/>
      </w:pPr>
      <w:r>
        <w:rPr>
          <w:rFonts w:ascii="Times New Roman" w:hAnsi="Times New Roman"/>
          <w:b/>
          <w:color w:val="366092"/>
          <w:sz w:val="24"/>
        </w:rPr>
        <w:t>7.1 Thermal Core Heating Characteristics</w:t>
      </w:r>
    </w:p>
    <w:p>
      <w:pPr>
        <w:spacing w:before="0" w:after="80"/>
      </w:pPr>
    </w:p>
    <w:p>
      <w:pPr>
        <w:spacing w:before="60" w:after="120" w:line="276" w:lineRule="auto"/>
      </w:pPr>
      <w:r>
        <w:rPr>
          <w:rFonts w:ascii="Times New Roman" w:hAnsi="Times New Roman"/>
          <w:sz w:val="22"/>
        </w:rPr>
        <w:t>Upon activation of the nichrome heater, the thermal core temperature (measured by TC1) exhibited a progressive and monotonic rise, characteristic of a lumped capacitance thermal system subjected to a constant heat flux boundary condition. During the initial transient phase, the rate of temperature increase was governed by the thermal mass of the simulated core and the convective heat transfer coefficient of the primary coolant. The system reached its operational control band within the first ten minutes of the test run. The application of high-conductivity thermal paste between the heater and the primary cooling block proved critical; earlier qualitative assessments without the paste indicated a significant lag in heat transfer, which was mitigated in the finalized experimental setup, leading to a highly responsive thermal coupling.</w:t>
      </w:r>
    </w:p>
    <w:p>
      <w:pPr>
        <w:spacing w:before="0" w:after="80"/>
      </w:pPr>
    </w:p>
    <w:p>
      <w:pPr>
        <w:keepNext/>
        <w:spacing w:before="200" w:after="80"/>
      </w:pPr>
      <w:r>
        <w:rPr>
          <w:rFonts w:ascii="Times New Roman" w:hAnsi="Times New Roman"/>
          <w:b/>
          <w:color w:val="366092"/>
          <w:sz w:val="24"/>
        </w:rPr>
        <w:t>7.2 Hysteresis Controller Performance</w:t>
      </w:r>
    </w:p>
    <w:p>
      <w:pPr>
        <w:spacing w:before="0" w:after="80"/>
      </w:pPr>
    </w:p>
    <w:p>
      <w:pPr>
        <w:spacing w:before="60" w:after="120" w:line="276" w:lineRule="auto"/>
      </w:pPr>
      <w:r>
        <w:rPr>
          <w:rFonts w:ascii="Times New Roman" w:hAnsi="Times New Roman"/>
          <w:sz w:val="22"/>
        </w:rPr>
        <w:t xml:space="preserve">The primary control objective was to maintain the thermal core within a predefined temperature range, preventing both overheating and excessive thermal cycling. A discrete hysteresis control algorithm was implemented, defining a lower threshold of 65.0°C and an upper threshold of 80.0°C. </w:t>
      </w:r>
    </w:p>
    <w:p>
      <w:pPr>
        <w:spacing w:before="0" w:after="80"/>
      </w:pPr>
    </w:p>
    <w:p>
      <w:pPr>
        <w:spacing w:before="60" w:after="120" w:line="276" w:lineRule="auto"/>
      </w:pPr>
      <w:r>
        <w:rPr>
          <w:rFonts w:ascii="Times New Roman" w:hAnsi="Times New Roman"/>
          <w:sz w:val="22"/>
        </w:rPr>
        <w:t xml:space="preserve">Experimental data indicates that the hysteresis controller performed effectively. Once the thermal core reached the 80.0°C upper limit, the microcontroller successfully commanded the IRFZ44N MOSFET to cease power delivery to the heater (Heater OFF). Consequently, the temperature began to decay as heat was continuously extracted by the primary fluid loop. Upon reaching the 65.0°C lower limit, the heater was re-energized (Heater ON). </w:t>
      </w:r>
    </w:p>
    <w:p>
      <w:pPr>
        <w:spacing w:before="0" w:after="80"/>
      </w:pPr>
    </w:p>
    <w:p>
      <w:pPr>
        <w:spacing w:before="60" w:after="120" w:line="276" w:lineRule="auto"/>
      </w:pPr>
      <w:r>
        <w:rPr>
          <w:rFonts w:ascii="Times New Roman" w:hAnsi="Times New Roman"/>
          <w:sz w:val="22"/>
        </w:rPr>
        <w:t>Throughout the 60-minute duration, the core temperature was successfully maintained within a band between 64.8°C and 78.5°C. Notably, the temperature never exceeded the absolute 80.0°C safety threshold, demonstrating a minor thermal undershoot (0.2°C) and a safe margin (1.5°C) below the upper setpoint. This behavior highlights the inherent thermal inertia of the system; when power is cut, residual heat within the core continues to diffuse into the primary fluid, causing a slight continued rise before the temperature trajectory reverses. The observed bounds (64.8°C - 78.5°C) validate the controller's robustness in managing the simulated heat load under the specified conditions.</w:t>
      </w:r>
    </w:p>
    <w:p>
      <w:pPr>
        <w:spacing w:before="0" w:after="80"/>
      </w:pPr>
    </w:p>
    <w:p>
      <w:pPr>
        <w:keepNext/>
        <w:spacing w:before="200" w:after="80"/>
      </w:pPr>
      <w:r>
        <w:rPr>
          <w:rFonts w:ascii="Times New Roman" w:hAnsi="Times New Roman"/>
          <w:b/>
          <w:color w:val="366092"/>
          <w:sz w:val="24"/>
        </w:rPr>
        <w:t>7.3 MOSFET Duty Cycle and Power Delivery</w:t>
      </w:r>
    </w:p>
    <w:p>
      <w:pPr>
        <w:spacing w:before="0" w:after="80"/>
      </w:pPr>
    </w:p>
    <w:p>
      <w:pPr>
        <w:spacing w:before="60" w:after="120" w:line="276" w:lineRule="auto"/>
      </w:pPr>
      <w:r>
        <w:rPr>
          <w:rFonts w:ascii="Times New Roman" w:hAnsi="Times New Roman"/>
          <w:sz w:val="22"/>
        </w:rPr>
        <w:t xml:space="preserve">The average duty cycle of the MOSFET during the steady-state oscillatory phase was calculated to be 68%. This metric indicates that the heater was actively drawing power for 68% of the time during the regulated control cycles to maintain the temperature within the hysteresis band. This duty cycle provides a direct proxy for the required cooling capacity; the cooling system had to continuously dissipate an average of 68% of the maximum heater output (up to 300W). The ability of the dual-loop system to extract this substantial thermal load while maintaining the core temperature firmly below 80.0°C underscores its high heat flux removal capability. </w:t>
      </w:r>
    </w:p>
    <w:p>
      <w:pPr>
        <w:spacing w:before="0" w:after="80"/>
      </w:pPr>
    </w:p>
    <w:p>
      <w:pPr>
        <w:keepNext/>
        <w:spacing w:before="200" w:after="80"/>
      </w:pPr>
      <w:r>
        <w:rPr>
          <w:rFonts w:ascii="Times New Roman" w:hAnsi="Times New Roman"/>
          <w:b/>
          <w:color w:val="366092"/>
          <w:sz w:val="24"/>
        </w:rPr>
        <w:t>7.4 Temperature Distribution and Loop Dynamics</w:t>
      </w:r>
    </w:p>
    <w:p>
      <w:pPr>
        <w:spacing w:before="0" w:after="80"/>
      </w:pPr>
    </w:p>
    <w:p>
      <w:pPr>
        <w:spacing w:before="60" w:after="120" w:line="276" w:lineRule="auto"/>
      </w:pPr>
      <w:r>
        <w:rPr>
          <w:rFonts w:ascii="Times New Roman" w:hAnsi="Times New Roman"/>
          <w:sz w:val="22"/>
        </w:rPr>
        <w:t>The temperature distribution across the three measurement nodes provided deep insights into the thermodynamic performance of the dual-loop architecture. As the thermal core (TC1) fluctuated between 64.8°C and 78.5°C, the primary loop fluid (TC2) continuously absorbed this sensible heat. A measurable temperature increase was consistently observed in the primary loop immediately downstream of the core, reflecting the enthalpy rise of the fluid (</w:t>
      </w:r>
      <w:r>
        <w:rPr>
          <w:rFonts w:ascii="Cambria Math" w:hAnsi="Cambria Math"/>
          <w:i/>
          <w:sz w:val="22"/>
        </w:rPr>
        <w:t>\Delta H = \dot{m} C_p \Delta T</w:t>
      </w:r>
      <w:r>
        <w:rPr>
          <w:rFonts w:ascii="Times New Roman" w:hAnsi="Times New Roman"/>
          <w:sz w:val="22"/>
        </w:rPr>
        <w:t>).</w:t>
      </w:r>
    </w:p>
    <w:p>
      <w:pPr>
        <w:spacing w:before="0" w:after="80"/>
      </w:pPr>
    </w:p>
    <w:p>
      <w:pPr>
        <w:spacing w:before="60" w:after="120" w:line="276" w:lineRule="auto"/>
      </w:pPr>
      <w:r>
        <w:rPr>
          <w:rFonts w:ascii="Times New Roman" w:hAnsi="Times New Roman"/>
          <w:sz w:val="22"/>
        </w:rPr>
        <w:t>The heat absorbed by the primary loop was subsequently transported to the liquid-to-liquid heat exchanger. The effectiveness of this component is evidenced by the behavior of the secondary loop (TC3). Under steady-state conditions, the secondary loop temperature stabilized at precisely 32.4°C. The stabilization of the secondary loop at a temperature significantly lower than the primary loop indicates efficient heat transfer across the exchanger plates. The temperature difference between the primary inlet and outlet of the heat exchanger, coupled with the stabilization of the secondary side, confirms that thermal energy was successfully rejected to the ambient environment. The thermal gradient between the primary core (up to 78.5°C) and the secondary stabilized loop (32.4°C) demonstrates the system's capacity to isolate high-temperature components from external cooling reservoirs, a critical requirement in complex industrial processes.</w:t>
      </w:r>
    </w:p>
    <w:p>
      <w:pPr>
        <w:spacing w:before="0" w:after="80"/>
      </w:pPr>
    </w:p>
    <w:p>
      <w:pPr>
        <w:spacing w:before="60" w:after="120" w:line="276" w:lineRule="auto"/>
      </w:pPr>
      <w:r>
        <w:rPr>
          <w:rFonts w:ascii="Times New Roman" w:hAnsi="Times New Roman"/>
          <w:sz w:val="22"/>
        </w:rPr>
        <w:t>Figure 6. Transient Temperature Profiles of Thermal Core, Primary Loop, and Secondary Loop over 60 minutes.</w:t>
      </w:r>
    </w:p>
    <w:p>
      <w:pPr>
        <w:spacing w:before="0" w:after="80"/>
      </w:pPr>
    </w:p>
    <w:p>
      <w:pPr>
        <w:spacing w:before="60" w:after="120" w:line="276" w:lineRule="auto"/>
      </w:pPr>
      <w:r>
        <w:rPr>
          <w:rFonts w:ascii="Times New Roman" w:hAnsi="Times New Roman"/>
          <w:sz w:val="22"/>
        </w:rPr>
        <w:t>[Insert Figure 6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keepNext/>
        <w:spacing w:before="200" w:after="80"/>
      </w:pPr>
      <w:r>
        <w:rPr>
          <w:rFonts w:ascii="Times New Roman" w:hAnsi="Times New Roman"/>
          <w:b/>
          <w:color w:val="366092"/>
          <w:sz w:val="24"/>
        </w:rPr>
        <w:t>7.5 Flow Rate Stability and Fluid Dynamics</w:t>
      </w:r>
    </w:p>
    <w:p>
      <w:pPr>
        <w:spacing w:before="0" w:after="80"/>
      </w:pPr>
    </w:p>
    <w:p>
      <w:pPr>
        <w:spacing w:before="60" w:after="120" w:line="276" w:lineRule="auto"/>
      </w:pPr>
      <w:r>
        <w:rPr>
          <w:rFonts w:ascii="Times New Roman" w:hAnsi="Times New Roman"/>
          <w:sz w:val="22"/>
        </w:rPr>
        <w:t>The hydraulic performance of the primary loop was continuously monitored using the ZJ-S201 flow sensor. Over the duration of the experiment, the volumetric flow rate was maintained at an average of approximately 2.80 L/min. Analysis of the flow data revealed a high degree of flow stability, quantified at 95.4%. Furthermore, the standard deviation of the flow rate was exceptionally low, calculated to be below 0.04 L/min.</w:t>
      </w:r>
    </w:p>
    <w:p>
      <w:pPr>
        <w:spacing w:before="0" w:after="80"/>
      </w:pPr>
    </w:p>
    <w:p>
      <w:pPr>
        <w:spacing w:before="60" w:after="120" w:line="276" w:lineRule="auto"/>
      </w:pPr>
      <w:r>
        <w:rPr>
          <w:rFonts w:ascii="Times New Roman" w:hAnsi="Times New Roman"/>
          <w:sz w:val="22"/>
        </w:rPr>
        <w:t>This high degree of flow stability is paramount for predictable thermal management. Fluctuations in flow rate directly impact the convective heat transfer coefficient; unstable flow can lead to localized hot spots (film boiling or localized dry-out in extreme scenarios) due to transient reductions in cooling capacity. The observed stability confirms the reliability of the D385 DC pumps and the hydraulic design of the primary circuit, ensuring a constant mass flow rate for continuous and predictable heat removal.</w:t>
      </w:r>
    </w:p>
    <w:p>
      <w:pPr>
        <w:spacing w:before="0" w:after="80"/>
      </w:pPr>
    </w:p>
    <w:p>
      <w:pPr>
        <w:spacing w:before="60" w:after="120" w:line="276" w:lineRule="auto"/>
      </w:pPr>
      <w:r>
        <w:rPr>
          <w:rFonts w:ascii="Times New Roman" w:hAnsi="Times New Roman"/>
          <w:sz w:val="22"/>
        </w:rPr>
        <w:t>Figure 7. Volumetric Flow Rate Stability of the Primary Loop over 60 minutes.</w:t>
      </w:r>
    </w:p>
    <w:p>
      <w:pPr>
        <w:spacing w:before="0" w:after="80"/>
      </w:pPr>
    </w:p>
    <w:p>
      <w:pPr>
        <w:spacing w:before="60" w:after="120" w:line="276" w:lineRule="auto"/>
      </w:pPr>
      <w:r>
        <w:rPr>
          <w:rFonts w:ascii="Times New Roman" w:hAnsi="Times New Roman"/>
          <w:sz w:val="22"/>
        </w:rPr>
        <w:t>[Insert Figure 7 Here]</w:t>
      </w:r>
    </w:p>
    <w:p>
      <w:pPr>
        <w:spacing w:before="0" w:after="80"/>
      </w:pPr>
    </w:p>
    <w:p>
      <w:pPr>
        <w:spacing w:before="0" w:after="80"/>
      </w:pPr>
    </w:p>
    <w:p>
      <w:pPr>
        <w:spacing w:before="0" w:after="80"/>
      </w:pPr>
    </w:p>
    <w:p>
      <w:pPr>
        <w:spacing w:before="0" w:after="80"/>
      </w:pPr>
    </w:p>
    <w:p>
      <w:pPr>
        <w:spacing w:before="0" w:after="80"/>
      </w:pPr>
    </w:p>
    <w:p>
      <w:pPr>
        <w:spacing w:before="0" w:after="80"/>
      </w:pPr>
    </w:p>
    <w:p>
      <w:pPr>
        <w:keepNext/>
        <w:spacing w:before="200" w:after="80"/>
      </w:pPr>
      <w:r>
        <w:rPr>
          <w:rFonts w:ascii="Times New Roman" w:hAnsi="Times New Roman"/>
          <w:b/>
          <w:color w:val="366092"/>
          <w:sz w:val="24"/>
        </w:rPr>
        <w:t>7.6 System Response and Heat Exchanger Effectiveness</w:t>
      </w:r>
    </w:p>
    <w:p>
      <w:pPr>
        <w:spacing w:before="0" w:after="80"/>
      </w:pPr>
    </w:p>
    <w:p>
      <w:pPr>
        <w:spacing w:before="60" w:after="120" w:line="276" w:lineRule="auto"/>
      </w:pPr>
      <w:r>
        <w:rPr>
          <w:rFonts w:ascii="Times New Roman" w:hAnsi="Times New Roman"/>
          <w:sz w:val="22"/>
        </w:rPr>
        <w:t>The system's response time to thermal load fluctuations was governed by the transport delay of the fluid and the thermal resistance of the interfaces. The observable temperature difference across the heat exchanger signifies its effectiveness. While the precise effectiveness value (</w:t>
      </w:r>
      <w:r>
        <w:rPr>
          <w:rFonts w:ascii="Cambria Math" w:hAnsi="Cambria Math"/>
          <w:i/>
          <w:sz w:val="22"/>
        </w:rPr>
        <w:t>\varepsilon</w:t>
      </w:r>
      <w:r>
        <w:rPr>
          <w:rFonts w:ascii="Times New Roman" w:hAnsi="Times New Roman"/>
          <w:sz w:val="22"/>
        </w:rPr>
        <w:t>) requires measurement of all four inlet/outlet temperatures, the steady secondary loop temperature (32.4°C) relative to the laboratory ambient (~25°C) indicates that the heat exchanger successfully transferred the heat load from the primary to the secondary fluid, which was subsequently dissipated by the radiator and fan assembly. The application of thermal paste at the heat exchanger interfaces, while non-standard for liquid-liquid exchangers, was utilized on the external fixtures to ensure accurate surface temperature measurements, improving the overall reliability of the thermal data.</w:t>
      </w:r>
    </w:p>
    <w:p>
      <w:pPr>
        <w:spacing w:before="0" w:after="80"/>
      </w:pPr>
    </w:p>
    <w:p>
      <w:pPr>
        <w:keepNext/>
        <w:spacing w:before="200" w:after="80"/>
      </w:pPr>
      <w:r>
        <w:rPr>
          <w:rFonts w:ascii="Times New Roman" w:hAnsi="Times New Roman"/>
          <w:b/>
          <w:color w:val="366092"/>
          <w:sz w:val="24"/>
        </w:rPr>
        <w:t>7.7 Comparison with Published Literature</w:t>
      </w:r>
    </w:p>
    <w:p>
      <w:pPr>
        <w:spacing w:before="0" w:after="80"/>
      </w:pPr>
    </w:p>
    <w:p>
      <w:pPr>
        <w:spacing w:before="60" w:after="120" w:line="276" w:lineRule="auto"/>
      </w:pPr>
      <w:r>
        <w:rPr>
          <w:rFonts w:ascii="Times New Roman" w:hAnsi="Times New Roman"/>
          <w:sz w:val="22"/>
        </w:rPr>
        <w:t>To contextualize the performance of the prototype, the results were compared against established benchmarks in recent thermal management literature. Zimmermann et al. [6] reported that modern liquid cooling systems achieve thermodynamic efficiencies between 92% and 95%. While the present prototype's total exergy efficiency was not explicitly calculated, the ability to stabilize a 300W variable load using a 68% duty cycle with a secondary loop stabilized at 32.4°C suggests high operational efficiency, aligning qualitatively with the performance metrics of advanced liquid systems.</w:t>
      </w:r>
    </w:p>
    <w:p>
      <w:pPr>
        <w:spacing w:before="0" w:after="80"/>
      </w:pPr>
    </w:p>
    <w:p>
      <w:pPr>
        <w:spacing w:before="60" w:after="120" w:line="276" w:lineRule="auto"/>
      </w:pPr>
      <w:r>
        <w:rPr>
          <w:rFonts w:ascii="Times New Roman" w:hAnsi="Times New Roman"/>
          <w:sz w:val="22"/>
        </w:rPr>
        <w:t xml:space="preserve">More specifically, Kim et al. [19] conducted a comparative analysis demonstrating that dual-loop architectures offer an 8-12°C improvement in temperature reduction compared to single-loop systems under similar heat flux conditions. The experimental data obtained in this study supports this paradigm. The isolation of the high-temperature primary loop from the ultimate heat sink (the ambient environment) via the secondary loop allowed for a stabilized secondary temperature (32.4°C), effectively buffering the core from ambient fluctuations and permitting a more aggressive thermal extraction rate. </w:t>
      </w:r>
    </w:p>
    <w:p>
      <w:pPr>
        <w:spacing w:before="0" w:after="80"/>
      </w:pPr>
    </w:p>
    <w:p>
      <w:pPr>
        <w:spacing w:before="60" w:after="120" w:line="276" w:lineRule="auto"/>
      </w:pPr>
      <w:r>
        <w:rPr>
          <w:rFonts w:ascii="Times New Roman" w:hAnsi="Times New Roman"/>
          <w:sz w:val="22"/>
        </w:rPr>
        <w:t>Table 4 summarizes the key experimental results, and Table 5 provides the comparative analysis with literature.</w:t>
      </w:r>
    </w:p>
    <w:p>
      <w:pPr>
        <w:spacing w:before="0" w:after="80"/>
      </w:pPr>
    </w:p>
    <w:p>
      <w:pPr>
        <w:spacing w:before="60" w:after="120" w:line="276" w:lineRule="auto"/>
      </w:pPr>
      <w:r>
        <w:rPr>
          <w:rFonts w:ascii="Times New Roman" w:hAnsi="Times New Roman"/>
          <w:b/>
          <w:sz w:val="22"/>
        </w:rPr>
        <w:t>Table 4. Summary of Experimental Results</w:t>
      </w:r>
    </w:p>
    <w:p>
      <w:pPr>
        <w:spacing w:before="0" w:after="80"/>
      </w:pPr>
    </w:p>
    <w:tbl>
      <w:tblPr>
        <w:tblW w:type="auto" w:w="0"/>
        <w:jc w:val="center"/>
        <w:tblLook w:firstColumn="1" w:firstRow="1" w:lastColumn="0" w:lastRow="0" w:noHBand="0" w:noVBand="1" w:val="04A0"/>
      </w:tblPr>
      <w:tblGrid>
        <w:gridCol w:w="4680"/>
        <w:gridCol w:w="4680"/>
      </w:tblGrid>
      <w:tr>
        <w:tc>
          <w:tcPr>
            <w:tcW w:type="dxa" w:w="4680"/>
            <w:shd w:fill="1F497D"/>
            <w:tcBorders>
              <w:top w:sz="12" w:val="single" w:color="1F497D"/>
              <w:bottom w:sz="18" w:val="single" w:color="1F497D"/>
            </w:tcBorders>
          </w:tcPr>
          <w:p>
            <w:pPr>
              <w:spacing w:before="80" w:after="80"/>
              <w:jc w:val="left"/>
            </w:pPr>
            <w:r>
              <w:rPr>
                <w:rFonts w:ascii="Times New Roman" w:hAnsi="Times New Roman"/>
                <w:b/>
                <w:color w:val="FFFFFF"/>
                <w:sz w:val="20"/>
              </w:rPr>
              <w:t>Parameter</w:t>
            </w:r>
          </w:p>
        </w:tc>
        <w:tc>
          <w:tcPr>
            <w:tcW w:type="dxa" w:w="4680"/>
            <w:shd w:fill="1F497D"/>
            <w:tcBorders>
              <w:top w:sz="12" w:val="single" w:color="1F497D"/>
              <w:bottom w:sz="18" w:val="single" w:color="1F497D"/>
            </w:tcBorders>
          </w:tcPr>
          <w:p>
            <w:pPr>
              <w:spacing w:before="80" w:after="80"/>
              <w:jc w:val="left"/>
            </w:pPr>
            <w:r>
              <w:rPr>
                <w:rFonts w:ascii="Times New Roman" w:hAnsi="Times New Roman"/>
                <w:b/>
                <w:color w:val="FFFFFF"/>
                <w:sz w:val="20"/>
              </w:rPr>
              <w:t>Measured Value / Observation</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Test Duration</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60 minutes</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Controller Type</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Hysteresis (Discrete)</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Target Hysteresis Band</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65.0°C to 80.0°C</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Achieved Control Band</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64.8°C to 78.5°C</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Max Temperature Reached</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78.5°C (Safety threshold 80°C not exceeded)</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Average Flow Rate</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~2.80 L/min</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Flow Stability</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95.4%</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Flow Rate Standard Deviation</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&lt; 0.04 L/min</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Secondary Loop Steady-State Temp</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32.4°C</w:t>
            </w:r>
          </w:p>
        </w:tc>
      </w:tr>
      <w:tr>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Average MOSFET Duty Cycle</w:t>
            </w:r>
          </w:p>
        </w:tc>
        <w:tc>
          <w:tcPr>
            <w:tcW w:type="dxa" w:w="4680"/>
            <w:shd w:fill="FFFFFF"/>
            <w:tcBorders>
              <w:top w:sz="4" w:val="single" w:color="D3D3D3"/>
              <w:bottom w:sz="4" w:val="single" w:color="D3D3D3"/>
            </w:tcBorders>
          </w:tcPr>
          <w:p>
            <w:pPr>
              <w:spacing w:before="80" w:after="80"/>
              <w:jc w:val="left"/>
            </w:pPr>
            <w:r>
              <w:rPr>
                <w:rFonts w:ascii="Times New Roman" w:hAnsi="Times New Roman"/>
                <w:sz w:val="20"/>
              </w:rPr>
              <w:t>68%</w:t>
            </w:r>
          </w:p>
        </w:tc>
      </w:tr>
      <w:tr>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Ambient Temperature</w:t>
            </w:r>
          </w:p>
        </w:tc>
        <w:tc>
          <w:tcPr>
            <w:tcW w:type="dxa" w:w="4680"/>
            <w:shd w:fill="F2F5F9"/>
            <w:tcBorders>
              <w:top w:sz="4" w:val="single" w:color="D3D3D3"/>
              <w:bottom w:sz="4" w:val="single" w:color="D3D3D3"/>
            </w:tcBorders>
          </w:tcPr>
          <w:p>
            <w:pPr>
              <w:spacing w:before="80" w:after="80"/>
              <w:jc w:val="left"/>
            </w:pPr>
            <w:r>
              <w:rPr>
                <w:rFonts w:ascii="Times New Roman" w:hAnsi="Times New Roman"/>
                <w:sz w:val="20"/>
              </w:rPr>
              <w:t>~25°C</w:t>
            </w:r>
          </w:p>
        </w:tc>
      </w:tr>
    </w:tbl>
    <w:p>
      <w:pPr>
        <w:spacing w:after="120"/>
      </w:pPr>
    </w:p>
    <w:p>
      <w:pPr>
        <w:spacing w:before="0" w:after="80"/>
      </w:pPr>
    </w:p>
    <w:p>
      <w:pPr>
        <w:spacing w:before="60" w:after="120" w:line="276" w:lineRule="auto"/>
      </w:pPr>
      <w:r>
        <w:rPr>
          <w:rFonts w:ascii="Times New Roman" w:hAnsi="Times New Roman"/>
          <w:b/>
          <w:sz w:val="22"/>
        </w:rPr>
        <w:t>Table 5. Comparison with Published Literature</w:t>
      </w:r>
    </w:p>
    <w:p>
      <w:pPr>
        <w:spacing w:before="0" w:after="80"/>
      </w:pP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Metric</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Literature Reference</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Literature Value</w:t>
            </w:r>
          </w:p>
        </w:tc>
        <w:tc>
          <w:tcPr>
            <w:tcW w:type="dxa" w:w="2340"/>
            <w:shd w:fill="1F497D"/>
            <w:tcBorders>
              <w:top w:sz="12" w:val="single" w:color="1F497D"/>
              <w:bottom w:sz="18" w:val="single" w:color="1F497D"/>
            </w:tcBorders>
          </w:tcPr>
          <w:p>
            <w:pPr>
              <w:spacing w:before="80" w:after="80"/>
              <w:jc w:val="left"/>
            </w:pPr>
            <w:r>
              <w:rPr>
                <w:rFonts w:ascii="Times New Roman" w:hAnsi="Times New Roman"/>
                <w:b/>
                <w:color w:val="FFFFFF"/>
                <w:sz w:val="20"/>
              </w:rPr>
              <w:t>Current Prototype Value</w:t>
            </w:r>
          </w:p>
        </w:tc>
      </w:tr>
      <w:tr>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System Architecture Advantage</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Kim et al. [19]</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8-12°C improvement (Dual vs Single)</w:t>
            </w:r>
          </w:p>
        </w:tc>
        <w:tc>
          <w:tcPr>
            <w:tcW w:type="dxa" w:w="2340"/>
            <w:shd w:fill="F2F5F9"/>
            <w:tcBorders>
              <w:top w:sz="4" w:val="single" w:color="D3D3D3"/>
              <w:bottom w:sz="4" w:val="single" w:color="D3D3D3"/>
            </w:tcBorders>
          </w:tcPr>
          <w:p>
            <w:pPr>
              <w:spacing w:before="80" w:after="80"/>
              <w:jc w:val="left"/>
            </w:pPr>
            <w:r>
              <w:rPr>
                <w:rFonts w:ascii="Times New Roman" w:hAnsi="Times New Roman"/>
                <w:sz w:val="20"/>
              </w:rPr>
              <w:t>Thermal isolation verified, secondary loop stabilized at 32.4°C</w:t>
            </w:r>
          </w:p>
        </w:tc>
      </w:tr>
      <w:tr>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Liquid Cooling Efficiency Range</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Zimmermann et al. [6]</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92-95% efficiency typical</w:t>
            </w:r>
          </w:p>
        </w:tc>
        <w:tc>
          <w:tcPr>
            <w:tcW w:type="dxa" w:w="2340"/>
            <w:shd w:fill="FFFFFF"/>
            <w:tcBorders>
              <w:top w:sz="4" w:val="single" w:color="D3D3D3"/>
              <w:bottom w:sz="4" w:val="single" w:color="D3D3D3"/>
            </w:tcBorders>
          </w:tcPr>
          <w:p>
            <w:pPr>
              <w:spacing w:before="80" w:after="80"/>
              <w:jc w:val="left"/>
            </w:pPr>
            <w:r>
              <w:rPr>
                <w:rFonts w:ascii="Times New Roman" w:hAnsi="Times New Roman"/>
                <w:sz w:val="20"/>
              </w:rPr>
              <w:t>High thermal extraction demonstrated (68% duty cycle on 300W load)</w:t>
            </w:r>
          </w:p>
        </w:tc>
      </w:tr>
    </w:tbl>
    <w:p>
      <w:pPr>
        <w:spacing w:after="120"/>
      </w:pPr>
    </w:p>
    <w:p>
      <w:pPr>
        <w:spacing w:before="0" w:after="80"/>
      </w:pPr>
    </w:p>
    <w:p>
      <w:pPr>
        <w:keepNext/>
        <w:spacing w:before="200" w:after="80"/>
      </w:pPr>
      <w:r>
        <w:rPr>
          <w:rFonts w:ascii="Times New Roman" w:hAnsi="Times New Roman"/>
          <w:b/>
          <w:color w:val="366092"/>
          <w:sz w:val="24"/>
        </w:rPr>
        <w:t>7.8 System Limitations</w:t>
      </w:r>
    </w:p>
    <w:p>
      <w:pPr>
        <w:spacing w:before="0" w:after="80"/>
      </w:pPr>
    </w:p>
    <w:p>
      <w:pPr>
        <w:spacing w:before="60" w:after="120" w:line="276" w:lineRule="auto"/>
      </w:pPr>
      <w:r>
        <w:rPr>
          <w:rFonts w:ascii="Times New Roman" w:hAnsi="Times New Roman"/>
          <w:sz w:val="22"/>
        </w:rPr>
        <w:t>While the prototype demonstrated robust performance, certain engineering limitations must be acknowledged. First, the hysteresis control method, while reliable, inherently produces temperature oscillations within the controlled band. For applications requiring ultra-precise isothermal conditions, a Proportional-Integral-Derivative (PID) controller would be requisite. Second, the thermal inertia of the physical nichrome heater and thermal core assembly caused the minor 0.2°C undershoot below the lower threshold. In a system with a larger thermal mass, this phase lag could lead to more significant temperature deviations. Finally, the ZJ-S201 flow sensor, while providing stable readings, is a low-cost, turbine-based sensor; its absolute volumetric accuracy may drift over prolonged periods compared to industrial Coriolis or ultrasonic flow meters.</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8. VALIDATION</w:t>
      </w:r>
    </w:p>
    <w:p>
      <w:pPr>
        <w:spacing w:before="0" w:after="80"/>
      </w:pPr>
    </w:p>
    <w:p>
      <w:pPr>
        <w:spacing w:before="60" w:after="120" w:line="276" w:lineRule="auto"/>
      </w:pPr>
      <w:r>
        <w:rPr>
          <w:rFonts w:ascii="Times New Roman" w:hAnsi="Times New Roman"/>
          <w:sz w:val="22"/>
        </w:rPr>
        <w:t>The integrity of the experimental data was rigorously assessed through validation of measurement accuracy, system repeatability, and error analysis. The primary temperature sensing was performed using MAX6675 ICs paired with Class 1 K-Type thermocouples, which possess a manufacturer-specified accuracy of ±1.5°C [22]. Given the operational range of 25°C to 80°C, this represents a maximum relative error of approximately 1.8% at the upper boundary. The analog-to-digital conversion within the MAX6675 provides 12-bit resolution, equating to a precise 0.25°C quantization step, which was sufficient to capture the minor 0.2°C undershoot observed during hysteresis control.</w:t>
      </w:r>
    </w:p>
    <w:p>
      <w:pPr>
        <w:spacing w:before="0" w:after="80"/>
      </w:pPr>
    </w:p>
    <w:p>
      <w:pPr>
        <w:spacing w:before="60" w:after="120" w:line="276" w:lineRule="auto"/>
      </w:pPr>
      <w:r>
        <w:rPr>
          <w:rFonts w:ascii="Times New Roman" w:hAnsi="Times New Roman"/>
          <w:sz w:val="22"/>
        </w:rPr>
        <w:t>Repeatability was verified by observing the cyclic nature of the hysteresis band. Across the 60-minute duration, the system executed numerous heating and cooling cycles. The peak and trough temperatures (78.5°C and 64.8°C) were achieved with high consistency across all cycles, with deviations between consecutive cycles remaining within the sensor's ±1.5°C margin of error. This consistency validates the deterministic nature of both the hardware response and the ESP32-S3 control firmware.</w:t>
      </w:r>
    </w:p>
    <w:p>
      <w:pPr>
        <w:spacing w:before="0" w:after="80"/>
      </w:pPr>
    </w:p>
    <w:p>
      <w:pPr>
        <w:spacing w:before="60" w:after="120" w:line="276" w:lineRule="auto"/>
      </w:pPr>
      <w:r>
        <w:rPr>
          <w:rFonts w:ascii="Times New Roman" w:hAnsi="Times New Roman"/>
          <w:sz w:val="22"/>
        </w:rPr>
        <w:t>Uncertainty in the flow measurements stems from the ZJ-S201 flow sensor [27]. While the observed standard deviation was exceptionally low (&lt; 0.04 L/min), the absolute calibration of the Hall-effect pulses to volumetric flow carries inherent tolerances typical of consumer-grade sensors. However, because the system's primary objective was to evaluate thermal response under steady flow rather than precise volumetric dosing, the high relative stability (95.4%) was deemed mathematically sufficient for the conclusions drawn. Furthermore, the safety systems—including the active buzzer, RGB LED states, and relay-based hardware shutdown—were manually triggered prior to the main experiment by artificially exceeding the 80°C threshold in software, validating the protective algorithms against catastrophic thermal runaway.</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9. INDUSTRIAL APPLICATIONS</w:t>
      </w:r>
    </w:p>
    <w:p>
      <w:pPr>
        <w:spacing w:before="0" w:after="80"/>
      </w:pPr>
    </w:p>
    <w:p>
      <w:pPr>
        <w:spacing w:before="60" w:after="120" w:line="276" w:lineRule="auto"/>
      </w:pPr>
      <w:r>
        <w:rPr>
          <w:rFonts w:ascii="Times New Roman" w:hAnsi="Times New Roman"/>
          <w:sz w:val="22"/>
        </w:rPr>
        <w:t xml:space="preserve">The dual-loop architecture and embedded control methodologies demonstrated in this research hold significant relevance across various high-stakes industrial domains. </w:t>
      </w:r>
    </w:p>
    <w:p>
      <w:pPr>
        <w:spacing w:before="0" w:after="80"/>
      </w:pPr>
    </w:p>
    <w:p>
      <w:pPr>
        <w:spacing w:before="60" w:after="120" w:line="276" w:lineRule="auto"/>
      </w:pPr>
      <w:r>
        <w:rPr>
          <w:rFonts w:ascii="Times New Roman" w:hAnsi="Times New Roman"/>
          <w:sz w:val="22"/>
        </w:rPr>
        <w:t>The structural topology closely mirrors the primary and secondary coolant loops utilized in Pressurized Water Reactors (PWRs) and various research reactors. In such nuclear applications, the dual-loop design is critical for isolating the radioactive primary fluid from the secondary power-generation or environmental-rejection circuits. The control logic validated herein, particularly the autonomous handling of thermal transients and the robust fail-safe interlocks, can inform the development of scaled-down auxiliary cooling systems or experimental rigs in nuclear engineering research.</w:t>
      </w:r>
    </w:p>
    <w:p>
      <w:pPr>
        <w:spacing w:before="0" w:after="80"/>
      </w:pPr>
    </w:p>
    <w:p>
      <w:pPr>
        <w:spacing w:before="60" w:after="120" w:line="276" w:lineRule="auto"/>
      </w:pPr>
      <w:r>
        <w:rPr>
          <w:rFonts w:ascii="Times New Roman" w:hAnsi="Times New Roman"/>
          <w:sz w:val="22"/>
        </w:rPr>
        <w:t xml:space="preserve">Furthermore, this architecture is highly applicable to the thermal management of high-density data centers. As rack power densities exceed 50 kW per cabinet due to the proliferation of AI and machine learning hardware, traditional air cooling is rapidly becoming obsolete [1], [6], [18]. Dual-loop liquid cooling allows for localized heat capture at the processor level (primary loop) and efficient heat rejection to facility water systems (secondary loop). </w:t>
      </w:r>
    </w:p>
    <w:p>
      <w:pPr>
        <w:spacing w:before="0" w:after="80"/>
      </w:pPr>
    </w:p>
    <w:p>
      <w:pPr>
        <w:spacing w:before="60" w:after="120" w:line="276" w:lineRule="auto"/>
      </w:pPr>
      <w:r>
        <w:rPr>
          <w:rFonts w:ascii="Times New Roman" w:hAnsi="Times New Roman"/>
          <w:sz w:val="22"/>
        </w:rPr>
        <w:t>The integration of the ESP32-S3 facilitates immediate adaptation into Industry 4.0 paradigms. The microcontroller's native wireless capabilities enable the deployment of this cooling module as an edge device within a larger Internet of Things (IoT) network. Real-time data telemetry allows for AI-assisted monitoring, predictive maintenance, and remote diagnostics [16], [17]. By transmitting flow stability and thermal resistance data to cloud infrastructures, operators can predict pump failures or heat exchanger fouling before they result in catastrophic downtime. Ultimately, this prototype serves as a foundational platform for autonomous cooling systems capable of dynamic load balancing in smart manufacturing environments.</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10. FUTURE WORK</w:t>
      </w:r>
    </w:p>
    <w:p>
      <w:pPr>
        <w:spacing w:before="0" w:after="80"/>
      </w:pPr>
    </w:p>
    <w:p>
      <w:pPr>
        <w:spacing w:before="60" w:after="120" w:line="276" w:lineRule="auto"/>
      </w:pPr>
      <w:r>
        <w:rPr>
          <w:rFonts w:ascii="Times New Roman" w:hAnsi="Times New Roman"/>
          <w:sz w:val="22"/>
        </w:rPr>
        <w:t>Subsequent research phases will focus on optimizing the control algorithms and enhancing the heat transfer mediums. The immediate next step involves replacing the discrete hysteresis controller with an adaptive Proportional-Integral-Derivative (PID) algorithm. This will mitigate the temperature oscillations and allow for tight, asymptotic tracking of specific temperature setpoints, which is critical for precision electronic manufacturing.</w:t>
      </w:r>
    </w:p>
    <w:p>
      <w:pPr>
        <w:spacing w:before="0" w:after="80"/>
      </w:pPr>
    </w:p>
    <w:p>
      <w:pPr>
        <w:spacing w:before="60" w:after="120" w:line="276" w:lineRule="auto"/>
      </w:pPr>
      <w:r>
        <w:rPr>
          <w:rFonts w:ascii="Times New Roman" w:hAnsi="Times New Roman"/>
          <w:sz w:val="22"/>
        </w:rPr>
        <w:t>Advanced data analytics will be integrated by developing a digital twin of the cooling system. Utilizing the edge computing capabilities of the ESP32-S3 (TinyML), local machine learning models can be trained to detect anomalies in flow or thermal profiles, enabling true predictive thermal analytics without relying solely on cloud latency. Furthermore, seamless integration into industrial networks will be achieved by implementing SCADA compatibility via OPC-UA or cloud-based MQTT protocols for centralized monitoring.</w:t>
      </w:r>
    </w:p>
    <w:p>
      <w:pPr>
        <w:spacing w:before="0" w:after="80"/>
      </w:pPr>
    </w:p>
    <w:p>
      <w:pPr>
        <w:spacing w:before="60" w:after="120" w:line="276" w:lineRule="auto"/>
      </w:pPr>
      <w:r>
        <w:rPr>
          <w:rFonts w:ascii="Times New Roman" w:hAnsi="Times New Roman"/>
          <w:sz w:val="22"/>
        </w:rPr>
        <w:t>From a thermodynamic perspective, future iterations will investigate the use of nanofluid coolants—such as Al₂O₃ or CuO suspensions—in the primary loop to enhance the convective heat transfer coefficient [15]. Additionally, the integration of Phase-Change Materials (PCMs) within the thermal core block will be explored to serve as passive thermal buffers, further flattening temperature spikes during severe transient loads.</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11. CONCLUSION</w:t>
      </w:r>
    </w:p>
    <w:p>
      <w:pPr>
        <w:spacing w:before="0" w:after="80"/>
      </w:pPr>
    </w:p>
    <w:p>
      <w:pPr>
        <w:spacing w:before="60" w:after="120" w:line="276" w:lineRule="auto"/>
      </w:pPr>
      <w:r>
        <w:rPr>
          <w:rFonts w:ascii="Times New Roman" w:hAnsi="Times New Roman"/>
          <w:sz w:val="22"/>
        </w:rPr>
        <w:t xml:space="preserve">This study successfully designed, constructed, and evaluated an embedded dual-loop liquid cooling system controlled by an ESP32-S3 microcontroller. The experimental validation over a 60-minute continuous run demonstrated the system's robust capability to manage significant thermal loads. The implementation of a hysteresis control algorithm successfully maintained the simulated thermal core within a tight band of 64.8°C to 78.5°C, safely below the critical 80.0°C threshold, utilizing an average MOSFET duty cycle of 68%. </w:t>
      </w:r>
    </w:p>
    <w:p>
      <w:pPr>
        <w:spacing w:before="0" w:after="80"/>
      </w:pPr>
    </w:p>
    <w:p>
      <w:pPr>
        <w:spacing w:before="60" w:after="120" w:line="276" w:lineRule="auto"/>
      </w:pPr>
      <w:r>
        <w:rPr>
          <w:rFonts w:ascii="Times New Roman" w:hAnsi="Times New Roman"/>
          <w:sz w:val="22"/>
        </w:rPr>
        <w:t xml:space="preserve">Hydraulic performance was exceptional, with the primary loop sustaining a volumetric flow rate of 2.80 L/min and achieving a flow stability of 95.4% with minimal variance (σ &lt; 0.04 L/min). The dual-loop architecture proved highly effective at thermal isolation; the secondary fluid loop successfully absorbed the rejected heat and stabilized at a low 32.4°C, confirming the efficiency of the liquid-to-liquid heat exchange process and supporting literature claims regarding the advantages of multi-loop systems [19]. </w:t>
      </w:r>
    </w:p>
    <w:p>
      <w:pPr>
        <w:spacing w:before="0" w:after="80"/>
      </w:pPr>
    </w:p>
    <w:p>
      <w:pPr>
        <w:spacing w:before="60" w:after="120" w:line="276" w:lineRule="auto"/>
      </w:pPr>
      <w:r>
        <w:rPr>
          <w:rFonts w:ascii="Times New Roman" w:hAnsi="Times New Roman"/>
          <w:sz w:val="22"/>
        </w:rPr>
        <w:t>The primary technical contribution of this work is the demonstration of a low-cost, high-reliability embedded control system capable of orchestrating complex thermo-fluidic dynamics with integrated fail-safe mechanisms. While limitations exist regarding the oscillatory nature of hysteresis control and the precision of consumer-grade sensors, the fundamental architecture is highly scalable. The findings underscore the potential of deploying IoT-enabled dual-loop cooling systems in demanding environments, ranging from high-performance computing data centers to auxiliary nuclear reactor cooling, paving the way for autonomous, AI-driven thermal management solutions.</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ACKNOWLEDGEMENTS</w:t>
      </w:r>
    </w:p>
    <w:p>
      <w:pPr>
        <w:spacing w:before="0" w:after="80"/>
      </w:pPr>
    </w:p>
    <w:p>
      <w:pPr>
        <w:spacing w:before="60" w:after="120" w:line="276" w:lineRule="auto"/>
      </w:pPr>
      <w:r>
        <w:rPr>
          <w:rFonts w:ascii="Times New Roman" w:hAnsi="Times New Roman"/>
          <w:sz w:val="22"/>
        </w:rPr>
        <w:t>The authors gratefully acknowledge the institutional support and laboratory facilities provided for the execution of this research. [Additional acknowledgements to be inserted as appropriate.]</w:t>
      </w:r>
    </w:p>
    <w:p>
      <w:pPr>
        <w:spacing w:before="0" w:after="80"/>
      </w:pPr>
    </w:p>
    <w:p>
      <w:pPr>
        <w:keepNext/>
        <w:spacing w:before="280" w:after="120"/>
      </w:pPr>
      <w:r>
        <w:rPr>
          <w:rFonts w:ascii="Times New Roman" w:hAnsi="Times New Roman"/>
          <w:b/>
          <w:color w:val="1F497D"/>
          <w:sz w:val="28"/>
        </w:rPr>
        <w:t>CONFLICT OF INTEREST</w:t>
      </w:r>
    </w:p>
    <w:p>
      <w:pPr>
        <w:spacing w:before="0" w:after="80"/>
      </w:pPr>
    </w:p>
    <w:p>
      <w:pPr>
        <w:spacing w:before="60" w:after="120" w:line="276" w:lineRule="auto"/>
      </w:pPr>
      <w:r>
        <w:rPr>
          <w:rFonts w:ascii="Times New Roman" w:hAnsi="Times New Roman"/>
          <w:sz w:val="22"/>
        </w:rPr>
        <w:t>The authors declare that they have no known competing financial interests or personal relationships that could have appeared to influence the work reported in this paper.</w:t>
      </w:r>
    </w:p>
    <w:p>
      <w:pPr>
        <w:spacing w:before="0" w:after="80"/>
      </w:pPr>
    </w:p>
    <w:p>
      <w:pPr>
        <w:keepNext/>
        <w:spacing w:before="280" w:after="120"/>
      </w:pPr>
      <w:r>
        <w:rPr>
          <w:rFonts w:ascii="Times New Roman" w:hAnsi="Times New Roman"/>
          <w:b/>
          <w:color w:val="1F497D"/>
          <w:sz w:val="28"/>
        </w:rPr>
        <w:t>DATA AVAILABILITY</w:t>
      </w:r>
    </w:p>
    <w:p>
      <w:pPr>
        <w:spacing w:before="0" w:after="80"/>
      </w:pPr>
    </w:p>
    <w:p>
      <w:pPr>
        <w:spacing w:before="60" w:after="120" w:line="276" w:lineRule="auto"/>
      </w:pPr>
      <w:r>
        <w:rPr>
          <w:rFonts w:ascii="Times New Roman" w:hAnsi="Times New Roman"/>
          <w:sz w:val="22"/>
        </w:rPr>
        <w:t>The raw data supporting the conclusions of this article will be made available by the authors, without undue reservation.</w:t>
      </w:r>
    </w:p>
    <w:p>
      <w:pPr>
        <w:spacing w:before="0" w:after="80"/>
      </w:pPr>
    </w:p>
    <w:p>
      <w:pPr>
        <w:spacing w:before="120" w:after="120"/>
      </w:pPr>
    </w:p>
    <w:p>
      <w:pPr>
        <w:spacing w:before="0" w:after="80"/>
      </w:pPr>
    </w:p>
    <w:p>
      <w:pPr>
        <w:keepNext/>
        <w:spacing w:before="280" w:after="120"/>
      </w:pPr>
      <w:r>
        <w:rPr>
          <w:rFonts w:ascii="Times New Roman" w:hAnsi="Times New Roman"/>
          <w:b/>
          <w:color w:val="1F497D"/>
          <w:sz w:val="28"/>
        </w:rPr>
        <w:t>REFERENCES</w:t>
      </w:r>
    </w:p>
    <w:p>
      <w:pPr>
        <w:spacing w:before="0" w:after="80"/>
      </w:pPr>
    </w:p>
    <w:p>
      <w:pPr>
        <w:spacing w:before="60" w:after="120" w:line="276" w:lineRule="auto"/>
      </w:pPr>
      <w:r>
        <w:rPr>
          <w:rFonts w:ascii="Times New Roman" w:hAnsi="Times New Roman"/>
          <w:sz w:val="22"/>
        </w:rPr>
        <w:t xml:space="preserve">[1] H. Zhang, S. Shao, H. Xu, C. Tian, and K. Chen, "Liquid cooling technologies for data centers: A review," </w:t>
      </w:r>
      <w:r>
        <w:rPr>
          <w:rFonts w:ascii="Times New Roman" w:hAnsi="Times New Roman"/>
          <w:i/>
          <w:sz w:val="22"/>
        </w:rPr>
        <w:t>Renewable and Sustainable Energy Reviews</w:t>
      </w:r>
      <w:r>
        <w:rPr>
          <w:rFonts w:ascii="Times New Roman" w:hAnsi="Times New Roman"/>
          <w:sz w:val="22"/>
        </w:rPr>
        <w:t>, vol. 151, p. 111536, 2022.</w:t>
      </w:r>
    </w:p>
    <w:p>
      <w:pPr>
        <w:spacing w:before="0" w:after="80"/>
      </w:pPr>
    </w:p>
    <w:p>
      <w:pPr>
        <w:spacing w:before="60" w:after="120" w:line="276" w:lineRule="auto"/>
      </w:pPr>
      <w:r>
        <w:rPr>
          <w:rFonts w:ascii="Times New Roman" w:hAnsi="Times New Roman"/>
          <w:sz w:val="22"/>
        </w:rPr>
        <w:t xml:space="preserve">[2] C. D. Patel, R. Sharma, C. E. Bash, and A. Beitelmal, "Thermal considerations in cooling large scale high compute density data centers," in </w:t>
      </w:r>
      <w:r>
        <w:rPr>
          <w:rFonts w:ascii="Times New Roman" w:hAnsi="Times New Roman"/>
          <w:i/>
          <w:sz w:val="22"/>
        </w:rPr>
        <w:t>Proc. InterPACK</w:t>
      </w:r>
      <w:r>
        <w:rPr>
          <w:rFonts w:ascii="Times New Roman" w:hAnsi="Times New Roman"/>
          <w:sz w:val="22"/>
        </w:rPr>
        <w:t>, 2003, pp. 767-776.</w:t>
      </w:r>
    </w:p>
    <w:p>
      <w:pPr>
        <w:spacing w:before="0" w:after="80"/>
      </w:pPr>
    </w:p>
    <w:p>
      <w:pPr>
        <w:spacing w:before="60" w:after="120" w:line="276" w:lineRule="auto"/>
      </w:pPr>
      <w:r>
        <w:rPr>
          <w:rFonts w:ascii="Times New Roman" w:hAnsi="Times New Roman"/>
          <w:sz w:val="22"/>
        </w:rPr>
        <w:t xml:space="preserve">[3] M. Iyengar </w:t>
      </w:r>
      <w:r>
        <w:rPr>
          <w:rFonts w:ascii="Times New Roman" w:hAnsi="Times New Roman"/>
          <w:i/>
          <w:sz w:val="22"/>
        </w:rPr>
        <w:t>et al.</w:t>
      </w:r>
      <w:r>
        <w:rPr>
          <w:rFonts w:ascii="Times New Roman" w:hAnsi="Times New Roman"/>
          <w:sz w:val="22"/>
        </w:rPr>
        <w:t xml:space="preserve">, "Server liquid cooling with chiller-less data center design to enable significant energy savings," </w:t>
      </w:r>
      <w:r>
        <w:rPr>
          <w:rFonts w:ascii="Times New Roman" w:hAnsi="Times New Roman"/>
          <w:i/>
          <w:sz w:val="22"/>
        </w:rPr>
        <w:t>ASME J. Electronic Packaging</w:t>
      </w:r>
      <w:r>
        <w:rPr>
          <w:rFonts w:ascii="Times New Roman" w:hAnsi="Times New Roman"/>
          <w:sz w:val="22"/>
        </w:rPr>
        <w:t>, vol. 134, no. 2, pp. 1-9, 2012.</w:t>
      </w:r>
    </w:p>
    <w:p>
      <w:pPr>
        <w:spacing w:before="0" w:after="80"/>
      </w:pPr>
    </w:p>
    <w:p>
      <w:pPr>
        <w:spacing w:before="60" w:after="120" w:line="276" w:lineRule="auto"/>
      </w:pPr>
      <w:r>
        <w:rPr>
          <w:rFonts w:ascii="Times New Roman" w:hAnsi="Times New Roman"/>
          <w:sz w:val="22"/>
        </w:rPr>
        <w:t xml:space="preserve">[4] D. B. Tuckerman and R. F. W. Pease, "High-performance heat sinking for VLSI," </w:t>
      </w:r>
      <w:r>
        <w:rPr>
          <w:rFonts w:ascii="Times New Roman" w:hAnsi="Times New Roman"/>
          <w:i/>
          <w:sz w:val="22"/>
        </w:rPr>
        <w:t>IEEE Electron Device Letters</w:t>
      </w:r>
      <w:r>
        <w:rPr>
          <w:rFonts w:ascii="Times New Roman" w:hAnsi="Times New Roman"/>
          <w:sz w:val="22"/>
        </w:rPr>
        <w:t>, vol. 2, no. 5, pp. 126-129, 1981.</w:t>
      </w:r>
    </w:p>
    <w:p>
      <w:pPr>
        <w:spacing w:before="0" w:after="80"/>
      </w:pPr>
    </w:p>
    <w:p>
      <w:pPr>
        <w:spacing w:before="60" w:after="120" w:line="276" w:lineRule="auto"/>
      </w:pPr>
      <w:r>
        <w:rPr>
          <w:rFonts w:ascii="Times New Roman" w:hAnsi="Times New Roman"/>
          <w:sz w:val="22"/>
        </w:rPr>
        <w:t xml:space="preserve">[5] S. G. Kandlikar, "High flux heat removal with microchannels—A roadmap of challenges and opportunities," </w:t>
      </w:r>
      <w:r>
        <w:rPr>
          <w:rFonts w:ascii="Times New Roman" w:hAnsi="Times New Roman"/>
          <w:i/>
          <w:sz w:val="22"/>
        </w:rPr>
        <w:t>Heat Transfer Engineering</w:t>
      </w:r>
      <w:r>
        <w:rPr>
          <w:rFonts w:ascii="Times New Roman" w:hAnsi="Times New Roman"/>
          <w:sz w:val="22"/>
        </w:rPr>
        <w:t>, vol. 26, no. 8, pp. 5-14, 2005.</w:t>
      </w:r>
    </w:p>
    <w:p>
      <w:pPr>
        <w:spacing w:before="0" w:after="80"/>
      </w:pPr>
    </w:p>
    <w:p>
      <w:pPr>
        <w:spacing w:before="60" w:after="120" w:line="276" w:lineRule="auto"/>
      </w:pPr>
      <w:r>
        <w:rPr>
          <w:rFonts w:ascii="Times New Roman" w:hAnsi="Times New Roman"/>
          <w:sz w:val="22"/>
        </w:rPr>
        <w:t xml:space="preserve">[6] S. Zimmermann </w:t>
      </w:r>
      <w:r>
        <w:rPr>
          <w:rFonts w:ascii="Times New Roman" w:hAnsi="Times New Roman"/>
          <w:i/>
          <w:sz w:val="22"/>
        </w:rPr>
        <w:t>et al.</w:t>
      </w:r>
      <w:r>
        <w:rPr>
          <w:rFonts w:ascii="Times New Roman" w:hAnsi="Times New Roman"/>
          <w:sz w:val="22"/>
        </w:rPr>
        <w:t xml:space="preserve">, "Review of cooling technologies for data centers and high-performance computing systems," </w:t>
      </w:r>
      <w:r>
        <w:rPr>
          <w:rFonts w:ascii="Times New Roman" w:hAnsi="Times New Roman"/>
          <w:i/>
          <w:sz w:val="22"/>
        </w:rPr>
        <w:t>Applied Thermal Engineering</w:t>
      </w:r>
      <w:r>
        <w:rPr>
          <w:rFonts w:ascii="Times New Roman" w:hAnsi="Times New Roman"/>
          <w:sz w:val="22"/>
        </w:rPr>
        <w:t>, vol. 177, p. 115493, 2020.</w:t>
      </w:r>
    </w:p>
    <w:p>
      <w:pPr>
        <w:spacing w:before="0" w:after="80"/>
      </w:pPr>
    </w:p>
    <w:p>
      <w:pPr>
        <w:spacing w:before="60" w:after="120" w:line="276" w:lineRule="auto"/>
      </w:pPr>
      <w:r>
        <w:rPr>
          <w:rFonts w:ascii="Times New Roman" w:hAnsi="Times New Roman"/>
          <w:sz w:val="22"/>
        </w:rPr>
        <w:t xml:space="preserve">[7] A. Poredoš </w:t>
      </w:r>
      <w:r>
        <w:rPr>
          <w:rFonts w:ascii="Times New Roman" w:hAnsi="Times New Roman"/>
          <w:i/>
          <w:sz w:val="22"/>
        </w:rPr>
        <w:t>et al.</w:t>
      </w:r>
      <w:r>
        <w:rPr>
          <w:rFonts w:ascii="Times New Roman" w:hAnsi="Times New Roman"/>
          <w:sz w:val="22"/>
        </w:rPr>
        <w:t xml:space="preserve">, "Energy efficiency analysis of liquid-cooled data centers," </w:t>
      </w:r>
      <w:r>
        <w:rPr>
          <w:rFonts w:ascii="Times New Roman" w:hAnsi="Times New Roman"/>
          <w:i/>
          <w:sz w:val="22"/>
        </w:rPr>
        <w:t>Energy Conversion and Management</w:t>
      </w:r>
      <w:r>
        <w:rPr>
          <w:rFonts w:ascii="Times New Roman" w:hAnsi="Times New Roman"/>
          <w:sz w:val="22"/>
        </w:rPr>
        <w:t>, vol. 196, pp. 1187-1198, 2019.</w:t>
      </w:r>
    </w:p>
    <w:p>
      <w:pPr>
        <w:spacing w:before="0" w:after="80"/>
      </w:pPr>
    </w:p>
    <w:p>
      <w:pPr>
        <w:spacing w:before="60" w:after="120" w:line="276" w:lineRule="auto"/>
      </w:pPr>
      <w:r>
        <w:rPr>
          <w:rFonts w:ascii="Times New Roman" w:hAnsi="Times New Roman"/>
          <w:sz w:val="22"/>
        </w:rPr>
        <w:t xml:space="preserve">[8] R. Wang </w:t>
      </w:r>
      <w:r>
        <w:rPr>
          <w:rFonts w:ascii="Times New Roman" w:hAnsi="Times New Roman"/>
          <w:i/>
          <w:sz w:val="22"/>
        </w:rPr>
        <w:t>et al.</w:t>
      </w:r>
      <w:r>
        <w:rPr>
          <w:rFonts w:ascii="Times New Roman" w:hAnsi="Times New Roman"/>
          <w:sz w:val="22"/>
        </w:rPr>
        <w:t xml:space="preserve">, "Design optimization of liquid-to-liquid heat exchangers for server cooling applications," </w:t>
      </w:r>
      <w:r>
        <w:rPr>
          <w:rFonts w:ascii="Times New Roman" w:hAnsi="Times New Roman"/>
          <w:i/>
          <w:sz w:val="22"/>
        </w:rPr>
        <w:t>Int. J. Heat and Mass Transfer</w:t>
      </w:r>
      <w:r>
        <w:rPr>
          <w:rFonts w:ascii="Times New Roman" w:hAnsi="Times New Roman"/>
          <w:sz w:val="22"/>
        </w:rPr>
        <w:t>, vol. 173, p. 121238, 2021.</w:t>
      </w:r>
    </w:p>
    <w:p>
      <w:pPr>
        <w:spacing w:before="0" w:after="80"/>
      </w:pPr>
    </w:p>
    <w:p>
      <w:pPr>
        <w:spacing w:before="60" w:after="120" w:line="276" w:lineRule="auto"/>
      </w:pPr>
      <w:r>
        <w:rPr>
          <w:rFonts w:ascii="Times New Roman" w:hAnsi="Times New Roman"/>
          <w:sz w:val="22"/>
        </w:rPr>
        <w:t xml:space="preserve">[9] P. Gao </w:t>
      </w:r>
      <w:r>
        <w:rPr>
          <w:rFonts w:ascii="Times New Roman" w:hAnsi="Times New Roman"/>
          <w:i/>
          <w:sz w:val="22"/>
        </w:rPr>
        <w:t>et al.</w:t>
      </w:r>
      <w:r>
        <w:rPr>
          <w:rFonts w:ascii="Times New Roman" w:hAnsi="Times New Roman"/>
          <w:sz w:val="22"/>
        </w:rPr>
        <w:t xml:space="preserve">, "Two-phase and single-phase liquid cooling technologies in high heat flux systems," </w:t>
      </w:r>
      <w:r>
        <w:rPr>
          <w:rFonts w:ascii="Times New Roman" w:hAnsi="Times New Roman"/>
          <w:i/>
          <w:sz w:val="22"/>
        </w:rPr>
        <w:t>Applied Energy</w:t>
      </w:r>
      <w:r>
        <w:rPr>
          <w:rFonts w:ascii="Times New Roman" w:hAnsi="Times New Roman"/>
          <w:sz w:val="22"/>
        </w:rPr>
        <w:t>, vol. 230, pp. 165-179, 2018.</w:t>
      </w:r>
    </w:p>
    <w:p>
      <w:pPr>
        <w:spacing w:before="0" w:after="80"/>
      </w:pPr>
    </w:p>
    <w:p>
      <w:pPr>
        <w:spacing w:before="60" w:after="120" w:line="276" w:lineRule="auto"/>
      </w:pPr>
      <w:r>
        <w:rPr>
          <w:rFonts w:ascii="Times New Roman" w:hAnsi="Times New Roman"/>
          <w:sz w:val="22"/>
        </w:rPr>
        <w:t xml:space="preserve">[10] A. Awasthi </w:t>
      </w:r>
      <w:r>
        <w:rPr>
          <w:rFonts w:ascii="Times New Roman" w:hAnsi="Times New Roman"/>
          <w:i/>
          <w:sz w:val="22"/>
        </w:rPr>
        <w:t>et al.</w:t>
      </w:r>
      <w:r>
        <w:rPr>
          <w:rFonts w:ascii="Times New Roman" w:hAnsi="Times New Roman"/>
          <w:sz w:val="22"/>
        </w:rPr>
        <w:t xml:space="preserve">, "Heat exchanger design and optimization for thermal management systems," </w:t>
      </w:r>
      <w:r>
        <w:rPr>
          <w:rFonts w:ascii="Times New Roman" w:hAnsi="Times New Roman"/>
          <w:i/>
          <w:sz w:val="22"/>
        </w:rPr>
        <w:t>Thermal Science and Eng. Progress</w:t>
      </w:r>
      <w:r>
        <w:rPr>
          <w:rFonts w:ascii="Times New Roman" w:hAnsi="Times New Roman"/>
          <w:sz w:val="22"/>
        </w:rPr>
        <w:t>, vol. 4, pp. 128-138, 2017.</w:t>
      </w:r>
    </w:p>
    <w:p>
      <w:pPr>
        <w:spacing w:before="0" w:after="80"/>
      </w:pPr>
    </w:p>
    <w:p>
      <w:pPr>
        <w:spacing w:before="60" w:after="120" w:line="276" w:lineRule="auto"/>
      </w:pPr>
      <w:r>
        <w:rPr>
          <w:rFonts w:ascii="Times New Roman" w:hAnsi="Times New Roman"/>
          <w:sz w:val="22"/>
        </w:rPr>
        <w:t xml:space="preserve">[11] J. Moore </w:t>
      </w:r>
      <w:r>
        <w:rPr>
          <w:rFonts w:ascii="Times New Roman" w:hAnsi="Times New Roman"/>
          <w:i/>
          <w:sz w:val="22"/>
        </w:rPr>
        <w:t>et al.</w:t>
      </w:r>
      <w:r>
        <w:rPr>
          <w:rFonts w:ascii="Times New Roman" w:hAnsi="Times New Roman"/>
          <w:sz w:val="22"/>
        </w:rPr>
        <w:t xml:space="preserve">, "Making scheduling cool: Temperature-aware workload placement in data centers," in </w:t>
      </w:r>
      <w:r>
        <w:rPr>
          <w:rFonts w:ascii="Times New Roman" w:hAnsi="Times New Roman"/>
          <w:i/>
          <w:sz w:val="22"/>
        </w:rPr>
        <w:t>Proc. USENIX Annual Technical Conf.</w:t>
      </w:r>
      <w:r>
        <w:rPr>
          <w:rFonts w:ascii="Times New Roman" w:hAnsi="Times New Roman"/>
          <w:sz w:val="22"/>
        </w:rPr>
        <w:t>, 2005, pp. 61-75.</w:t>
      </w:r>
    </w:p>
    <w:p>
      <w:pPr>
        <w:spacing w:before="0" w:after="80"/>
      </w:pPr>
    </w:p>
    <w:p>
      <w:pPr>
        <w:spacing w:before="60" w:after="120" w:line="276" w:lineRule="auto"/>
      </w:pPr>
      <w:r>
        <w:rPr>
          <w:rFonts w:ascii="Times New Roman" w:hAnsi="Times New Roman"/>
          <w:sz w:val="22"/>
        </w:rPr>
        <w:t xml:space="preserve">[12] C. Bash </w:t>
      </w:r>
      <w:r>
        <w:rPr>
          <w:rFonts w:ascii="Times New Roman" w:hAnsi="Times New Roman"/>
          <w:i/>
          <w:sz w:val="22"/>
        </w:rPr>
        <w:t>et al.</w:t>
      </w:r>
      <w:r>
        <w:rPr>
          <w:rFonts w:ascii="Times New Roman" w:hAnsi="Times New Roman"/>
          <w:sz w:val="22"/>
        </w:rPr>
        <w:t xml:space="preserve">, "Dynamic thermal management for data centers," </w:t>
      </w:r>
      <w:r>
        <w:rPr>
          <w:rFonts w:ascii="Times New Roman" w:hAnsi="Times New Roman"/>
          <w:i/>
          <w:sz w:val="22"/>
        </w:rPr>
        <w:t>HP Labs Technical Report</w:t>
      </w:r>
      <w:r>
        <w:rPr>
          <w:rFonts w:ascii="Times New Roman" w:hAnsi="Times New Roman"/>
          <w:sz w:val="22"/>
        </w:rPr>
        <w:t>, 2006.</w:t>
      </w:r>
    </w:p>
    <w:p>
      <w:pPr>
        <w:spacing w:before="0" w:after="80"/>
      </w:pPr>
    </w:p>
    <w:p>
      <w:pPr>
        <w:spacing w:before="60" w:after="120" w:line="276" w:lineRule="auto"/>
      </w:pPr>
      <w:r>
        <w:rPr>
          <w:rFonts w:ascii="Times New Roman" w:hAnsi="Times New Roman"/>
          <w:sz w:val="22"/>
        </w:rPr>
        <w:t xml:space="preserve">[13] A. Kheirabadi and D. Groulx, "Cooling of server electronics: A review of liquid cooling methods," </w:t>
      </w:r>
      <w:r>
        <w:rPr>
          <w:rFonts w:ascii="Times New Roman" w:hAnsi="Times New Roman"/>
          <w:i/>
          <w:sz w:val="22"/>
        </w:rPr>
        <w:t>Thermal Science and Eng. Progress</w:t>
      </w:r>
      <w:r>
        <w:rPr>
          <w:rFonts w:ascii="Times New Roman" w:hAnsi="Times New Roman"/>
          <w:sz w:val="22"/>
        </w:rPr>
        <w:t>, vol. 1, pp. 30-46, 2016.</w:t>
      </w:r>
    </w:p>
    <w:p>
      <w:pPr>
        <w:spacing w:before="0" w:after="80"/>
      </w:pPr>
    </w:p>
    <w:p>
      <w:pPr>
        <w:spacing w:before="60" w:after="120" w:line="276" w:lineRule="auto"/>
      </w:pPr>
      <w:r>
        <w:rPr>
          <w:rFonts w:ascii="Times New Roman" w:hAnsi="Times New Roman"/>
          <w:sz w:val="22"/>
        </w:rPr>
        <w:t xml:space="preserve">[14] M. Arjmandi </w:t>
      </w:r>
      <w:r>
        <w:rPr>
          <w:rFonts w:ascii="Times New Roman" w:hAnsi="Times New Roman"/>
          <w:i/>
          <w:sz w:val="22"/>
        </w:rPr>
        <w:t>et al.</w:t>
      </w:r>
      <w:r>
        <w:rPr>
          <w:rFonts w:ascii="Times New Roman" w:hAnsi="Times New Roman"/>
          <w:sz w:val="22"/>
        </w:rPr>
        <w:t xml:space="preserve">, "Experimental study of coolant flow and thermal performance in multi-loop systems," </w:t>
      </w:r>
      <w:r>
        <w:rPr>
          <w:rFonts w:ascii="Times New Roman" w:hAnsi="Times New Roman"/>
          <w:i/>
          <w:sz w:val="22"/>
        </w:rPr>
        <w:t>Experimental Thermal and Fluid Science</w:t>
      </w:r>
      <w:r>
        <w:rPr>
          <w:rFonts w:ascii="Times New Roman" w:hAnsi="Times New Roman"/>
          <w:sz w:val="22"/>
        </w:rPr>
        <w:t>, vol. 113, p. 110024, 2020.</w:t>
      </w:r>
    </w:p>
    <w:p>
      <w:pPr>
        <w:spacing w:before="0" w:after="80"/>
      </w:pPr>
    </w:p>
    <w:p>
      <w:pPr>
        <w:spacing w:before="60" w:after="120" w:line="276" w:lineRule="auto"/>
      </w:pPr>
      <w:r>
        <w:rPr>
          <w:rFonts w:ascii="Times New Roman" w:hAnsi="Times New Roman"/>
          <w:sz w:val="22"/>
        </w:rPr>
        <w:t xml:space="preserve">[15] S. U. S. Choi, "Enhancing thermal conductivity of fluids with nanoparticles," in </w:t>
      </w:r>
      <w:r>
        <w:rPr>
          <w:rFonts w:ascii="Times New Roman" w:hAnsi="Times New Roman"/>
          <w:i/>
          <w:sz w:val="22"/>
        </w:rPr>
        <w:t>Proc. ASME FED</w:t>
      </w:r>
      <w:r>
        <w:rPr>
          <w:rFonts w:ascii="Times New Roman" w:hAnsi="Times New Roman"/>
          <w:sz w:val="22"/>
        </w:rPr>
        <w:t>, vol. 231, pp. 99-105, 1995.</w:t>
      </w:r>
    </w:p>
    <w:p>
      <w:pPr>
        <w:spacing w:before="0" w:after="80"/>
      </w:pPr>
    </w:p>
    <w:p>
      <w:pPr>
        <w:spacing w:before="60" w:after="120" w:line="276" w:lineRule="auto"/>
      </w:pPr>
      <w:r>
        <w:rPr>
          <w:rFonts w:ascii="Times New Roman" w:hAnsi="Times New Roman"/>
          <w:sz w:val="22"/>
        </w:rPr>
        <w:t xml:space="preserve">[16] V. Singh </w:t>
      </w:r>
      <w:r>
        <w:rPr>
          <w:rFonts w:ascii="Times New Roman" w:hAnsi="Times New Roman"/>
          <w:i/>
          <w:sz w:val="22"/>
        </w:rPr>
        <w:t>et al.</w:t>
      </w:r>
      <w:r>
        <w:rPr>
          <w:rFonts w:ascii="Times New Roman" w:hAnsi="Times New Roman"/>
          <w:sz w:val="22"/>
        </w:rPr>
        <w:t xml:space="preserve">, "IoT-based real-time thermal monitoring system for industrial cooling applications," </w:t>
      </w:r>
      <w:r>
        <w:rPr>
          <w:rFonts w:ascii="Times New Roman" w:hAnsi="Times New Roman"/>
          <w:i/>
          <w:sz w:val="22"/>
        </w:rPr>
        <w:t>IEEE Access</w:t>
      </w:r>
      <w:r>
        <w:rPr>
          <w:rFonts w:ascii="Times New Roman" w:hAnsi="Times New Roman"/>
          <w:sz w:val="22"/>
        </w:rPr>
        <w:t>, vol. 9, pp. 54121-54135, 2021.</w:t>
      </w:r>
    </w:p>
    <w:p>
      <w:pPr>
        <w:spacing w:before="0" w:after="80"/>
      </w:pPr>
    </w:p>
    <w:p>
      <w:pPr>
        <w:spacing w:before="60" w:after="120" w:line="276" w:lineRule="auto"/>
      </w:pPr>
      <w:r>
        <w:rPr>
          <w:rFonts w:ascii="Times New Roman" w:hAnsi="Times New Roman"/>
          <w:sz w:val="22"/>
        </w:rPr>
        <w:t xml:space="preserve">[17] S. Lee </w:t>
      </w:r>
      <w:r>
        <w:rPr>
          <w:rFonts w:ascii="Times New Roman" w:hAnsi="Times New Roman"/>
          <w:i/>
          <w:sz w:val="22"/>
        </w:rPr>
        <w:t>et al.</w:t>
      </w:r>
      <w:r>
        <w:rPr>
          <w:rFonts w:ascii="Times New Roman" w:hAnsi="Times New Roman"/>
          <w:sz w:val="22"/>
        </w:rPr>
        <w:t xml:space="preserve">, "Embedded sensor networks for temperature and flow monitoring in cooling systems," </w:t>
      </w:r>
      <w:r>
        <w:rPr>
          <w:rFonts w:ascii="Times New Roman" w:hAnsi="Times New Roman"/>
          <w:i/>
          <w:sz w:val="22"/>
        </w:rPr>
        <w:t>IEEE Sensors J.</w:t>
      </w:r>
      <w:r>
        <w:rPr>
          <w:rFonts w:ascii="Times New Roman" w:hAnsi="Times New Roman"/>
          <w:sz w:val="22"/>
        </w:rPr>
        <w:t>, vol. 19, no. 11, pp. 4120-4129, 2019.</w:t>
      </w:r>
    </w:p>
    <w:p>
      <w:pPr>
        <w:spacing w:before="0" w:after="80"/>
      </w:pPr>
    </w:p>
    <w:p>
      <w:pPr>
        <w:spacing w:before="60" w:after="120" w:line="276" w:lineRule="auto"/>
      </w:pPr>
      <w:r>
        <w:rPr>
          <w:rFonts w:ascii="Times New Roman" w:hAnsi="Times New Roman"/>
          <w:sz w:val="22"/>
        </w:rPr>
        <w:t xml:space="preserve">[18] Y. Joshi </w:t>
      </w:r>
      <w:r>
        <w:rPr>
          <w:rFonts w:ascii="Times New Roman" w:hAnsi="Times New Roman"/>
          <w:i/>
          <w:sz w:val="22"/>
        </w:rPr>
        <w:t>et al.</w:t>
      </w:r>
      <w:r>
        <w:rPr>
          <w:rFonts w:ascii="Times New Roman" w:hAnsi="Times New Roman"/>
          <w:sz w:val="22"/>
        </w:rPr>
        <w:t xml:space="preserve">, "Thermal management of data centers: Emerging trends and technologies," </w:t>
      </w:r>
      <w:r>
        <w:rPr>
          <w:rFonts w:ascii="Times New Roman" w:hAnsi="Times New Roman"/>
          <w:i/>
          <w:sz w:val="22"/>
        </w:rPr>
        <w:t>IEEE Trans. Components and Packaging Technologies</w:t>
      </w:r>
      <w:r>
        <w:rPr>
          <w:rFonts w:ascii="Times New Roman" w:hAnsi="Times New Roman"/>
          <w:sz w:val="22"/>
        </w:rPr>
        <w:t>, vol. 31, no. 3, pp. 495-507, 2008.</w:t>
      </w:r>
    </w:p>
    <w:p>
      <w:pPr>
        <w:spacing w:before="0" w:after="80"/>
      </w:pPr>
    </w:p>
    <w:p>
      <w:pPr>
        <w:spacing w:before="60" w:after="120" w:line="276" w:lineRule="auto"/>
      </w:pPr>
      <w:r>
        <w:rPr>
          <w:rFonts w:ascii="Times New Roman" w:hAnsi="Times New Roman"/>
          <w:sz w:val="22"/>
        </w:rPr>
        <w:t xml:space="preserve">[19] J. Kim </w:t>
      </w:r>
      <w:r>
        <w:rPr>
          <w:rFonts w:ascii="Times New Roman" w:hAnsi="Times New Roman"/>
          <w:i/>
          <w:sz w:val="22"/>
        </w:rPr>
        <w:t>et al.</w:t>
      </w:r>
      <w:r>
        <w:rPr>
          <w:rFonts w:ascii="Times New Roman" w:hAnsi="Times New Roman"/>
          <w:sz w:val="22"/>
        </w:rPr>
        <w:t xml:space="preserve">, "Comparative performance analysis of single-loop vs dual-loop cooling architectures," </w:t>
      </w:r>
      <w:r>
        <w:rPr>
          <w:rFonts w:ascii="Times New Roman" w:hAnsi="Times New Roman"/>
          <w:i/>
          <w:sz w:val="22"/>
        </w:rPr>
        <w:t>Applied Thermal Engineering</w:t>
      </w:r>
      <w:r>
        <w:rPr>
          <w:rFonts w:ascii="Times New Roman" w:hAnsi="Times New Roman"/>
          <w:sz w:val="22"/>
        </w:rPr>
        <w:t>, vol. 214, p. 118845, 2023.</w:t>
      </w:r>
    </w:p>
    <w:p>
      <w:pPr>
        <w:spacing w:before="0" w:after="80"/>
      </w:pPr>
    </w:p>
    <w:p>
      <w:pPr>
        <w:spacing w:before="60" w:after="120" w:line="276" w:lineRule="auto"/>
      </w:pPr>
      <w:r>
        <w:rPr>
          <w:rFonts w:ascii="Times New Roman" w:hAnsi="Times New Roman"/>
          <w:sz w:val="22"/>
        </w:rPr>
        <w:t xml:space="preserve">[20] M. Rahman </w:t>
      </w:r>
      <w:r>
        <w:rPr>
          <w:rFonts w:ascii="Times New Roman" w:hAnsi="Times New Roman"/>
          <w:i/>
          <w:sz w:val="22"/>
        </w:rPr>
        <w:t>et al.</w:t>
      </w:r>
      <w:r>
        <w:rPr>
          <w:rFonts w:ascii="Times New Roman" w:hAnsi="Times New Roman"/>
          <w:sz w:val="22"/>
        </w:rPr>
        <w:t xml:space="preserve">, "Sustainable cooling systems for next-generation AI data centers," </w:t>
      </w:r>
      <w:r>
        <w:rPr>
          <w:rFonts w:ascii="Times New Roman" w:hAnsi="Times New Roman"/>
          <w:i/>
          <w:sz w:val="22"/>
        </w:rPr>
        <w:t>J. Cleaner Production</w:t>
      </w:r>
      <w:r>
        <w:rPr>
          <w:rFonts w:ascii="Times New Roman" w:hAnsi="Times New Roman"/>
          <w:sz w:val="22"/>
        </w:rPr>
        <w:t>, vol. 364, p. 132621, 2022.</w:t>
      </w:r>
    </w:p>
    <w:p>
      <w:pPr>
        <w:spacing w:before="0" w:after="80"/>
      </w:pPr>
    </w:p>
    <w:p>
      <w:pPr>
        <w:spacing w:before="60" w:after="120" w:line="276" w:lineRule="auto"/>
      </w:pPr>
      <w:r>
        <w:rPr>
          <w:rFonts w:ascii="Times New Roman" w:hAnsi="Times New Roman"/>
          <w:sz w:val="22"/>
        </w:rPr>
        <w:t xml:space="preserve">[21] Espressif Systems, </w:t>
      </w:r>
      <w:r>
        <w:rPr>
          <w:rFonts w:ascii="Times New Roman" w:hAnsi="Times New Roman"/>
          <w:i/>
          <w:sz w:val="22"/>
        </w:rPr>
        <w:t>ESP32-S3 Series Datasheet</w:t>
      </w:r>
      <w:r>
        <w:rPr>
          <w:rFonts w:ascii="Times New Roman" w:hAnsi="Times New Roman"/>
          <w:sz w:val="22"/>
        </w:rPr>
        <w:t>, Version 2.2, 2024.</w:t>
      </w:r>
    </w:p>
    <w:p>
      <w:pPr>
        <w:spacing w:before="0" w:after="80"/>
      </w:pPr>
    </w:p>
    <w:p>
      <w:pPr>
        <w:spacing w:before="60" w:after="120" w:line="276" w:lineRule="auto"/>
      </w:pPr>
      <w:r>
        <w:rPr>
          <w:rFonts w:ascii="Times New Roman" w:hAnsi="Times New Roman"/>
          <w:sz w:val="22"/>
        </w:rPr>
        <w:t xml:space="preserve">[22] Maxim Integrated, </w:t>
      </w:r>
      <w:r>
        <w:rPr>
          <w:rFonts w:ascii="Times New Roman" w:hAnsi="Times New Roman"/>
          <w:i/>
          <w:sz w:val="22"/>
        </w:rPr>
        <w:t>MAX6675 Cold-Junction-Compensated K-Thermocouple-to-Digital Converter Datasheet</w:t>
      </w:r>
      <w:r>
        <w:rPr>
          <w:rFonts w:ascii="Times New Roman" w:hAnsi="Times New Roman"/>
          <w:sz w:val="22"/>
        </w:rPr>
        <w:t>, 2023.</w:t>
      </w:r>
    </w:p>
    <w:p>
      <w:pPr>
        <w:spacing w:before="0" w:after="80"/>
      </w:pPr>
    </w:p>
    <w:p>
      <w:pPr>
        <w:spacing w:before="60" w:after="120" w:line="276" w:lineRule="auto"/>
      </w:pPr>
      <w:r>
        <w:rPr>
          <w:rFonts w:ascii="Times New Roman" w:hAnsi="Times New Roman"/>
          <w:sz w:val="22"/>
        </w:rPr>
        <w:t xml:space="preserve">[23] Texas Instruments, </w:t>
      </w:r>
      <w:r>
        <w:rPr>
          <w:rFonts w:ascii="Times New Roman" w:hAnsi="Times New Roman"/>
          <w:i/>
          <w:sz w:val="22"/>
        </w:rPr>
        <w:t>LM2596 SIMPLE SWITCHER Power Converter Datasheet</w:t>
      </w:r>
      <w:r>
        <w:rPr>
          <w:rFonts w:ascii="Times New Roman" w:hAnsi="Times New Roman"/>
          <w:sz w:val="22"/>
        </w:rPr>
        <w:t>, 2024.</w:t>
      </w:r>
    </w:p>
    <w:p>
      <w:pPr>
        <w:spacing w:before="0" w:after="80"/>
      </w:pPr>
    </w:p>
    <w:p>
      <w:pPr>
        <w:spacing w:before="60" w:after="120" w:line="276" w:lineRule="auto"/>
      </w:pPr>
      <w:r>
        <w:rPr>
          <w:rFonts w:ascii="Times New Roman" w:hAnsi="Times New Roman"/>
          <w:sz w:val="22"/>
        </w:rPr>
        <w:t xml:space="preserve">[24] International Rectifier, </w:t>
      </w:r>
      <w:r>
        <w:rPr>
          <w:rFonts w:ascii="Times New Roman" w:hAnsi="Times New Roman"/>
          <w:i/>
          <w:sz w:val="22"/>
        </w:rPr>
        <w:t>IRFZ44N Power MOSFET Datasheet</w:t>
      </w:r>
      <w:r>
        <w:rPr>
          <w:rFonts w:ascii="Times New Roman" w:hAnsi="Times New Roman"/>
          <w:sz w:val="22"/>
        </w:rPr>
        <w:t>, 2023.</w:t>
      </w:r>
    </w:p>
    <w:p>
      <w:pPr>
        <w:spacing w:before="0" w:after="80"/>
      </w:pPr>
    </w:p>
    <w:p>
      <w:pPr>
        <w:spacing w:before="60" w:after="120" w:line="276" w:lineRule="auto"/>
      </w:pPr>
      <w:r>
        <w:rPr>
          <w:rFonts w:ascii="Times New Roman" w:hAnsi="Times New Roman"/>
          <w:sz w:val="22"/>
        </w:rPr>
        <w:t xml:space="preserve">[25] Olimex Ltd., </w:t>
      </w:r>
      <w:r>
        <w:rPr>
          <w:rFonts w:ascii="Times New Roman" w:hAnsi="Times New Roman"/>
          <w:i/>
          <w:sz w:val="22"/>
        </w:rPr>
        <w:t>ESP32-S3 DevKit Hardware User Manual</w:t>
      </w:r>
      <w:r>
        <w:rPr>
          <w:rFonts w:ascii="Times New Roman" w:hAnsi="Times New Roman"/>
          <w:sz w:val="22"/>
        </w:rPr>
        <w:t>, 2024.</w:t>
      </w:r>
    </w:p>
    <w:p>
      <w:pPr>
        <w:spacing w:before="0" w:after="80"/>
      </w:pPr>
    </w:p>
    <w:p>
      <w:pPr>
        <w:spacing w:before="60" w:after="120" w:line="276" w:lineRule="auto"/>
      </w:pPr>
      <w:r>
        <w:rPr>
          <w:rFonts w:ascii="Times New Roman" w:hAnsi="Times New Roman"/>
          <w:sz w:val="22"/>
        </w:rPr>
        <w:t xml:space="preserve">[26] Maxim Integrated, </w:t>
      </w:r>
      <w:r>
        <w:rPr>
          <w:rFonts w:ascii="Times New Roman" w:hAnsi="Times New Roman"/>
          <w:i/>
          <w:sz w:val="22"/>
        </w:rPr>
        <w:t>DS3231 Extremely Accurate I2C RTC Datasheet</w:t>
      </w:r>
      <w:r>
        <w:rPr>
          <w:rFonts w:ascii="Times New Roman" w:hAnsi="Times New Roman"/>
          <w:sz w:val="22"/>
        </w:rPr>
        <w:t>, 2023.</w:t>
      </w:r>
    </w:p>
    <w:p>
      <w:pPr>
        <w:spacing w:before="0" w:after="80"/>
      </w:pPr>
    </w:p>
    <w:p>
      <w:pPr>
        <w:spacing w:before="60" w:after="120" w:line="276" w:lineRule="auto"/>
      </w:pPr>
      <w:r>
        <w:rPr>
          <w:rFonts w:ascii="Times New Roman" w:hAnsi="Times New Roman"/>
          <w:sz w:val="22"/>
        </w:rPr>
        <w:t xml:space="preserve">[27] Seeed Studio, </w:t>
      </w:r>
      <w:r>
        <w:rPr>
          <w:rFonts w:ascii="Times New Roman" w:hAnsi="Times New Roman"/>
          <w:i/>
          <w:sz w:val="22"/>
        </w:rPr>
        <w:t>ZJ-S201 Water Flow Sensor Specification Manual</w:t>
      </w:r>
      <w:r>
        <w:rPr>
          <w:rFonts w:ascii="Times New Roman" w:hAnsi="Times New Roman"/>
          <w:sz w:val="22"/>
        </w:rPr>
        <w:t>,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