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B365D"/>
          <w:sz w:val="36"/>
        </w:rPr>
        <w:t>BoneMambaFormer: High-Performance Adaptive Hybrid Architecture for Bone Cancer Radiograph Classification</w:t>
      </w:r>
    </w:p>
    <w:p>
      <w:pPr>
        <w:spacing w:after="360"/>
        <w:jc w:val="center"/>
      </w:pPr>
      <w:r>
        <w:rPr>
          <w:rFonts w:ascii="Arial" w:hAnsi="Arial"/>
          <w:b/>
          <w:color w:val="556677"/>
          <w:sz w:val="22"/>
        </w:rPr>
        <w:t>SECTION 3: MATERIALS AND METHODS (ICIMCPS-2026 EXPERIMENTAL SPECIFICATION)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3.1 Problem Formulation</w:t>
      </w:r>
    </w:p>
    <w:p>
      <w:pPr>
        <w:spacing w:after="120" w:line="276" w:lineRule="auto"/>
      </w:pPr>
      <w:r>
        <w:rPr>
          <w:rFonts w:ascii="Arial" w:hAnsi="Arial"/>
          <w:sz w:val="20"/>
        </w:rPr>
        <w:t>We model planar radiograph bone cancer classification as a supervised binary decision task. Let the experimental dataset be defined as:</w:t>
      </w:r>
    </w:p>
    <w:p>
      <w:pPr>
        <w:spacing w:before="80" w:after="120"/>
        <w:ind w:left="576"/>
      </w:pPr>
      <w:r>
        <w:rPr>
          <w:rFonts w:ascii="Cambria Math" w:hAnsi="Cambria Math"/>
          <w:i/>
          <w:sz w:val="21"/>
        </w:rPr>
        <w:t>D = {(x_i, y_i)}_{i=1}^N</w:t>
      </w:r>
    </w:p>
    <w:p>
      <w:pPr>
        <w:spacing w:after="120" w:line="276" w:lineRule="auto"/>
      </w:pPr>
      <w:r>
        <w:rPr>
          <w:rFonts w:ascii="Arial" w:hAnsi="Arial"/>
          <w:sz w:val="20"/>
        </w:rPr>
        <w:t>where x_i in R^{H x W x C} denotes an input digital bone radiograph with spatial height H = 224 pixels, width W = 224 pixels, and C = 3 color channels (RGB). The ground-truth categorical label y_i in {0, 1} corresponds to the binary clinical decision space:</w:t>
      </w:r>
    </w:p>
    <w:p>
      <w:pPr>
        <w:spacing w:before="80" w:after="120"/>
        <w:ind w:left="576"/>
      </w:pPr>
      <w:r>
        <w:rPr>
          <w:rFonts w:ascii="Cambria Math" w:hAnsi="Cambria Math"/>
          <w:i/>
          <w:sz w:val="21"/>
        </w:rPr>
        <w:t>y_i = 0 if Cancer (Malignant Pathological Lesion),  1 if Normal (Non-Malignant / Intact Bone Structure)</w:t>
      </w:r>
    </w:p>
    <w:p>
      <w:pPr>
        <w:spacing w:after="120" w:line="276" w:lineRule="auto"/>
      </w:pPr>
      <w:r>
        <w:rPr>
          <w:rFonts w:ascii="Arial" w:hAnsi="Arial"/>
          <w:sz w:val="20"/>
        </w:rPr>
        <w:t>The objective is to parameterize a non-linear mapping function f(x; theta) -&gt; p_hat(y|x), governed by trainable parameters theta, that outputs a normalized conditional probability distribution over the binary target classes:</w:t>
      </w:r>
    </w:p>
    <w:p>
      <w:pPr>
        <w:spacing w:before="80" w:after="120"/>
        <w:ind w:left="576"/>
      </w:pPr>
      <w:r>
        <w:rPr>
          <w:rFonts w:ascii="Cambria Math" w:hAnsi="Cambria Math"/>
          <w:i/>
          <w:sz w:val="21"/>
        </w:rPr>
        <w:t>p_hat(y|x) = [p(y=0 | x), p(y=1 | x)]^T in [0, 1]^2,   subject to sum_{k=0}^1 p(y=k | x) = 1.0</w:t>
      </w:r>
      <w:r>
        <w:rPr>
          <w:rFonts w:ascii="Arial" w:hAnsi="Arial"/>
          <w:b/>
          <w:i w:val="0"/>
          <w:sz w:val="20"/>
        </w:rPr>
        <w:tab/>
        <w:tab/>
        <w:t>(1)</w:t>
      </w:r>
    </w:p>
    <w:p>
      <w:pPr>
        <w:spacing w:after="120" w:line="276" w:lineRule="auto"/>
      </w:pPr>
      <w:r>
        <w:rPr>
          <w:rFonts w:ascii="Arial" w:hAnsi="Arial"/>
          <w:sz w:val="20"/>
        </w:rPr>
        <w:t>The predicted scalar label y_hat in {0, 1} is determined via maximum a posteriori (MAP) inference over the network logits z = f(x; theta) in R^2:</w:t>
      </w:r>
    </w:p>
    <w:p>
      <w:pPr>
        <w:spacing w:before="80" w:after="120"/>
        <w:ind w:left="576"/>
      </w:pPr>
      <w:r>
        <w:rPr>
          <w:rFonts w:ascii="Cambria Math" w:hAnsi="Cambria Math"/>
          <w:i/>
          <w:sz w:val="21"/>
        </w:rPr>
        <w:t>y_hat = argmax_{k in {0, 1}} p(y=k | x) = argmax_{k in {0, 1}} ( exp(z_k) / sum_{j=0}^1 exp(z_j) )</w:t>
      </w:r>
      <w:r>
        <w:rPr>
          <w:rFonts w:ascii="Arial" w:hAnsi="Arial"/>
          <w:b/>
          <w:i w:val="0"/>
          <w:sz w:val="20"/>
        </w:rPr>
        <w:tab/>
        <w:tab/>
        <w:t>(2)</w:t>
      </w:r>
    </w:p>
    <w:p>
      <w:pPr>
        <w:spacing w:after="120" w:line="276" w:lineRule="auto"/>
      </w:pPr>
      <w:r>
        <w:rPr>
          <w:rFonts w:ascii="Arial" w:hAnsi="Arial"/>
          <w:sz w:val="20"/>
        </w:rPr>
        <w:t>Parameter optimization is conducted via empirical risk minimization over the training partition D_train using Cross-Entropy loss with label smoothing (epsilon = 0.05) and L2 weight-decay regularization:</w:t>
      </w:r>
    </w:p>
    <w:p>
      <w:pPr>
        <w:spacing w:before="80" w:after="120"/>
        <w:ind w:left="576"/>
      </w:pPr>
      <w:r>
        <w:rPr>
          <w:rFonts w:ascii="Cambria Math" w:hAnsi="Cambria Math"/>
          <w:i/>
          <w:sz w:val="21"/>
        </w:rPr>
        <w:t>theta* = argmin_{theta} (1 / |D_train|) sum_{i=1}^{|D_train|} L_CE(y_i, f(x_i; theta); epsilon) + lambda ||theta||_2^2</w:t>
      </w:r>
      <w:r>
        <w:rPr>
          <w:rFonts w:ascii="Arial" w:hAnsi="Arial"/>
          <w:b/>
          <w:i w:val="0"/>
          <w:sz w:val="20"/>
        </w:rPr>
        <w:tab/>
        <w:tab/>
        <w:t>(3)</w:t>
      </w:r>
    </w:p>
    <w:p>
      <w:pPr>
        <w:spacing w:after="120" w:line="276" w:lineRule="auto"/>
      </w:pPr>
      <w:r>
        <w:rPr>
          <w:rFonts w:ascii="Arial" w:hAnsi="Arial"/>
          <w:sz w:val="20"/>
        </w:rPr>
        <w:t>where lambda = 1e-4 represents the weight decay hyperparameter.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3.2 Dataset and Data Integrity Audit</w:t>
      </w:r>
    </w:p>
    <w:p>
      <w:pPr>
        <w:keepNext/>
        <w:spacing w:before="240" w:after="80"/>
      </w:pPr>
      <w:r>
        <w:rPr>
          <w:rFonts w:ascii="Arial" w:hAnsi="Arial"/>
          <w:b/>
          <w:color w:val="2B548A"/>
          <w:sz w:val="24"/>
        </w:rPr>
        <w:t>3.2.1 Raw Dataset Specification</w:t>
      </w:r>
    </w:p>
    <w:p>
      <w:pPr>
        <w:spacing w:after="120" w:line="276" w:lineRule="auto"/>
      </w:pPr>
      <w:r>
        <w:rPr>
          <w:rFonts w:ascii="Arial" w:hAnsi="Arial"/>
          <w:sz w:val="20"/>
        </w:rPr>
        <w:t>The raw dataset supplied for this study comprises N_raw = 8,810 planar bone X-ray radiographs stored as RGB JPEG files at an uncompressed spatial resolution of 640 x 640 pixels. Ground-truth annotations divide the corpus into 4,863 Cancer instances (Class 0) and 3,947 Normal instances (Class 1). The raw corpus was initially arranged into three standard sub-directories: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Raw Training Set: </w:t>
      </w:r>
      <w:r>
        <w:rPr>
          <w:rFonts w:ascii="Arial" w:hAnsi="Arial"/>
          <w:sz w:val="20"/>
        </w:rPr>
        <w:t>7,056 images (3,081 Cancer, 3,975 Normal)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Raw Validation Set: </w:t>
      </w:r>
      <w:r>
        <w:rPr>
          <w:rFonts w:ascii="Arial" w:hAnsi="Arial"/>
          <w:sz w:val="20"/>
        </w:rPr>
        <w:t>882 images (398 Cancer, 484 Normal)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Raw Test Set: </w:t>
      </w:r>
      <w:r>
        <w:rPr>
          <w:rFonts w:ascii="Arial" w:hAnsi="Arial"/>
          <w:sz w:val="20"/>
        </w:rPr>
        <w:t>872 images (384 Cancer, 488 Normal)</w:t>
      </w:r>
    </w:p>
    <w:p>
      <w:pPr>
        <w:keepNext/>
        <w:spacing w:before="240" w:after="80"/>
      </w:pPr>
      <w:r>
        <w:rPr>
          <w:rFonts w:ascii="Arial" w:hAnsi="Arial"/>
          <w:b/>
          <w:color w:val="2B548A"/>
          <w:sz w:val="24"/>
        </w:rPr>
        <w:t>3.2.2 Data Integrity Audit Rationale</w:t>
      </w:r>
    </w:p>
    <w:p>
      <w:pPr>
        <w:spacing w:after="120" w:line="276" w:lineRule="auto"/>
      </w:pPr>
      <w:r>
        <w:rPr>
          <w:rFonts w:ascii="Arial" w:hAnsi="Arial"/>
          <w:sz w:val="20"/>
        </w:rPr>
        <w:t>In deep learning for medical imaging, pre-partitioned public datasets frequently contain duplicate or near-duplicate radiograph files distributed across separate directory splits. When identical or redundant image files reside in both training and evaluation splits, deep models can memorize instance-specific noise, fine textures, or non-pathological artifacts. This introduces severe cross-split data leakage, producing artificially inflated validation and test metrics that fail to reflect real-world generalization. To ensure strict evaluation integrity, an automated, non-destructive data integrity audit was executed prior to any modeling.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3.3 Duplicate Detection and Leakage-Controlled Dataset Construction</w:t>
      </w:r>
    </w:p>
    <w:p>
      <w:pPr>
        <w:keepNext/>
        <w:spacing w:before="240" w:after="80"/>
      </w:pPr>
      <w:r>
        <w:rPr>
          <w:rFonts w:ascii="Arial" w:hAnsi="Arial"/>
          <w:b/>
          <w:color w:val="2B548A"/>
          <w:sz w:val="24"/>
        </w:rPr>
        <w:t>3.3.1 Cryptographic Hash Audit Protocol</w:t>
      </w:r>
    </w:p>
    <w:p>
      <w:pPr>
        <w:spacing w:after="120" w:line="276" w:lineRule="auto"/>
      </w:pPr>
      <w:r>
        <w:rPr>
          <w:rFonts w:ascii="Arial" w:hAnsi="Arial"/>
          <w:sz w:val="20"/>
        </w:rPr>
        <w:t>To detect duplicate image files without relying on file names or directory metadata, an automated cryptographic audit was performed across all 8,810 raw images. For every image file x_i, a 128-bit MD5 message-digest hash H(x_i) in {0, 1}^{128} was computed over its raw byte sequence:</w:t>
      </w:r>
    </w:p>
    <w:p>
      <w:pPr>
        <w:spacing w:before="80" w:after="120"/>
        <w:ind w:left="576"/>
      </w:pPr>
      <w:r>
        <w:rPr>
          <w:rFonts w:ascii="Cambria Math" w:hAnsi="Cambria Math"/>
          <w:i/>
          <w:sz w:val="21"/>
        </w:rPr>
        <w:t>H(x_i) = MD5(bytes(x_i))</w:t>
      </w:r>
      <w:r>
        <w:rPr>
          <w:rFonts w:ascii="Arial" w:hAnsi="Arial"/>
          <w:b/>
          <w:i w:val="0"/>
          <w:sz w:val="20"/>
        </w:rPr>
        <w:tab/>
        <w:tab/>
        <w:t>(4)</w:t>
      </w:r>
    </w:p>
    <w:p>
      <w:pPr>
        <w:spacing w:after="120" w:line="276" w:lineRule="auto"/>
      </w:pPr>
      <w:r>
        <w:rPr>
          <w:rFonts w:ascii="Arial" w:hAnsi="Arial"/>
          <w:sz w:val="20"/>
        </w:rPr>
        <w:t>Hash equality (H(x_i) = H(x_j)) establishes bitwise pixel identity under the implemented procedure. Images sharing identical MD5 hashes were grouped into duplicate equivalence classes to map both intra-split duplicates and cross-split leakage boundaries.</w:t>
      </w:r>
    </w:p>
    <w:p>
      <w:pPr>
        <w:keepNext/>
        <w:spacing w:before="240" w:after="80"/>
      </w:pPr>
      <w:r>
        <w:rPr>
          <w:rFonts w:ascii="Arial" w:hAnsi="Arial"/>
          <w:b/>
          <w:color w:val="2B548A"/>
          <w:sz w:val="24"/>
        </w:rPr>
        <w:t>3.3.2 Audit Findings</w:t>
      </w:r>
    </w:p>
    <w:p>
      <w:pPr>
        <w:spacing w:after="120" w:line="276" w:lineRule="auto"/>
      </w:pPr>
      <w:r>
        <w:rPr>
          <w:rFonts w:ascii="Arial" w:hAnsi="Arial"/>
          <w:sz w:val="20"/>
        </w:rPr>
        <w:t>The audit processed 8,810 raw images and identified exactly 7,751 unique MD5 hashes, revealing significant duplication in the uncurated corpus: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Single-Instance Hashes: </w:t>
      </w:r>
      <w:r>
        <w:rPr>
          <w:rFonts w:ascii="Arial" w:hAnsi="Arial"/>
          <w:sz w:val="20"/>
        </w:rPr>
        <w:t>6,692 hashes corresponded to unique, single-file images.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Intra-Split Duplicate Groups: </w:t>
      </w:r>
      <w:r>
        <w:rPr>
          <w:rFonts w:ascii="Arial" w:hAnsi="Arial"/>
          <w:sz w:val="20"/>
        </w:rPr>
        <w:t>714 hash groups comprised duplicate images located within the same directory split.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Cross-Split Duplicate Hash Groups (Leakage): </w:t>
      </w:r>
      <w:r>
        <w:rPr>
          <w:rFonts w:ascii="Arial" w:hAnsi="Arial"/>
          <w:sz w:val="20"/>
        </w:rPr>
        <w:t>345 hash groups spanned across original split boundaries (168 Train&lt;-&gt;Val, 161 Train&lt;-&gt;Test, 16 Val&lt;-&gt;Test).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Label Consistency Verification: </w:t>
      </w:r>
      <w:r>
        <w:rPr>
          <w:rFonts w:ascii="Arial" w:hAnsi="Arial"/>
          <w:sz w:val="20"/>
        </w:rPr>
        <w:t>All 345 cross-split duplicate groups exhibited 100% ground-truth label agreement (zero label conflicts occurred).</w:t>
      </w:r>
    </w:p>
    <w:p>
      <w:pPr>
        <w:keepNext/>
        <w:spacing w:before="240" w:after="80"/>
      </w:pPr>
      <w:r>
        <w:rPr>
          <w:rFonts w:ascii="Arial" w:hAnsi="Arial"/>
          <w:b/>
          <w:color w:val="2B548A"/>
          <w:sz w:val="24"/>
        </w:rPr>
        <w:t>3.3.3 Construction of the derived_clean Protocol</w:t>
      </w:r>
    </w:p>
    <w:p>
      <w:pPr>
        <w:spacing w:after="120" w:line="276" w:lineRule="auto"/>
      </w:pPr>
      <w:r>
        <w:rPr>
          <w:rFonts w:ascii="Arial" w:hAnsi="Arial"/>
          <w:sz w:val="20"/>
        </w:rPr>
        <w:t>To eliminate cross-split data leakage, we constructed a deduplicated split protocol designated as derived_clean (results/derived_leakage_clean_split.json). Under this protocol, every unique image hash is assigned exclusively to a single dataset split. For each duplicate hash group spanning across partitions, all instances were consolidated into the training set, while validation and test partitions were purged of any overlapping hashes.</w:t>
      </w:r>
    </w:p>
    <w:p>
      <w:pPr>
        <w:spacing w:after="120" w:line="276" w:lineRule="auto"/>
      </w:pPr>
      <w:r>
        <w:rPr>
          <w:rFonts w:ascii="Arial" w:hAnsi="Arial"/>
          <w:sz w:val="20"/>
        </w:rPr>
        <w:t>The resulting derived_clean experimental partition comprises: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Clean Training Set: </w:t>
      </w:r>
      <w:r>
        <w:rPr>
          <w:rFonts w:ascii="Arial" w:hAnsi="Arial"/>
          <w:sz w:val="20"/>
        </w:rPr>
        <w:t>7,417 images (3,082 Cancer, 4,335 Normal)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Clean Validation Set: </w:t>
      </w:r>
      <w:r>
        <w:rPr>
          <w:rFonts w:ascii="Arial" w:hAnsi="Arial"/>
          <w:sz w:val="20"/>
        </w:rPr>
        <w:t>698 images (398 Cancer, 300 Normal)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Untouched Clean Test Set: </w:t>
      </w:r>
      <w:r>
        <w:rPr>
          <w:rFonts w:ascii="Arial" w:hAnsi="Arial"/>
          <w:sz w:val="20"/>
        </w:rPr>
        <w:t>695 images (383 Cancer, 312 Normal)</w:t>
      </w:r>
    </w:p>
    <w:p>
      <w:pPr>
        <w:spacing w:after="120" w:line="276" w:lineRule="auto"/>
      </w:pPr>
      <w:r>
        <w:rPr>
          <w:rFonts w:ascii="Arial" w:hAnsi="Arial"/>
          <w:sz w:val="20"/>
        </w:rPr>
        <w:t>This protocol guarantees zero cryptographic image-hash overlap across training, validation, and test partitions (H(D_train) cap H(D_val) = empty, H(D_train) cap H(D_test) = empty, H(D_val) cap H(D_test) = empty).</w:t>
      </w:r>
    </w:p>
    <w:p>
      <w:pPr>
        <w:keepNext/>
        <w:spacing w:before="240" w:after="80"/>
      </w:pPr>
      <w:r>
        <w:rPr>
          <w:rFonts w:ascii="Arial" w:hAnsi="Arial"/>
          <w:b/>
          <w:color w:val="2B548A"/>
          <w:sz w:val="24"/>
        </w:rPr>
        <w:t>3.3.4 Patient-Level Independence Limitation</w:t>
      </w:r>
    </w:p>
    <w:p>
      <w:pPr>
        <w:spacing w:after="120" w:line="276" w:lineRule="auto"/>
      </w:pPr>
      <w:r>
        <w:rPr>
          <w:rFonts w:ascii="Arial" w:hAnsi="Arial"/>
          <w:sz w:val="20"/>
        </w:rPr>
        <w:t>Because patient identification tags and clinical case numbers were absent from the source dataset metadata, deduplication was performed at the cryptographic file-hash level. While the derived_clean protocol eliminates identical image pixel reuse across splits, patient-level independence cannot be formally guaranteed without explicit patient identifiers. This limitation is explicitly acknowledged.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3.4 Data Partitioning and Experimental Split Protocol</w:t>
      </w:r>
    </w:p>
    <w:p>
      <w:pPr>
        <w:spacing w:after="120" w:line="276" w:lineRule="auto"/>
      </w:pPr>
      <w:r>
        <w:rPr>
          <w:rFonts w:ascii="Arial" w:hAnsi="Arial"/>
          <w:sz w:val="20"/>
        </w:rPr>
        <w:t>All experimental evaluations, ablation studies, and baseline comparisons in the Next-Gen BoneMambaFormer project strictly adhere to the derived_clean split protocol. Table 1 summarizes the sample counts across both partition protocols.</w:t>
      </w:r>
    </w:p>
    <w:p>
      <w:pPr>
        <w:spacing w:before="160" w:after="80"/>
      </w:pPr>
      <w:r>
        <w:rPr>
          <w:b/>
          <w:sz w:val="19"/>
        </w:rPr>
        <w:t>Table 1: Dataset Partitioning and Sample Counts across Raw and Derived-Clean Protocols.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Partition Protocol</w:t>
            </w:r>
          </w:p>
        </w:tc>
        <w:tc>
          <w:tcPr>
            <w:tcW w:type="dxa" w:w="168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Train Set</w:t>
            </w:r>
          </w:p>
        </w:tc>
        <w:tc>
          <w:tcPr>
            <w:tcW w:type="dxa" w:w="168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Validation Set</w:t>
            </w:r>
          </w:p>
        </w:tc>
        <w:tc>
          <w:tcPr>
            <w:tcW w:type="dxa" w:w="168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Set (Untouched)</w:t>
            </w:r>
          </w:p>
        </w:tc>
        <w:tc>
          <w:tcPr>
            <w:tcW w:type="dxa" w:w="168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Images</w:t>
            </w:r>
          </w:p>
        </w:tc>
        <w:tc>
          <w:tcPr>
            <w:tcW w:type="dxa" w:w="168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Cross-Split Overlaps</w:t>
            </w:r>
          </w:p>
        </w:tc>
      </w:tr>
      <w:tr>
        <w:tc>
          <w:tcPr>
            <w:tcW w:type="dxa" w:w="168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Raw Supplied Split</w:t>
            </w:r>
          </w:p>
        </w:tc>
        <w:tc>
          <w:tcPr>
            <w:tcW w:type="dxa" w:w="168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7"/>
              </w:rPr>
              <w:t>7,056</w:t>
            </w:r>
          </w:p>
        </w:tc>
        <w:tc>
          <w:tcPr>
            <w:tcW w:type="dxa" w:w="168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7"/>
              </w:rPr>
              <w:t>882</w:t>
            </w:r>
          </w:p>
        </w:tc>
        <w:tc>
          <w:tcPr>
            <w:tcW w:type="dxa" w:w="168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7"/>
              </w:rPr>
              <w:t>872</w:t>
            </w:r>
          </w:p>
        </w:tc>
        <w:tc>
          <w:tcPr>
            <w:tcW w:type="dxa" w:w="168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7"/>
              </w:rPr>
              <w:t>8,810</w:t>
            </w:r>
          </w:p>
        </w:tc>
        <w:tc>
          <w:tcPr>
            <w:tcW w:type="dxa" w:w="168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345 Hash Groups (Severe Leakage)</w:t>
            </w:r>
          </w:p>
        </w:tc>
      </w:tr>
      <w:tr>
        <w:tc>
          <w:tcPr>
            <w:tcW w:type="dxa" w:w="16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derived_clean Protocol</w:t>
            </w:r>
          </w:p>
        </w:tc>
        <w:tc>
          <w:tcPr>
            <w:tcW w:type="dxa" w:w="16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sz w:val="17"/>
              </w:rPr>
              <w:t>7,417</w:t>
            </w:r>
          </w:p>
        </w:tc>
        <w:tc>
          <w:tcPr>
            <w:tcW w:type="dxa" w:w="16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sz w:val="17"/>
              </w:rPr>
              <w:t>698</w:t>
            </w:r>
          </w:p>
        </w:tc>
        <w:tc>
          <w:tcPr>
            <w:tcW w:type="dxa" w:w="16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sz w:val="17"/>
              </w:rPr>
              <w:t>695</w:t>
            </w:r>
          </w:p>
        </w:tc>
        <w:tc>
          <w:tcPr>
            <w:tcW w:type="dxa" w:w="16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sz w:val="17"/>
              </w:rPr>
              <w:t>8,810</w:t>
            </w:r>
          </w:p>
        </w:tc>
        <w:tc>
          <w:tcPr>
            <w:tcW w:type="dxa" w:w="16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0 Hash Groups (Leakage-Clean)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3.5 Image Preprocessing</w:t>
      </w:r>
    </w:p>
    <w:p>
      <w:pPr>
        <w:spacing w:after="120" w:line="276" w:lineRule="auto"/>
      </w:pPr>
      <w:r>
        <w:rPr>
          <w:rFonts w:ascii="Arial" w:hAnsi="Arial"/>
          <w:sz w:val="20"/>
        </w:rPr>
        <w:t>Input images are processed through a deterministic preprocessing pipeline (src/preprocessing.py) to standardize spatial dimensions and intensity distributions prior to tensor formatting.</w:t>
      </w:r>
    </w:p>
    <w:p>
      <w:pPr>
        <w:keepNext/>
        <w:spacing w:before="240" w:after="80"/>
      </w:pPr>
      <w:r>
        <w:rPr>
          <w:rFonts w:ascii="Arial" w:hAnsi="Arial"/>
          <w:b/>
          <w:color w:val="2B548A"/>
          <w:sz w:val="24"/>
        </w:rPr>
        <w:t>3.5.1 Spatial Resizing</w:t>
      </w:r>
    </w:p>
    <w:p>
      <w:pPr>
        <w:spacing w:after="120" w:line="276" w:lineRule="auto"/>
      </w:pPr>
      <w:r>
        <w:rPr>
          <w:rFonts w:ascii="Arial" w:hAnsi="Arial"/>
          <w:sz w:val="20"/>
        </w:rPr>
        <w:t>Raw 640 x 640 radiographs are resized to the target resolution of 224 x 224 pixels using bilinear interpolation:</w:t>
      </w:r>
    </w:p>
    <w:p>
      <w:pPr>
        <w:spacing w:before="80" w:after="120"/>
        <w:ind w:left="576"/>
      </w:pPr>
      <w:r>
        <w:rPr>
          <w:rFonts w:ascii="Cambria Math" w:hAnsi="Cambria Math"/>
          <w:i/>
          <w:sz w:val="21"/>
        </w:rPr>
        <w:t>x_resized = Resize_bilinear(x_raw, (224, 224))</w:t>
      </w:r>
    </w:p>
    <w:p>
      <w:pPr>
        <w:keepNext/>
        <w:spacing w:before="240" w:after="80"/>
      </w:pPr>
      <w:r>
        <w:rPr>
          <w:rFonts w:ascii="Arial" w:hAnsi="Arial"/>
          <w:b/>
          <w:color w:val="2B548A"/>
          <w:sz w:val="24"/>
        </w:rPr>
        <w:t>3.5.2 Contrast Enhancement</w:t>
      </w:r>
    </w:p>
    <w:p>
      <w:pPr>
        <w:spacing w:after="120" w:line="276" w:lineRule="auto"/>
      </w:pPr>
      <w:r>
        <w:rPr>
          <w:rFonts w:ascii="Arial" w:hAnsi="Arial"/>
          <w:sz w:val="20"/>
        </w:rPr>
        <w:t>To enhance low-contrast osseous structures and accentuate pathological cortical breaks or osteolytic lesions, contrast enhancement is applied using PIL ImageOps.autocontrast with a 1% histogram cutoff, followed by linear contrast scaling by a factor of 1.1:</w:t>
      </w:r>
    </w:p>
    <w:p>
      <w:pPr>
        <w:spacing w:before="80" w:after="120"/>
        <w:ind w:left="576"/>
      </w:pPr>
      <w:r>
        <w:rPr>
          <w:rFonts w:ascii="Cambria Math" w:hAnsi="Cambria Math"/>
          <w:i/>
          <w:sz w:val="21"/>
        </w:rPr>
        <w:t>x_contrast = Enhance_contrast(AutoContrast(x_resized, cutoff=1), factor=1.1)</w:t>
      </w:r>
      <w:r>
        <w:rPr>
          <w:rFonts w:ascii="Arial" w:hAnsi="Arial"/>
          <w:b/>
          <w:i w:val="0"/>
          <w:sz w:val="20"/>
        </w:rPr>
        <w:tab/>
        <w:tab/>
        <w:t>(5)</w:t>
      </w:r>
    </w:p>
    <w:p>
      <w:pPr>
        <w:spacing w:after="120" w:line="276" w:lineRule="auto"/>
      </w:pPr>
      <w:r>
        <w:rPr>
          <w:rFonts w:ascii="Arial" w:hAnsi="Arial"/>
          <w:sz w:val="20"/>
        </w:rPr>
        <w:t>This operation sharpens trabecular lines and tumor boundaries while avoiding non-linear high-frequency noise.</w:t>
      </w:r>
    </w:p>
    <w:p>
      <w:pPr>
        <w:keepNext/>
        <w:spacing w:before="240" w:after="80"/>
      </w:pPr>
      <w:r>
        <w:rPr>
          <w:rFonts w:ascii="Arial" w:hAnsi="Arial"/>
          <w:b/>
          <w:color w:val="2B548A"/>
          <w:sz w:val="24"/>
        </w:rPr>
        <w:t>3.5.3 Tensor Conversion and Normalization</w:t>
      </w:r>
    </w:p>
    <w:p>
      <w:pPr>
        <w:spacing w:after="120" w:line="276" w:lineRule="auto"/>
      </w:pPr>
      <w:r>
        <w:rPr>
          <w:rFonts w:ascii="Arial" w:hAnsi="Arial"/>
          <w:sz w:val="20"/>
        </w:rPr>
        <w:t>Enhanced images are converted to floating-point tensors in the range [0.0, 1.0] and normalized using standard ImageNet channel-wise mean (mu) and standard deviation (sigma) vectors:</w:t>
      </w:r>
    </w:p>
    <w:p>
      <w:pPr>
        <w:spacing w:before="80" w:after="120"/>
        <w:ind w:left="576"/>
      </w:pPr>
      <w:r>
        <w:rPr>
          <w:rFonts w:ascii="Cambria Math" w:hAnsi="Cambria Math"/>
          <w:i/>
          <w:sz w:val="21"/>
        </w:rPr>
        <w:t>mu = [0.485, 0.456, 0.406],   sigma = [0.229, 0.224, 0.225]</w:t>
      </w:r>
    </w:p>
    <w:p>
      <w:pPr>
        <w:spacing w:before="80" w:after="120"/>
        <w:ind w:left="576"/>
      </w:pPr>
      <w:r>
        <w:rPr>
          <w:rFonts w:ascii="Cambria Math" w:hAnsi="Cambria Math"/>
          <w:i/>
          <w:sz w:val="21"/>
        </w:rPr>
        <w:t>x_norm^{(c)} = (x_contrast^{(c)} - mu_c) / sigma_c,   forall c in {1, 2, 3}</w:t>
      </w:r>
      <w:r>
        <w:rPr>
          <w:rFonts w:ascii="Arial" w:hAnsi="Arial"/>
          <w:b/>
          <w:i w:val="0"/>
          <w:sz w:val="20"/>
        </w:rPr>
        <w:tab/>
        <w:tab/>
        <w:t>(6)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3.6 Training-Time Data Augmentation</w:t>
      </w:r>
    </w:p>
    <w:p>
      <w:pPr>
        <w:spacing w:after="120" w:line="276" w:lineRule="auto"/>
      </w:pPr>
      <w:r>
        <w:rPr>
          <w:rFonts w:ascii="Arial" w:hAnsi="Arial"/>
          <w:sz w:val="20"/>
        </w:rPr>
        <w:t>To prevent overfitting and simulate clinical imaging variations (such as patient positioning shifts, X-ray beam angle variations, and anatomical scale changes), a controlled data augmentation suite (src/augmentation.py) is applied strictly to training samples.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Elastic Deformation: </w:t>
      </w:r>
      <w:r>
        <w:rPr>
          <w:rFonts w:ascii="Arial" w:hAnsi="Arial"/>
          <w:sz w:val="20"/>
        </w:rPr>
        <w:t>Simulates local soft-tissue and anatomical warping using Gaussian-filtered random displacement fields (Simard et al., 2003) with alpha = 10.0, sigma = 3.0, and probability p = 0.3.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Random Affine Rotation: </w:t>
      </w:r>
      <w:r>
        <w:rPr>
          <w:rFonts w:ascii="Arial" w:hAnsi="Arial"/>
          <w:sz w:val="20"/>
        </w:rPr>
        <w:t>Applies random spatial rotation within theta_rot in [-15 deg, +15 deg] around the image center.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Random Horizontal Flip: </w:t>
      </w:r>
      <w:r>
        <w:rPr>
          <w:rFonts w:ascii="Arial" w:hAnsi="Arial"/>
          <w:sz w:val="20"/>
        </w:rPr>
        <w:t>Applies left-right reflection with probability p = 0.5. Vertical flipping is explicitly disabled to preserve top-bottom anatomical orientation.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Random Rescaling and Zooming: </w:t>
      </w:r>
      <w:r>
        <w:rPr>
          <w:rFonts w:ascii="Arial" w:hAnsi="Arial"/>
          <w:sz w:val="20"/>
        </w:rPr>
        <w:t>Rescales image dimensions by uniform scale factor s in [0.9, 1.1] with bilinear interpolation, followed by center cropping or zero-padding to 224 x 224.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Intensity Variation (Color Jitter): </w:t>
      </w:r>
      <w:r>
        <w:rPr>
          <w:rFonts w:ascii="Arial" w:hAnsi="Arial"/>
          <w:sz w:val="20"/>
        </w:rPr>
        <w:t>Applies multiplicative brightness jitter b in [0.9, 1.1] and contrast jitter c in [0.9, 1.1].</w:t>
      </w:r>
    </w:p>
    <w:p>
      <w:pPr>
        <w:spacing w:after="120" w:line="276" w:lineRule="auto"/>
      </w:pPr>
      <w:r>
        <w:rPr>
          <w:rFonts w:ascii="Arial" w:hAnsi="Arial"/>
          <w:sz w:val="20"/>
        </w:rPr>
        <w:t>Validation and test image pipelines remain 100% deterministic, executing only spatial resizing, contrast enhancement, and ImageNet normalization.</w:t>
      </w:r>
    </w:p>
    <w:p>
      <w:pPr>
        <w:spacing w:before="12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6364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gmentation_samp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64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7"/>
        </w:rPr>
        <w:t>Figure 1: Training-time medical image augmentation pipeline demonstrating elastic deformation, affine rotation, flipping, and intensity jitter.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3.7 Overview of the Proposed BoneMambaFormer Architecture</w:t>
      </w:r>
    </w:p>
    <w:p>
      <w:pPr>
        <w:spacing w:after="120" w:line="276" w:lineRule="auto"/>
      </w:pPr>
      <w:r>
        <w:rPr>
          <w:rFonts w:ascii="Arial" w:hAnsi="Arial"/>
          <w:sz w:val="20"/>
        </w:rPr>
        <w:t>The proposed BoneMambaFormer architecture is a tri-branch hybrid network designed to synergize three complementary visual representation paradigms: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MobileNetV2 CNN Branch: </w:t>
      </w:r>
      <w:r>
        <w:rPr>
          <w:rFonts w:ascii="Arial" w:hAnsi="Arial"/>
          <w:sz w:val="20"/>
        </w:rPr>
        <w:t>Lightweight depthwise separable convolutional processing for localized edge, texture, and bone boundary extraction.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Swin-Tiny Vision Transformer Branch: </w:t>
      </w:r>
      <w:r>
        <w:rPr>
          <w:rFonts w:ascii="Arial" w:hAnsi="Arial"/>
          <w:sz w:val="20"/>
        </w:rPr>
        <w:t>Hierarchical Vision Transformer with shifted-window self-attention for multi-scale regional context modeling.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Mamba Selective State-Space Branch: </w:t>
      </w:r>
      <w:r>
        <w:rPr>
          <w:rFonts w:ascii="Arial" w:hAnsi="Arial"/>
          <w:sz w:val="20"/>
        </w:rPr>
        <w:t>Linear-time sequential scanning over spatial patch sequences for long-range spatial dependency modeling.</w:t>
      </w:r>
    </w:p>
    <w:p>
      <w:pPr>
        <w:spacing w:after="120" w:line="276" w:lineRule="auto"/>
      </w:pPr>
      <w:r>
        <w:rPr>
          <w:rFonts w:ascii="Arial" w:hAnsi="Arial"/>
          <w:sz w:val="20"/>
        </w:rPr>
        <w:t>Feature vectors extracted from all three backbones are projected into a unified 256-dimensional feature space, dynamically weighted via an Adaptive Softmax Branch Attention module, fused into a joint representation vector, and passed to a feature-refinement classification head.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3.8 MobileNetV2 CNN Branch</w:t>
      </w:r>
    </w:p>
    <w:p>
      <w:pPr>
        <w:keepNext/>
        <w:spacing w:before="240" w:after="80"/>
      </w:pPr>
      <w:r>
        <w:rPr>
          <w:rFonts w:ascii="Arial" w:hAnsi="Arial"/>
          <w:b/>
          <w:color w:val="2B548A"/>
          <w:sz w:val="24"/>
        </w:rPr>
        <w:t>3.8.1 Architectural Components</w:t>
      </w:r>
    </w:p>
    <w:p>
      <w:pPr>
        <w:spacing w:after="120" w:line="276" w:lineRule="auto"/>
      </w:pPr>
      <w:r>
        <w:rPr>
          <w:rFonts w:ascii="Arial" w:hAnsi="Arial"/>
          <w:sz w:val="20"/>
        </w:rPr>
        <w:t>The convolutional branch utilizes an ImageNet-pretrained MobileNetV2 architecture (src/models/cnn.py) structured around inverted residual blocks with depthwise separable convolutions: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Expansion Layer: </w:t>
      </w:r>
      <w:r>
        <w:rPr>
          <w:rFonts w:ascii="Arial" w:hAnsi="Arial"/>
          <w:sz w:val="20"/>
        </w:rPr>
        <w:t>1 x 1 pointwise convolution expands lower-dimensional input channels by expansion factor t = 6.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Depthwise Convolution: </w:t>
      </w:r>
      <w:r>
        <w:rPr>
          <w:rFonts w:ascii="Arial" w:hAnsi="Arial"/>
          <w:sz w:val="20"/>
        </w:rPr>
        <w:t>3 x 3 spatial depthwise convolution applies spatial filtering independently per channel.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Projection Layer (Linear Bottleneck): </w:t>
      </w:r>
      <w:r>
        <w:rPr>
          <w:rFonts w:ascii="Arial" w:hAnsi="Arial"/>
          <w:sz w:val="20"/>
        </w:rPr>
        <w:t>1 x 1 pointwise convolution projects features back to lower-dimensional space without non-linear activation.</w:t>
      </w:r>
    </w:p>
    <w:p>
      <w:pPr>
        <w:keepNext/>
        <w:spacing w:before="240" w:after="80"/>
      </w:pPr>
      <w:r>
        <w:rPr>
          <w:rFonts w:ascii="Arial" w:hAnsi="Arial"/>
          <w:b/>
          <w:color w:val="2B548A"/>
          <w:sz w:val="24"/>
        </w:rPr>
        <w:t>3.8.2 Branch Representation and Parameters</w:t>
      </w:r>
    </w:p>
    <w:p>
      <w:pPr>
        <w:spacing w:after="120" w:line="276" w:lineRule="auto"/>
      </w:pPr>
      <w:r>
        <w:rPr>
          <w:rFonts w:ascii="Arial" w:hAnsi="Arial"/>
          <w:sz w:val="20"/>
        </w:rPr>
        <w:t>For input tensor x in R^{B x 3 x 224 x 224}, MobileNetV2 extracts a 1280-dimensional global feature vector h_CNN in R^{B x 1280} following global average pooling:</w:t>
      </w:r>
    </w:p>
    <w:p>
      <w:pPr>
        <w:spacing w:before="80" w:after="120"/>
        <w:ind w:left="576"/>
      </w:pPr>
      <w:r>
        <w:rPr>
          <w:rFonts w:ascii="Cambria Math" w:hAnsi="Cambria Math"/>
          <w:i/>
          <w:sz w:val="21"/>
        </w:rPr>
        <w:t>h_CNN = MobileNetV2_backbone(x)</w:t>
      </w:r>
    </w:p>
    <w:p>
      <w:pPr>
        <w:spacing w:after="120" w:line="276" w:lineRule="auto"/>
      </w:pPr>
      <w:r>
        <w:rPr>
          <w:rFonts w:ascii="Arial" w:hAnsi="Arial"/>
          <w:sz w:val="20"/>
        </w:rPr>
        <w:t>The standalone MobileNetV2 classification model (Config M1) contains 2,549,442 trainable parameters (~2.55M).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3.9 Swin-Tiny Transformer Branch</w:t>
      </w:r>
    </w:p>
    <w:p>
      <w:pPr>
        <w:keepNext/>
        <w:spacing w:before="240" w:after="80"/>
      </w:pPr>
      <w:r>
        <w:rPr>
          <w:rFonts w:ascii="Arial" w:hAnsi="Arial"/>
          <w:b/>
          <w:color w:val="2B548A"/>
          <w:sz w:val="24"/>
        </w:rPr>
        <w:t>3.9.1 Architectural Components</w:t>
      </w:r>
    </w:p>
    <w:p>
      <w:pPr>
        <w:spacing w:after="120" w:line="276" w:lineRule="auto"/>
      </w:pPr>
      <w:r>
        <w:rPr>
          <w:rFonts w:ascii="Arial" w:hAnsi="Arial"/>
          <w:sz w:val="20"/>
        </w:rPr>
        <w:t>The Vision Transformer branch incorporates an ImageNet-pretrained Swin-Tiny (swin_t) architecture (src/models/swin.py) to capture hierarchical spatial context: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Patch Partitioning: </w:t>
      </w:r>
      <w:r>
        <w:rPr>
          <w:rFonts w:ascii="Arial" w:hAnsi="Arial"/>
          <w:sz w:val="20"/>
        </w:rPr>
        <w:t>Input images (224 x 224 x 3) are partitioned into 4 x 4 pixel patches, yielding 56 x 56 = 3,136 initial patch tokens of dimension C_swin = 96.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Local Window Self-Attention (W-MSA): </w:t>
      </w:r>
      <w:r>
        <w:rPr>
          <w:rFonts w:ascii="Arial" w:hAnsi="Arial"/>
          <w:sz w:val="20"/>
        </w:rPr>
        <w:t>Self-attention is computed within local non-overlapping 7 x 7 token windows.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Shifted Window Self-Attention (SW-MSA): </w:t>
      </w:r>
      <w:r>
        <w:rPr>
          <w:rFonts w:ascii="Arial" w:hAnsi="Arial"/>
          <w:sz w:val="20"/>
        </w:rPr>
        <w:t>Alternate layers shift window partitions by (3, 3) tokens to enable cross-window feature modeling.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Patch Merging: </w:t>
      </w:r>
      <w:r>
        <w:rPr>
          <w:rFonts w:ascii="Arial" w:hAnsi="Arial"/>
          <w:sz w:val="20"/>
        </w:rPr>
        <w:t>Intermediate layers merge 2 x 2 neighbor token groups across four hierarchical stages (56x56, 28x28, 14x14, and 7x7).</w:t>
      </w:r>
    </w:p>
    <w:p>
      <w:pPr>
        <w:keepNext/>
        <w:spacing w:before="240" w:after="80"/>
      </w:pPr>
      <w:r>
        <w:rPr>
          <w:rFonts w:ascii="Arial" w:hAnsi="Arial"/>
          <w:b/>
          <w:color w:val="2B548A"/>
          <w:sz w:val="24"/>
        </w:rPr>
        <w:t>3.9.2 Branch Representation and Parameters</w:t>
      </w:r>
    </w:p>
    <w:p>
      <w:pPr>
        <w:spacing w:after="120" w:line="276" w:lineRule="auto"/>
      </w:pPr>
      <w:r>
        <w:rPr>
          <w:rFonts w:ascii="Arial" w:hAnsi="Arial"/>
          <w:sz w:val="20"/>
        </w:rPr>
        <w:t>Swin-Tiny outputs a 768-dimensional feature vector h_Swin in R^{B x 768} following final layer normalization:</w:t>
      </w:r>
    </w:p>
    <w:p>
      <w:pPr>
        <w:spacing w:before="80" w:after="120"/>
        <w:ind w:left="576"/>
      </w:pPr>
      <w:r>
        <w:rPr>
          <w:rFonts w:ascii="Cambria Math" w:hAnsi="Cambria Math"/>
          <w:i/>
          <w:sz w:val="21"/>
        </w:rPr>
        <w:t>h_Swin = SwinTiny_backbone(x)</w:t>
      </w:r>
    </w:p>
    <w:p>
      <w:pPr>
        <w:spacing w:after="120" w:line="276" w:lineRule="auto"/>
      </w:pPr>
      <w:r>
        <w:rPr>
          <w:rFonts w:ascii="Arial" w:hAnsi="Arial"/>
          <w:sz w:val="20"/>
        </w:rPr>
        <w:t>The standalone Swin-Tiny model (Config M2) contains 27,746,056 trainable parameters (~27.75M).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3.10 Mamba Selective State-Space Branch</w:t>
      </w:r>
    </w:p>
    <w:p>
      <w:pPr>
        <w:keepNext/>
        <w:spacing w:before="240" w:after="80"/>
      </w:pPr>
      <w:r>
        <w:rPr>
          <w:rFonts w:ascii="Arial" w:hAnsi="Arial"/>
          <w:b/>
          <w:color w:val="2B548A"/>
          <w:sz w:val="24"/>
        </w:rPr>
        <w:t>3.10.1 Image Patchification and Sequence Formulation</w:t>
      </w:r>
    </w:p>
    <w:p>
      <w:pPr>
        <w:spacing w:after="120" w:line="276" w:lineRule="auto"/>
      </w:pPr>
      <w:r>
        <w:rPr>
          <w:rFonts w:ascii="Arial" w:hAnsi="Arial"/>
          <w:sz w:val="20"/>
        </w:rPr>
        <w:t>The Mamba branch converts 2D spatial radiographs into 1D token sequences:</w:t>
      </w:r>
    </w:p>
    <w:p>
      <w:pPr>
        <w:spacing w:before="80" w:after="120"/>
        <w:ind w:left="576"/>
      </w:pPr>
      <w:r>
        <w:rPr>
          <w:rFonts w:ascii="Cambria Math" w:hAnsi="Cambria Math"/>
          <w:i/>
          <w:sz w:val="21"/>
        </w:rPr>
        <w:t>L = (224 / 32)^2 = 7 x 7 = 49 sequence tokens,   d_model = 128</w:t>
      </w:r>
    </w:p>
    <w:p>
      <w:pPr>
        <w:spacing w:after="120" w:line="276" w:lineRule="auto"/>
      </w:pPr>
      <w:r>
        <w:rPr>
          <w:rFonts w:ascii="Arial" w:hAnsi="Arial"/>
          <w:sz w:val="20"/>
        </w:rPr>
        <w:t>A learnable 1D spatial position embedding matrix E_pos in R^{1 x 49 x 128} is added element-wise to form initial sequence tensor X_0.</w:t>
      </w:r>
    </w:p>
    <w:p>
      <w:pPr>
        <w:keepNext/>
        <w:spacing w:before="240" w:after="80"/>
      </w:pPr>
      <w:r>
        <w:rPr>
          <w:rFonts w:ascii="Arial" w:hAnsi="Arial"/>
          <w:b/>
          <w:color w:val="2B548A"/>
          <w:sz w:val="24"/>
        </w:rPr>
        <w:t>3.10.2 Pure PyTorch Selective State-Space Block</w:t>
      </w:r>
    </w:p>
    <w:p>
      <w:pPr>
        <w:spacing w:after="120" w:line="276" w:lineRule="auto"/>
      </w:pPr>
      <w:r>
        <w:rPr>
          <w:rFonts w:ascii="Arial" w:hAnsi="Arial"/>
          <w:sz w:val="20"/>
        </w:rPr>
        <w:t>The token sequence is processed through N_blocks = 2 stacked Mamba blocks (PurePyTorchMambaBlock). Each block models sequence interactions via continuous-time state-space matrices (A, B, C, D) discretized by input-dependent step sizes Delta:</w:t>
      </w:r>
    </w:p>
    <w:p>
      <w:pPr>
        <w:spacing w:before="80" w:after="120"/>
        <w:ind w:left="576"/>
      </w:pPr>
      <w:r>
        <w:rPr>
          <w:rFonts w:ascii="Cambria Math" w:hAnsi="Cambria Math"/>
          <w:i/>
          <w:sz w:val="21"/>
        </w:rPr>
        <w:t>h_t = A_bar_t * h_{t-1} + B_bar_t * x_t,   y_t = C_t * h_t + D * x_t</w:t>
      </w:r>
      <w:r>
        <w:rPr>
          <w:rFonts w:ascii="Arial" w:hAnsi="Arial"/>
          <w:b/>
          <w:i w:val="0"/>
          <w:sz w:val="20"/>
        </w:rPr>
        <w:tab/>
        <w:tab/>
        <w:t>(7)</w:t>
      </w:r>
    </w:p>
    <w:p>
      <w:pPr>
        <w:spacing w:after="120" w:line="276" w:lineRule="auto"/>
      </w:pPr>
      <w:r>
        <w:rPr>
          <w:rFonts w:ascii="Arial" w:hAnsi="Arial"/>
          <w:sz w:val="20"/>
        </w:rPr>
        <w:t>Discretization uses Zero-Order Hold (ZOH): A_bar_t = exp(Delta_t * A), B_bar_t = (Delta_t * A)^{-1} (exp(Delta_t * A) - I) * (Delta_t * B_t). The selective mechanism parameterizes step sizes and matrices dynamically based on input sequence x_t.</w:t>
      </w:r>
    </w:p>
    <w:p>
      <w:pPr>
        <w:keepNext/>
        <w:spacing w:before="240" w:after="80"/>
      </w:pPr>
      <w:r>
        <w:rPr>
          <w:rFonts w:ascii="Arial" w:hAnsi="Arial"/>
          <w:b/>
          <w:color w:val="2B548A"/>
          <w:sz w:val="24"/>
        </w:rPr>
        <w:t>3.10.3 JIT-Compiled Selective Scan Recurrence</w:t>
      </w:r>
    </w:p>
    <w:p>
      <w:pPr>
        <w:spacing w:after="120" w:line="276" w:lineRule="auto"/>
      </w:pPr>
      <w:r>
        <w:rPr>
          <w:rFonts w:ascii="Arial" w:hAnsi="Arial"/>
          <w:sz w:val="20"/>
        </w:rPr>
        <w:t>To ensure high computational efficiency on desktop GPU hardware without requiring custom CUDA compilation extensions, the sequence scan loop is implemented using PyTorch TorchScript JIT compilation (@torch.jit.script in src/models/mamba.py). The selective recurrence incorporates numerical clamping ([-50.0, +50.0]) to ensure numerical stability during backpropagation. Following global mean pooling over sequence length L = 49, Mamba produces a 128-dimensional output vector h_Mamba in R^{B x 128}. The standalone Mamba model (Config M3) contains 661,060 trainable parameters (~0.66M).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3.11 Branch Feature Projection</w:t>
      </w:r>
    </w:p>
    <w:p>
      <w:pPr>
        <w:spacing w:after="120" w:line="276" w:lineRule="auto"/>
      </w:pPr>
      <w:r>
        <w:rPr>
          <w:rFonts w:ascii="Arial" w:hAnsi="Arial"/>
          <w:sz w:val="20"/>
        </w:rPr>
        <w:t>Because MobileNetV2 (1280D), Swin-Tiny (768D), and Mamba (128D) output feature vectors of different dimensionalities, each branch is mapped into a common D = 256-dimensional feature space using dedicated projection heads:</w:t>
      </w:r>
    </w:p>
    <w:p>
      <w:pPr>
        <w:spacing w:before="80" w:after="120"/>
        <w:ind w:left="576"/>
      </w:pPr>
      <w:r>
        <w:rPr>
          <w:rFonts w:ascii="Cambria Math" w:hAnsi="Cambria Math"/>
          <w:i/>
          <w:sz w:val="21"/>
        </w:rPr>
        <w:t>f_CNN = Dropout_{0.2}(GELU(LayerNorm(W_CNN * h_CNN + b_CNN))) in R^{B x 256}</w:t>
      </w:r>
      <w:r>
        <w:rPr>
          <w:rFonts w:ascii="Arial" w:hAnsi="Arial"/>
          <w:b/>
          <w:i w:val="0"/>
          <w:sz w:val="20"/>
        </w:rPr>
        <w:tab/>
        <w:tab/>
        <w:t>(8)</w:t>
      </w:r>
    </w:p>
    <w:p>
      <w:pPr>
        <w:spacing w:before="80" w:after="120"/>
        <w:ind w:left="576"/>
      </w:pPr>
      <w:r>
        <w:rPr>
          <w:rFonts w:ascii="Cambria Math" w:hAnsi="Cambria Math"/>
          <w:i/>
          <w:sz w:val="21"/>
        </w:rPr>
        <w:t>f_Swin = Dropout_{0.2}(GELU(LayerNorm(W_Swin * h_Swin + b_Swin))) in R^{B x 256}</w:t>
      </w:r>
      <w:r>
        <w:rPr>
          <w:rFonts w:ascii="Arial" w:hAnsi="Arial"/>
          <w:b/>
          <w:i w:val="0"/>
          <w:sz w:val="20"/>
        </w:rPr>
        <w:tab/>
        <w:tab/>
        <w:t>(9)</w:t>
      </w:r>
    </w:p>
    <w:p>
      <w:pPr>
        <w:spacing w:before="80" w:after="120"/>
        <w:ind w:left="576"/>
      </w:pPr>
      <w:r>
        <w:rPr>
          <w:rFonts w:ascii="Cambria Math" w:hAnsi="Cambria Math"/>
          <w:i/>
          <w:sz w:val="21"/>
        </w:rPr>
        <w:t>f_Mamba = Dropout_{0.2}(GELU(LayerNorm(W_Mamba * h_Mamba + b_Mamba))) in R^{B x 256}</w:t>
      </w:r>
      <w:r>
        <w:rPr>
          <w:rFonts w:ascii="Arial" w:hAnsi="Arial"/>
          <w:b/>
          <w:i w:val="0"/>
          <w:sz w:val="20"/>
        </w:rPr>
        <w:tab/>
        <w:tab/>
        <w:t>(10)</w:t>
      </w:r>
    </w:p>
    <w:p>
      <w:pPr>
        <w:spacing w:after="120" w:line="276" w:lineRule="auto"/>
      </w:pPr>
      <w:r>
        <w:rPr>
          <w:rFonts w:ascii="Arial" w:hAnsi="Arial"/>
          <w:sz w:val="20"/>
        </w:rPr>
        <w:t>The projected branch feature vectors are stacked along a new branch axis to form multi-branch feature tensor F in R^{B x 3 x 256}.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3.12 Adaptive Softmax Branch Attention</w:t>
      </w:r>
    </w:p>
    <w:p>
      <w:pPr>
        <w:keepNext/>
        <w:spacing w:before="240" w:after="80"/>
      </w:pPr>
      <w:r>
        <w:rPr>
          <w:rFonts w:ascii="Arial" w:hAnsi="Arial"/>
          <w:b/>
          <w:color w:val="2B548A"/>
          <w:sz w:val="24"/>
        </w:rPr>
        <w:t>3.12.1 Attention Score Generation</w:t>
      </w:r>
    </w:p>
    <w:p>
      <w:pPr>
        <w:spacing w:after="120" w:line="276" w:lineRule="auto"/>
      </w:pPr>
      <w:r>
        <w:rPr>
          <w:rFonts w:ascii="Arial" w:hAnsi="Arial"/>
          <w:sz w:val="20"/>
        </w:rPr>
        <w:t>For each projected feature vector f_k in R^{256} (k in {CNN, Swin, Mamba}), an unnormalized scalar attention score e_k is computed by a two-layer MLP:</w:t>
      </w:r>
    </w:p>
    <w:p>
      <w:pPr>
        <w:spacing w:before="80" w:after="120"/>
        <w:ind w:left="576"/>
      </w:pPr>
      <w:r>
        <w:rPr>
          <w:rFonts w:ascii="Cambria Math" w:hAnsi="Cambria Math"/>
          <w:i/>
          <w:sz w:val="21"/>
        </w:rPr>
        <w:t>e_k = g(f_k) = W_2 * Tanh(W_1 * f_k + b_1) + b_2</w:t>
      </w:r>
      <w:r>
        <w:rPr>
          <w:rFonts w:ascii="Arial" w:hAnsi="Arial"/>
          <w:b/>
          <w:i w:val="0"/>
          <w:sz w:val="20"/>
        </w:rPr>
        <w:tab/>
        <w:tab/>
        <w:t>(11)</w:t>
      </w:r>
    </w:p>
    <w:p>
      <w:pPr>
        <w:spacing w:after="120" w:line="276" w:lineRule="auto"/>
      </w:pPr>
      <w:r>
        <w:rPr>
          <w:rFonts w:ascii="Arial" w:hAnsi="Arial"/>
          <w:sz w:val="20"/>
        </w:rPr>
        <w:t>where W_1 in R^{64 x 256}, b_1 in R^{64}, W_2 in R^{1 x 64}, and b_2 in R^{1}.</w:t>
      </w:r>
    </w:p>
    <w:p>
      <w:pPr>
        <w:keepNext/>
        <w:spacing w:before="240" w:after="80"/>
      </w:pPr>
      <w:r>
        <w:rPr>
          <w:rFonts w:ascii="Arial" w:hAnsi="Arial"/>
          <w:b/>
          <w:color w:val="2B548A"/>
          <w:sz w:val="24"/>
        </w:rPr>
        <w:t>3.12.2 Softmax Normalization</w:t>
      </w:r>
    </w:p>
    <w:p>
      <w:pPr>
        <w:spacing w:after="120" w:line="276" w:lineRule="auto"/>
      </w:pPr>
      <w:r>
        <w:rPr>
          <w:rFonts w:ascii="Arial" w:hAnsi="Arial"/>
          <w:sz w:val="20"/>
        </w:rPr>
        <w:t>The scalar scores e_k are normalized across the three branches using the Softmax function along the branch dimension:</w:t>
      </w:r>
    </w:p>
    <w:p>
      <w:pPr>
        <w:spacing w:before="80" w:after="120"/>
        <w:ind w:left="576"/>
      </w:pPr>
      <w:r>
        <w:rPr>
          <w:rFonts w:ascii="Cambria Math" w:hAnsi="Cambria Math"/>
          <w:i/>
          <w:sz w:val="21"/>
        </w:rPr>
        <w:t>alpha_k = exp(e_k) / sum_{j in {CNN, Swin, Mamba}} exp(e_j)</w:t>
      </w:r>
      <w:r>
        <w:rPr>
          <w:rFonts w:ascii="Arial" w:hAnsi="Arial"/>
          <w:b/>
          <w:i w:val="0"/>
          <w:sz w:val="20"/>
        </w:rPr>
        <w:tab/>
        <w:tab/>
        <w:t>(12)</w:t>
      </w:r>
    </w:p>
    <w:p>
      <w:pPr>
        <w:spacing w:after="120" w:line="276" w:lineRule="auto"/>
      </w:pPr>
      <w:r>
        <w:rPr>
          <w:rFonts w:ascii="Arial" w:hAnsi="Arial"/>
          <w:sz w:val="20"/>
        </w:rPr>
        <w:t>This enforces non-negativity (alpha_k &gt;= 0) and unity sum (sum_k alpha_k = 1.0). The vector alpha = [alpha_CNN, alpha_Swin, alpha_Mamba]^T in R^{3 x 1} represents sample-specific learned branch contribution weights.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3.13 Attention-Based Feature Fusion</w:t>
      </w:r>
    </w:p>
    <w:p>
      <w:pPr>
        <w:spacing w:after="120" w:line="276" w:lineRule="auto"/>
      </w:pPr>
      <w:r>
        <w:rPr>
          <w:rFonts w:ascii="Arial" w:hAnsi="Arial"/>
          <w:sz w:val="20"/>
        </w:rPr>
        <w:t>The final fused feature representation f_fused in R^{B x 256} is computed as the attention-weighted linear sum of the projected branch feature vectors:</w:t>
      </w:r>
    </w:p>
    <w:p>
      <w:pPr>
        <w:spacing w:before="80" w:after="120"/>
        <w:ind w:left="576"/>
      </w:pPr>
      <w:r>
        <w:rPr>
          <w:rFonts w:ascii="Cambria Math" w:hAnsi="Cambria Math"/>
          <w:i/>
          <w:sz w:val="21"/>
        </w:rPr>
        <w:t>f_fused = sum_{k in {CNN, Swin, Mamba}} alpha_k * f_k = alpha_CNN * f_CNN + alpha_Swin * f_Swin + alpha_Mamba * f_Mamba</w:t>
      </w:r>
      <w:r>
        <w:rPr>
          <w:rFonts w:ascii="Arial" w:hAnsi="Arial"/>
          <w:b/>
          <w:i w:val="0"/>
          <w:sz w:val="20"/>
        </w:rPr>
        <w:tab/>
        <w:tab/>
        <w:t>(13)</w:t>
      </w:r>
    </w:p>
    <w:p>
      <w:pPr>
        <w:keepNext/>
        <w:spacing w:before="240" w:after="80"/>
      </w:pPr>
      <w:r>
        <w:rPr>
          <w:rFonts w:ascii="Arial" w:hAnsi="Arial"/>
          <w:b/>
          <w:color w:val="2B548A"/>
          <w:sz w:val="24"/>
        </w:rPr>
        <w:t>3.13.1 Fixed vs. Adaptive Fusion Formulation</w:t>
      </w:r>
    </w:p>
    <w:p>
      <w:pPr>
        <w:spacing w:after="120" w:line="276" w:lineRule="auto"/>
      </w:pPr>
      <w:r>
        <w:rPr>
          <w:rFonts w:ascii="Arial" w:hAnsi="Arial"/>
          <w:sz w:val="20"/>
        </w:rPr>
        <w:t>The fusion mechanism supports two operational modes: Fixed Uniform Fusion (alpha_CNN = alpha_Swin = alpha_Mamba = 1/3) and Adaptive Attention Fusion (dynamic sample-specific weights alpha_k(x)).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3.14 Feature Refinement and Classification Head</w:t>
      </w:r>
    </w:p>
    <w:p>
      <w:pPr>
        <w:spacing w:after="120" w:line="276" w:lineRule="auto"/>
      </w:pPr>
      <w:r>
        <w:rPr>
          <w:rFonts w:ascii="Arial" w:hAnsi="Arial"/>
          <w:sz w:val="20"/>
        </w:rPr>
        <w:t>The fused feature vector f_fused in R^{B x 256} is passed to a feature refinement and classification MLP head to generate binary class logits z in R^{B x 2}:</w:t>
      </w:r>
    </w:p>
    <w:p>
      <w:pPr>
        <w:spacing w:before="80" w:after="120"/>
        <w:ind w:left="576"/>
      </w:pPr>
      <w:r>
        <w:rPr>
          <w:rFonts w:ascii="Cambria Math" w:hAnsi="Cambria Math"/>
          <w:i/>
          <w:sz w:val="21"/>
        </w:rPr>
        <w:t>h_refine = Dropout_{0.2}(GELU(LayerNorm(W_refine * f_fused + b_refine))) in R^{B x 128}</w:t>
      </w:r>
    </w:p>
    <w:p>
      <w:pPr>
        <w:spacing w:before="80" w:after="120"/>
        <w:ind w:left="576"/>
      </w:pPr>
      <w:r>
        <w:rPr>
          <w:rFonts w:ascii="Cambria Math" w:hAnsi="Cambria Math"/>
          <w:i/>
          <w:sz w:val="21"/>
        </w:rPr>
        <w:t>z = W_cls * h_refine + b_cls in R^{B x 2}</w:t>
      </w:r>
      <w:r>
        <w:rPr>
          <w:rFonts w:ascii="Arial" w:hAnsi="Arial"/>
          <w:b/>
          <w:i w:val="0"/>
          <w:sz w:val="20"/>
        </w:rPr>
        <w:tab/>
        <w:tab/>
        <w:t>(14)</w:t>
      </w:r>
    </w:p>
    <w:p>
      <w:pPr>
        <w:spacing w:after="120" w:line="276" w:lineRule="auto"/>
      </w:pPr>
      <w:r>
        <w:rPr>
          <w:rFonts w:ascii="Arial" w:hAnsi="Arial"/>
          <w:sz w:val="20"/>
        </w:rPr>
        <w:t>Predicted class probabilities are obtained via Softmax activation: p(y=k | x) = exp(z_k) / (exp(z_0) + exp(z_1)).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3.15 Standalone Baseline Models</w:t>
      </w:r>
    </w:p>
    <w:p>
      <w:pPr>
        <w:spacing w:after="120" w:line="276" w:lineRule="auto"/>
      </w:pPr>
      <w:r>
        <w:rPr>
          <w:rFonts w:ascii="Arial" w:hAnsi="Arial"/>
          <w:sz w:val="20"/>
        </w:rPr>
        <w:t>Three standalone baseline models were trained independently on the derived_clean training set: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Config M1 (MobileNetV2 Standalone): </w:t>
      </w:r>
      <w:r>
        <w:rPr>
          <w:rFonts w:ascii="Arial" w:hAnsi="Arial"/>
          <w:sz w:val="20"/>
        </w:rPr>
        <w:t>MobileNetV2 backbone + 256D projection + classifier (2,549,442 trainable parameters).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Config M2 (Swin-Tiny Standalone): </w:t>
      </w:r>
      <w:r>
        <w:rPr>
          <w:rFonts w:ascii="Arial" w:hAnsi="Arial"/>
          <w:sz w:val="20"/>
        </w:rPr>
        <w:t>Swin-Tiny backbone + 256D projection + classifier (27,746,056 trainable parameters).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sz w:val="20"/>
        </w:rPr>
        <w:t xml:space="preserve">Config M3 (Mamba Standalone): </w:t>
      </w:r>
      <w:r>
        <w:rPr>
          <w:rFonts w:ascii="Arial" w:hAnsi="Arial"/>
          <w:sz w:val="20"/>
        </w:rPr>
        <w:t>2-block Mamba SSM backbone + 256D projection + classifier (661,060 trainable parameters).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3.16 Frozen Attention Fusion Training</w:t>
      </w:r>
    </w:p>
    <w:p>
      <w:pPr>
        <w:keepNext/>
        <w:spacing w:before="240" w:after="80"/>
      </w:pPr>
      <w:r>
        <w:rPr>
          <w:rFonts w:ascii="Arial" w:hAnsi="Arial"/>
          <w:b/>
          <w:color w:val="2B548A"/>
          <w:sz w:val="24"/>
        </w:rPr>
        <w:t>3.16.1 Freezing Protocol</w:t>
      </w:r>
    </w:p>
    <w:p>
      <w:pPr>
        <w:spacing w:after="120" w:line="276" w:lineRule="auto"/>
      </w:pPr>
      <w:r>
        <w:rPr>
          <w:rFonts w:ascii="Arial" w:hAnsi="Arial"/>
          <w:sz w:val="20"/>
        </w:rPr>
        <w:t>In Config M4 (Attention Fusion), backbone weights are loaded from best standalone checkpoints and frozen (partial_L / partial_theta_backbones = 0). Frozen backbone layers are maintained in evaluation mode (eval()) to preserve normalization and dropout statistics.</w:t>
      </w:r>
    </w:p>
    <w:p>
      <w:pPr>
        <w:keepNext/>
        <w:spacing w:before="240" w:after="80"/>
      </w:pPr>
      <w:r>
        <w:rPr>
          <w:rFonts w:ascii="Arial" w:hAnsi="Arial"/>
          <w:b/>
          <w:color w:val="2B548A"/>
          <w:sz w:val="24"/>
        </w:rPr>
        <w:t>3.16.2 Pre-Extracted Feature Cache Optimization</w:t>
      </w:r>
    </w:p>
    <w:p>
      <w:pPr>
        <w:spacing w:after="120" w:line="276" w:lineRule="auto"/>
      </w:pPr>
      <w:r>
        <w:rPr>
          <w:rFonts w:ascii="Arial" w:hAnsi="Arial"/>
          <w:sz w:val="20"/>
        </w:rPr>
        <w:t>Feature vectors f_CNN, f_Swin, f_Mamba in R^{256} are pre-extracted across training and validation sets in a single pass. Fusion training is executed directly on cached feature tensors (N, 3, 256), reducing training epoch latency to &lt;0.5 seconds while optimizing only 49,923 trainable fusion parameters.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3.17 End-to-End Hybrid Optimization</w:t>
      </w:r>
    </w:p>
    <w:p>
      <w:pPr>
        <w:keepNext/>
        <w:spacing w:before="240" w:after="80"/>
      </w:pPr>
      <w:r>
        <w:rPr>
          <w:rFonts w:ascii="Arial" w:hAnsi="Arial"/>
          <w:b/>
          <w:color w:val="2B548A"/>
          <w:sz w:val="24"/>
        </w:rPr>
        <w:t>3.17.1 Differential Learning Rate Allocation</w:t>
      </w:r>
    </w:p>
    <w:p>
      <w:pPr>
        <w:spacing w:after="120" w:line="276" w:lineRule="auto"/>
      </w:pPr>
      <w:r>
        <w:rPr>
          <w:rFonts w:ascii="Arial" w:hAnsi="Arial"/>
          <w:sz w:val="20"/>
        </w:rPr>
        <w:t>In Config M5 (End-to-End Hybrid), all components are jointly optimized using differential learning rates: backbone parameters (eta_backbone = 2e-5) and fusion/classifier parameters (eta_head = 1e-4).</w:t>
      </w:r>
    </w:p>
    <w:p>
      <w:pPr>
        <w:keepNext/>
        <w:spacing w:before="240" w:after="80"/>
      </w:pPr>
      <w:r>
        <w:rPr>
          <w:rFonts w:ascii="Arial" w:hAnsi="Arial"/>
          <w:b/>
          <w:color w:val="2B548A"/>
          <w:sz w:val="24"/>
        </w:rPr>
        <w:t>3.17.2 Parameter Accounting</w:t>
      </w:r>
    </w:p>
    <w:p>
      <w:pPr>
        <w:spacing w:after="120" w:line="276" w:lineRule="auto"/>
      </w:pPr>
      <w:r>
        <w:rPr>
          <w:rFonts w:ascii="Arial" w:hAnsi="Arial"/>
          <w:sz w:val="20"/>
        </w:rPr>
        <w:t>The total parameter count for the Next-Gen MobileNetV2 End-to-End Hybrid architecture is 31,044,037 parameters (~31.04M), with 100% of parameters actively updated during joint optimization.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3.18 Optimization and Training Configuration</w:t>
      </w:r>
    </w:p>
    <w:p>
      <w:pPr>
        <w:spacing w:after="120" w:line="276" w:lineRule="auto"/>
      </w:pPr>
      <w:r>
        <w:rPr>
          <w:rFonts w:ascii="Arial" w:hAnsi="Arial"/>
          <w:sz w:val="20"/>
        </w:rPr>
        <w:t>Models were optimized using AdamW (beta1=0.9, beta2=0.999, weight decay lambda = 1e-4) and Cross-Entropy loss with label smoothing epsilon = 0.05. Learning rates were adjusted using a Cosine Annealing scheduler (eta_min = 1e-6) with Automatic Mixed Precision (AMP FP16). Table 2 summarizes settings across configurations.</w:t>
      </w:r>
    </w:p>
    <w:p>
      <w:pPr>
        <w:spacing w:before="160" w:after="80"/>
      </w:pPr>
      <w:r>
        <w:rPr>
          <w:b/>
          <w:sz w:val="19"/>
        </w:rPr>
        <w:t>Table 2: Training Configurations and Optimization Hyperparameters across Model Configurations.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Setting / Parameter</w:t>
            </w:r>
          </w:p>
        </w:tc>
        <w:tc>
          <w:tcPr>
            <w:tcW w:type="dxa" w:w="168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 M1 (MNv2)</w:t>
            </w:r>
          </w:p>
        </w:tc>
        <w:tc>
          <w:tcPr>
            <w:tcW w:type="dxa" w:w="168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 M2 (Swin)</w:t>
            </w:r>
          </w:p>
        </w:tc>
        <w:tc>
          <w:tcPr>
            <w:tcW w:type="dxa" w:w="168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 M3 (Mamba)</w:t>
            </w:r>
          </w:p>
        </w:tc>
        <w:tc>
          <w:tcPr>
            <w:tcW w:type="dxa" w:w="168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 M4 (Fusion)</w:t>
            </w:r>
          </w:p>
        </w:tc>
        <w:tc>
          <w:tcPr>
            <w:tcW w:type="dxa" w:w="168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 M5 (Hybrid)</w:t>
            </w:r>
          </w:p>
        </w:tc>
      </w:tr>
      <w:tr>
        <w:tc>
          <w:tcPr>
            <w:tcW w:type="dxa" w:w="168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Backbone Optimizer</w:t>
            </w:r>
          </w:p>
        </w:tc>
        <w:tc>
          <w:tcPr>
            <w:tcW w:type="dxa" w:w="168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AdamW</w:t>
            </w:r>
          </w:p>
        </w:tc>
        <w:tc>
          <w:tcPr>
            <w:tcW w:type="dxa" w:w="168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AdamW</w:t>
            </w:r>
          </w:p>
        </w:tc>
        <w:tc>
          <w:tcPr>
            <w:tcW w:type="dxa" w:w="168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AdamW</w:t>
            </w:r>
          </w:p>
        </w:tc>
        <w:tc>
          <w:tcPr>
            <w:tcW w:type="dxa" w:w="168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Frozen (LR=0)</w:t>
            </w:r>
          </w:p>
        </w:tc>
        <w:tc>
          <w:tcPr>
            <w:tcW w:type="dxa" w:w="168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AdamW (LR=2e-5)</w:t>
            </w:r>
          </w:p>
        </w:tc>
      </w:tr>
      <w:tr>
        <w:tc>
          <w:tcPr>
            <w:tcW w:type="dxa" w:w="16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Fusion/Head LR</w:t>
            </w:r>
          </w:p>
        </w:tc>
        <w:tc>
          <w:tcPr>
            <w:tcW w:type="dxa" w:w="16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1e-3</w:t>
            </w:r>
          </w:p>
        </w:tc>
        <w:tc>
          <w:tcPr>
            <w:tcW w:type="dxa" w:w="16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5e-4</w:t>
            </w:r>
          </w:p>
        </w:tc>
        <w:tc>
          <w:tcPr>
            <w:tcW w:type="dxa" w:w="16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1e-3</w:t>
            </w:r>
          </w:p>
        </w:tc>
        <w:tc>
          <w:tcPr>
            <w:tcW w:type="dxa" w:w="16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5e-4</w:t>
            </w:r>
          </w:p>
        </w:tc>
        <w:tc>
          <w:tcPr>
            <w:tcW w:type="dxa" w:w="16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1e-4</w:t>
            </w:r>
          </w:p>
        </w:tc>
      </w:tr>
      <w:tr>
        <w:tc>
          <w:tcPr>
            <w:tcW w:type="dxa" w:w="168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Weight Decay (lambda)</w:t>
            </w:r>
          </w:p>
        </w:tc>
        <w:tc>
          <w:tcPr>
            <w:tcW w:type="dxa" w:w="168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1e-4</w:t>
            </w:r>
          </w:p>
        </w:tc>
        <w:tc>
          <w:tcPr>
            <w:tcW w:type="dxa" w:w="168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1e-4</w:t>
            </w:r>
          </w:p>
        </w:tc>
        <w:tc>
          <w:tcPr>
            <w:tcW w:type="dxa" w:w="168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1e-4</w:t>
            </w:r>
          </w:p>
        </w:tc>
        <w:tc>
          <w:tcPr>
            <w:tcW w:type="dxa" w:w="168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1e-4</w:t>
            </w:r>
          </w:p>
        </w:tc>
        <w:tc>
          <w:tcPr>
            <w:tcW w:type="dxa" w:w="168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1e-4</w:t>
            </w:r>
          </w:p>
        </w:tc>
      </w:tr>
      <w:tr>
        <w:tc>
          <w:tcPr>
            <w:tcW w:type="dxa" w:w="16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Label Smoothing (epsilon)</w:t>
            </w:r>
          </w:p>
        </w:tc>
        <w:tc>
          <w:tcPr>
            <w:tcW w:type="dxa" w:w="16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0.05</w:t>
            </w:r>
          </w:p>
        </w:tc>
        <w:tc>
          <w:tcPr>
            <w:tcW w:type="dxa" w:w="16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0.05</w:t>
            </w:r>
          </w:p>
        </w:tc>
        <w:tc>
          <w:tcPr>
            <w:tcW w:type="dxa" w:w="16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0.05</w:t>
            </w:r>
          </w:p>
        </w:tc>
        <w:tc>
          <w:tcPr>
            <w:tcW w:type="dxa" w:w="16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0.05</w:t>
            </w:r>
          </w:p>
        </w:tc>
        <w:tc>
          <w:tcPr>
            <w:tcW w:type="dxa" w:w="16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0.05</w:t>
            </w:r>
          </w:p>
        </w:tc>
      </w:tr>
      <w:tr>
        <w:tc>
          <w:tcPr>
            <w:tcW w:type="dxa" w:w="168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Batch Size</w:t>
            </w:r>
          </w:p>
        </w:tc>
        <w:tc>
          <w:tcPr>
            <w:tcW w:type="dxa" w:w="168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68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68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68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168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</w:tr>
      <w:tr>
        <w:tc>
          <w:tcPr>
            <w:tcW w:type="dxa" w:w="16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Max Epochs</w:t>
            </w:r>
          </w:p>
        </w:tc>
        <w:tc>
          <w:tcPr>
            <w:tcW w:type="dxa" w:w="16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16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16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16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16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</w:tr>
      <w:tr>
        <w:tc>
          <w:tcPr>
            <w:tcW w:type="dxa" w:w="168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Early Stop Patience</w:t>
            </w:r>
          </w:p>
        </w:tc>
        <w:tc>
          <w:tcPr>
            <w:tcW w:type="dxa" w:w="168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68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68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68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680"/>
            <w:shd w:fill="F9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</w:tr>
      <w:tr>
        <w:tc>
          <w:tcPr>
            <w:tcW w:type="dxa" w:w="16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Precision Mode</w:t>
            </w:r>
          </w:p>
        </w:tc>
        <w:tc>
          <w:tcPr>
            <w:tcW w:type="dxa" w:w="16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AMP (FP16)</w:t>
            </w:r>
          </w:p>
        </w:tc>
        <w:tc>
          <w:tcPr>
            <w:tcW w:type="dxa" w:w="16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AMP (FP16)</w:t>
            </w:r>
          </w:p>
        </w:tc>
        <w:tc>
          <w:tcPr>
            <w:tcW w:type="dxa" w:w="16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FP32</w:t>
            </w:r>
          </w:p>
        </w:tc>
        <w:tc>
          <w:tcPr>
            <w:tcW w:type="dxa" w:w="16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FP32 (Cached)</w:t>
            </w:r>
          </w:p>
        </w:tc>
        <w:tc>
          <w:tcPr>
            <w:tcW w:type="dxa" w:w="16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AMP (FP16)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3.19 Validation-Based Checkpoint Selection and Early Stopping</w:t>
      </w:r>
    </w:p>
    <w:p>
      <w:pPr>
        <w:spacing w:after="120" w:line="276" w:lineRule="auto"/>
      </w:pPr>
      <w:r>
        <w:rPr>
          <w:rFonts w:ascii="Arial" w:hAnsi="Arial"/>
          <w:sz w:val="20"/>
        </w:rPr>
        <w:t>Model selection was monitored on validation accuracy (Acc_val). A checkpoint was saved whenever validation accuracy reached a new maximum. Training terminated if no improvement occurred after P = 3 consecutive epochs (Early Stopping). Upon termination, model weights were restored to the best validation checkpoint state.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3.20 Locked Test Evaluation</w:t>
      </w:r>
    </w:p>
    <w:p>
      <w:pPr>
        <w:spacing w:after="120" w:line="276" w:lineRule="auto"/>
      </w:pPr>
      <w:r>
        <w:rPr>
          <w:rFonts w:ascii="Arial" w:hAnsi="Arial"/>
          <w:sz w:val="20"/>
        </w:rPr>
        <w:t>Following checkpoint selection, model parameters and decision rules were permanently locked. The untouched 695-sample test set was evaluated in a single pass with fixed default decision threshold p_thresh = 0.50 without any post-hoc threshold tuning or hyperparameter adjustment.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3.21 Computational and Inference Measurement</w:t>
      </w:r>
    </w:p>
    <w:p>
      <w:pPr>
        <w:spacing w:after="120" w:line="276" w:lineRule="auto"/>
      </w:pPr>
      <w:r>
        <w:rPr>
          <w:rFonts w:ascii="Arial" w:hAnsi="Arial"/>
          <w:sz w:val="20"/>
        </w:rPr>
        <w:t>Benchmarking was conducted on an NVIDIA GeForce RTX 3050 6GB Laptop GPU. Evaluated metrics included parameter counts (numel()), mean single-sample inference latency (ms/image), throughput (images/sec), and peak VRAM allocation (torch.cuda.max_memory_allocated()).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3.22 Controlled Ablation Methodology</w:t>
      </w:r>
    </w:p>
    <w:p>
      <w:pPr>
        <w:keepNext/>
        <w:spacing w:before="240" w:after="80"/>
      </w:pPr>
      <w:r>
        <w:rPr>
          <w:rFonts w:ascii="Arial" w:hAnsi="Arial"/>
          <w:b/>
          <w:color w:val="2B548A"/>
          <w:sz w:val="24"/>
        </w:rPr>
        <w:t>3.22.1 Contextual Distinction of Historical Ablation Evidence</w:t>
      </w:r>
    </w:p>
    <w:p>
      <w:pPr>
        <w:spacing w:after="120" w:line="276" w:lineRule="auto"/>
      </w:pPr>
      <w:r>
        <w:rPr>
          <w:rFonts w:ascii="Arial" w:hAnsi="Arial"/>
          <w:sz w:val="20"/>
        </w:rPr>
        <w:t>Historical Phase 9 ablations reported in project documentation were conducted on the legacy ResNet-18 hybrid baseline (~39.74M parameters) to establish architectural proof of concept. These historical ablation results are strictly distinguished from the Next-Gen MobileNetV2 system (~31.04M parameters).</w:t>
      </w:r>
    </w:p>
    <w:p>
      <w:pPr>
        <w:keepNext/>
        <w:spacing w:before="240" w:after="80"/>
      </w:pPr>
      <w:r>
        <w:rPr>
          <w:rFonts w:ascii="Arial" w:hAnsi="Arial"/>
          <w:b/>
          <w:color w:val="2B548A"/>
          <w:sz w:val="24"/>
        </w:rPr>
        <w:t>3.22.2 Ablation Experimental Variants</w:t>
      </w:r>
    </w:p>
    <w:p>
      <w:pPr>
        <w:spacing w:after="120" w:line="276" w:lineRule="auto"/>
      </w:pPr>
      <w:r>
        <w:rPr>
          <w:rFonts w:ascii="Arial" w:hAnsi="Arial"/>
          <w:sz w:val="20"/>
        </w:rPr>
        <w:t>Ablations evaluated fusion mode variations (Adaptive Attention vs. Fixed Equal Weighting 1/3) and branch-masking variants (setting f_CNN = 0, f_Mamba = 0, or f_Swin = 0 at inference time) on untouched test data.</w:t>
      </w:r>
    </w:p>
    <w:p>
      <w:pPr>
        <w:keepNext/>
        <w:spacing w:before="240" w:after="80"/>
      </w:pPr>
      <w:r>
        <w:rPr>
          <w:rFonts w:ascii="Arial" w:hAnsi="Arial"/>
          <w:b/>
          <w:color w:val="2B548A"/>
          <w:sz w:val="24"/>
        </w:rPr>
        <w:t>3.22.3 Probability-Differentiation Audit</w:t>
      </w:r>
    </w:p>
    <w:p>
      <w:pPr>
        <w:spacing w:after="120" w:line="276" w:lineRule="auto"/>
      </w:pPr>
      <w:r>
        <w:rPr>
          <w:rFonts w:ascii="Arial" w:hAnsi="Arial"/>
          <w:sz w:val="20"/>
        </w:rPr>
        <w:t>A probability-differentiation audit verified that non-zero KL divergence and probability shifts occurred across masked variants, confirming active model computation.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28"/>
        </w:rPr>
        <w:t>3.23 Reproducibility and Implementation Details</w:t>
      </w:r>
    </w:p>
    <w:p>
      <w:pPr>
        <w:spacing w:after="120" w:line="276" w:lineRule="auto"/>
      </w:pPr>
      <w:r>
        <w:rPr>
          <w:rFonts w:ascii="Arial" w:hAnsi="Arial"/>
          <w:sz w:val="20"/>
        </w:rPr>
        <w:t>The global random seed was fixed to 42 across Python, NumPy, PyTorch CPU, and PyTorch CUDA modules. PyTorch CUDNN backends were configured for deterministic operation (torch.backends.cudnn.deterministic = True). All model checkpoints, execution histories, confusion matrices, and metrics JSON packages are archived for complete scientific auditability.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color w:val="1B365D"/>
                <w:sz w:val="20"/>
              </w:rPr>
              <w:t>REPRODUCIBILITY &amp; ARTIFACT VERIFICATION NOTICE</w:t>
              <w:br/>
            </w:r>
            <w:r>
              <w:rPr>
                <w:rFonts w:ascii="Arial" w:hAnsi="Arial"/>
                <w:color w:val="222222"/>
                <w:sz w:val="19"/>
              </w:rPr>
              <w:t>The complete experimental pipeline, derived_clean dataset partitions, training logs, checkpoint weights, and evaluation artifacts are locked and fully reproducible under global seed 42 in the project repository.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