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9EB3D" w14:textId="139D915E" w:rsidR="004567AA" w:rsidRDefault="00D05A22" w:rsidP="00066EF2">
      <w:pPr>
        <w:jc w:val="left"/>
        <w:rPr>
          <w:i/>
          <w:iCs/>
        </w:rPr>
      </w:pPr>
      <w:bookmarkStart w:id="0" w:name="_Hlk180398215"/>
      <w:bookmarkEnd w:id="0"/>
      <w:r>
        <w:rPr>
          <w:sz w:val="30"/>
          <w:szCs w:val="30"/>
        </w:rPr>
        <w:t xml:space="preserve">Evaluation of </w:t>
      </w:r>
      <w:r w:rsidR="002065BE" w:rsidRPr="00972DBF">
        <w:rPr>
          <w:sz w:val="30"/>
          <w:szCs w:val="30"/>
        </w:rPr>
        <w:t>Global Corn Price</w:t>
      </w:r>
      <w:r>
        <w:rPr>
          <w:sz w:val="30"/>
          <w:szCs w:val="30"/>
        </w:rPr>
        <w:t xml:space="preserve"> Forecasting Models</w:t>
      </w:r>
      <w:r w:rsidR="004567AA">
        <w:rPr>
          <w:sz w:val="30"/>
          <w:szCs w:val="30"/>
        </w:rPr>
        <w:br/>
      </w:r>
      <w:r w:rsidR="00972DBF" w:rsidRPr="004567AA">
        <w:rPr>
          <w:sz w:val="24"/>
          <w:szCs w:val="24"/>
        </w:rPr>
        <w:t>Callum Barr</w:t>
      </w:r>
      <w:r w:rsidR="004567AA">
        <w:br/>
      </w:r>
      <w:r w:rsidR="004567AA" w:rsidRPr="004567AA">
        <w:rPr>
          <w:i/>
          <w:iCs/>
        </w:rPr>
        <w:t>School of Accounting, Finance and Economics, University of Waikato</w:t>
      </w:r>
    </w:p>
    <w:p w14:paraId="26991C65" w14:textId="77777777" w:rsidR="006758E0" w:rsidRDefault="004567AA" w:rsidP="006758E0">
      <w:pPr>
        <w:pStyle w:val="Heading1"/>
      </w:pPr>
      <w:r>
        <w:t xml:space="preserve">Motivation and </w:t>
      </w:r>
      <w:r w:rsidR="006758E0">
        <w:t>research design</w:t>
      </w:r>
    </w:p>
    <w:p w14:paraId="2B3BB2B3" w14:textId="715EEC12" w:rsidR="00404D76" w:rsidRDefault="00CE72AB" w:rsidP="00066EF2">
      <w:r>
        <w:br/>
      </w:r>
      <w:r w:rsidR="00AC6FCE">
        <w:t xml:space="preserve">Corn is an important agricultural commodity traded </w:t>
      </w:r>
      <w:r w:rsidR="00266293">
        <w:t>worldwide</w:t>
      </w:r>
      <w:r w:rsidR="002D5BA7">
        <w:t xml:space="preserve"> </w:t>
      </w:r>
      <w:r w:rsidR="0004387B">
        <w:t xml:space="preserve">as it </w:t>
      </w:r>
      <w:r w:rsidR="0091063C">
        <w:t>is used in a</w:t>
      </w:r>
      <w:r w:rsidR="002D5BA7">
        <w:t xml:space="preserve"> range of industries.</w:t>
      </w:r>
      <w:r w:rsidR="00D16888">
        <w:t xml:space="preserve"> </w:t>
      </w:r>
      <w:r w:rsidR="00A55C3D">
        <w:t>In the U</w:t>
      </w:r>
      <w:r w:rsidR="00B263A6">
        <w:t xml:space="preserve">nited </w:t>
      </w:r>
      <w:r w:rsidR="00A55C3D">
        <w:t>S</w:t>
      </w:r>
      <w:r w:rsidR="00B263A6">
        <w:t>tates</w:t>
      </w:r>
      <w:r w:rsidR="00B13EAB">
        <w:t xml:space="preserve"> it has </w:t>
      </w:r>
      <w:r w:rsidR="00D16888">
        <w:t>three</w:t>
      </w:r>
      <w:r w:rsidR="00B13EAB">
        <w:t xml:space="preserve"> primary uses</w:t>
      </w:r>
      <w:r w:rsidR="00D73AAF">
        <w:t xml:space="preserve">, 38.7% </w:t>
      </w:r>
      <w:r w:rsidR="008C34AE">
        <w:t>is allocated</w:t>
      </w:r>
      <w:r w:rsidR="00D24B09">
        <w:t xml:space="preserve"> to </w:t>
      </w:r>
      <w:r w:rsidR="00D73AAF">
        <w:t xml:space="preserve">animal feed, 26.6% </w:t>
      </w:r>
      <w:r w:rsidR="00A670B0">
        <w:t xml:space="preserve">in </w:t>
      </w:r>
      <w:r w:rsidR="00D73AAF">
        <w:t>ethanol fuel</w:t>
      </w:r>
      <w:r w:rsidR="00A670B0">
        <w:t xml:space="preserve"> </w:t>
      </w:r>
      <w:r w:rsidR="00CA3FEA">
        <w:t>production</w:t>
      </w:r>
      <w:r w:rsidR="000413A4">
        <w:t>,</w:t>
      </w:r>
      <w:r w:rsidR="00A34CB2">
        <w:t xml:space="preserve"> </w:t>
      </w:r>
      <w:r w:rsidR="00A670B0">
        <w:t xml:space="preserve">and </w:t>
      </w:r>
      <w:r w:rsidR="00A34CB2">
        <w:t xml:space="preserve">17.5% </w:t>
      </w:r>
      <w:r w:rsidR="00000EC7">
        <w:t xml:space="preserve">is </w:t>
      </w:r>
      <w:r w:rsidR="00A34CB2">
        <w:t>export</w:t>
      </w:r>
      <w:r w:rsidR="00000EC7">
        <w:t>ed</w:t>
      </w:r>
      <w:r w:rsidR="00A670B0">
        <w:t>. T</w:t>
      </w:r>
      <w:r w:rsidR="000413A4">
        <w:t xml:space="preserve">he </w:t>
      </w:r>
      <w:r w:rsidR="00A70F4A">
        <w:t>remainder</w:t>
      </w:r>
      <w:r w:rsidR="000413A4">
        <w:t xml:space="preserve"> is used in products for human consumption </w:t>
      </w:r>
      <w:sdt>
        <w:sdtPr>
          <w:id w:val="-841394537"/>
          <w:citation/>
        </w:sdtPr>
        <w:sdtEndPr/>
        <w:sdtContent>
          <w:r w:rsidR="00A34CB2">
            <w:fldChar w:fldCharType="begin"/>
          </w:r>
          <w:r w:rsidR="00A34CB2">
            <w:instrText xml:space="preserve"> CITATION Wor21 \l 5129 </w:instrText>
          </w:r>
          <w:r w:rsidR="00A34CB2">
            <w:fldChar w:fldCharType="separate"/>
          </w:r>
          <w:r w:rsidR="00FA4F89">
            <w:rPr>
              <w:noProof/>
            </w:rPr>
            <w:t>(World Economic Forum, 2021)</w:t>
          </w:r>
          <w:r w:rsidR="00A34CB2">
            <w:fldChar w:fldCharType="end"/>
          </w:r>
        </w:sdtContent>
      </w:sdt>
      <w:r w:rsidR="00A34CB2">
        <w:t>.</w:t>
      </w:r>
      <w:r w:rsidR="00D24B09">
        <w:t xml:space="preserve"> </w:t>
      </w:r>
      <w:r w:rsidR="00617D5C">
        <w:t>As the leading producer, t</w:t>
      </w:r>
      <w:r w:rsidR="001B72AD">
        <w:t xml:space="preserve">he </w:t>
      </w:r>
      <w:r w:rsidR="00DF66A9">
        <w:t xml:space="preserve">United States </w:t>
      </w:r>
      <w:r w:rsidR="00617D5C">
        <w:t xml:space="preserve">generated </w:t>
      </w:r>
      <w:r w:rsidR="00A049C6">
        <w:t>390 million metric tons of corn</w:t>
      </w:r>
      <w:r w:rsidR="001B72AD" w:rsidRPr="001B72AD">
        <w:t xml:space="preserve"> </w:t>
      </w:r>
      <w:r w:rsidR="006841AE">
        <w:t>over the</w:t>
      </w:r>
      <w:r w:rsidR="001B72AD" w:rsidRPr="001B72AD">
        <w:t xml:space="preserve"> 2023/2024 </w:t>
      </w:r>
      <w:r w:rsidR="006841AE">
        <w:t>season</w:t>
      </w:r>
      <w:r w:rsidR="00F73853">
        <w:t>, which accounts for</w:t>
      </w:r>
      <w:r w:rsidR="00232545">
        <w:t xml:space="preserve"> </w:t>
      </w:r>
      <w:r w:rsidR="00A049C6">
        <w:t>32% of global production</w:t>
      </w:r>
      <w:r w:rsidR="00F73853">
        <w:t>.</w:t>
      </w:r>
      <w:r w:rsidR="00F23F7F">
        <w:t xml:space="preserve"> </w:t>
      </w:r>
      <w:r w:rsidR="00D24B09">
        <w:t xml:space="preserve">China </w:t>
      </w:r>
      <w:r w:rsidR="00F23F7F">
        <w:t xml:space="preserve">follows </w:t>
      </w:r>
      <w:r w:rsidR="00232545">
        <w:t>at</w:t>
      </w:r>
      <w:r w:rsidR="001220C2">
        <w:t xml:space="preserve"> </w:t>
      </w:r>
      <w:r w:rsidR="00D24B09">
        <w:t xml:space="preserve">24% and Brazil </w:t>
      </w:r>
      <w:r w:rsidR="00F23F7F">
        <w:t xml:space="preserve">contributes </w:t>
      </w:r>
      <w:r w:rsidR="00D24B09">
        <w:t>10%</w:t>
      </w:r>
      <w:r w:rsidR="00955A34">
        <w:t xml:space="preserve"> </w:t>
      </w:r>
      <w:sdt>
        <w:sdtPr>
          <w:id w:val="1569539542"/>
          <w:citation/>
        </w:sdtPr>
        <w:sdtEndPr/>
        <w:sdtContent>
          <w:r w:rsidR="00955A34">
            <w:fldChar w:fldCharType="begin"/>
          </w:r>
          <w:r w:rsidR="00D24B09">
            <w:instrText xml:space="preserve">CITATION USD16 \l 5129 </w:instrText>
          </w:r>
          <w:r w:rsidR="00955A34">
            <w:fldChar w:fldCharType="separate"/>
          </w:r>
          <w:r w:rsidR="00FA4F89">
            <w:rPr>
              <w:noProof/>
            </w:rPr>
            <w:t>(USDA, 2021)</w:t>
          </w:r>
          <w:r w:rsidR="00955A34">
            <w:fldChar w:fldCharType="end"/>
          </w:r>
        </w:sdtContent>
      </w:sdt>
      <w:r w:rsidR="00A049C6">
        <w:t>.</w:t>
      </w:r>
      <w:r w:rsidR="001220C2">
        <w:t xml:space="preserve"> </w:t>
      </w:r>
      <w:r w:rsidR="00901C4A">
        <w:t xml:space="preserve">China </w:t>
      </w:r>
      <w:r w:rsidR="004D4794">
        <w:t>spend</w:t>
      </w:r>
      <w:r w:rsidR="00452D6A">
        <w:t>s</w:t>
      </w:r>
      <w:r w:rsidR="004D4794">
        <w:t xml:space="preserve"> </w:t>
      </w:r>
      <w:r w:rsidR="001220C2">
        <w:t>$</w:t>
      </w:r>
      <w:r w:rsidR="00901C4A">
        <w:t xml:space="preserve">9 billion </w:t>
      </w:r>
      <w:r w:rsidR="004D4794">
        <w:t xml:space="preserve">annually </w:t>
      </w:r>
      <w:r w:rsidR="00452D6A">
        <w:t xml:space="preserve">on corn imports </w:t>
      </w:r>
      <w:r w:rsidR="004135EC">
        <w:t xml:space="preserve">which leads the world </w:t>
      </w:r>
      <w:r w:rsidR="004D4794">
        <w:t>and are t</w:t>
      </w:r>
      <w:r w:rsidR="006E0C77">
        <w:t>railed by</w:t>
      </w:r>
      <w:r w:rsidR="00901C4A">
        <w:t xml:space="preserve"> Mexico and Japan </w:t>
      </w:r>
      <w:sdt>
        <w:sdtPr>
          <w:id w:val="913131582"/>
          <w:citation/>
        </w:sdtPr>
        <w:sdtEndPr/>
        <w:sdtContent>
          <w:r w:rsidR="004B52F0">
            <w:fldChar w:fldCharType="begin"/>
          </w:r>
          <w:r w:rsidR="004B52F0">
            <w:instrText xml:space="preserve"> CITATION Sha24 \l 5129 </w:instrText>
          </w:r>
          <w:r w:rsidR="004B52F0">
            <w:fldChar w:fldCharType="separate"/>
          </w:r>
          <w:r w:rsidR="00FA4F89">
            <w:rPr>
              <w:noProof/>
            </w:rPr>
            <w:t>(Shahbandeh, 2024)</w:t>
          </w:r>
          <w:r w:rsidR="004B52F0">
            <w:fldChar w:fldCharType="end"/>
          </w:r>
        </w:sdtContent>
      </w:sdt>
      <w:r w:rsidR="00901C4A">
        <w:t>.</w:t>
      </w:r>
    </w:p>
    <w:p w14:paraId="608E3460" w14:textId="540A368C" w:rsidR="00124FF5" w:rsidRDefault="00104AC3" w:rsidP="00066EF2">
      <w:r>
        <w:t xml:space="preserve">Forecasting corn prices </w:t>
      </w:r>
      <w:r w:rsidR="00567EB1">
        <w:t xml:space="preserve">is </w:t>
      </w:r>
      <w:r w:rsidR="00933F10">
        <w:t>crucial</w:t>
      </w:r>
      <w:r w:rsidR="00567EB1">
        <w:t xml:space="preserve"> for risk management </w:t>
      </w:r>
      <w:r w:rsidR="00933F10">
        <w:t>among</w:t>
      </w:r>
      <w:r w:rsidR="00567EB1">
        <w:t xml:space="preserve"> suppliers and consumers. This </w:t>
      </w:r>
      <w:r w:rsidR="00042C73">
        <w:t xml:space="preserve">is </w:t>
      </w:r>
      <w:r w:rsidR="005849F8">
        <w:t>especially</w:t>
      </w:r>
      <w:r w:rsidR="00042C73">
        <w:t xml:space="preserve"> important for </w:t>
      </w:r>
      <w:r w:rsidR="00567EB1">
        <w:t>f</w:t>
      </w:r>
      <w:r w:rsidR="001120ED">
        <w:t xml:space="preserve">armers </w:t>
      </w:r>
      <w:r w:rsidR="00FF6F9C">
        <w:t>without</w:t>
      </w:r>
      <w:r w:rsidR="001861D5">
        <w:t xml:space="preserve"> supply contracts in place</w:t>
      </w:r>
      <w:r w:rsidR="00FF6F9C">
        <w:t xml:space="preserve">, who </w:t>
      </w:r>
      <w:r w:rsidR="00042C73">
        <w:t>rely on future</w:t>
      </w:r>
      <w:r w:rsidR="00633DE0">
        <w:t xml:space="preserve"> market prices due to the </w:t>
      </w:r>
      <w:r w:rsidR="00A9109D">
        <w:t>8-month</w:t>
      </w:r>
      <w:r w:rsidR="009A0B04">
        <w:t xml:space="preserve"> plant</w:t>
      </w:r>
      <w:r w:rsidR="003C213A">
        <w:t>-</w:t>
      </w:r>
      <w:r w:rsidR="009A0B04">
        <w:t>to</w:t>
      </w:r>
      <w:r w:rsidR="003C213A">
        <w:t>-</w:t>
      </w:r>
      <w:r w:rsidR="00454E90">
        <w:t>harvest</w:t>
      </w:r>
      <w:r w:rsidR="00633DE0">
        <w:t xml:space="preserve"> cycle of corn</w:t>
      </w:r>
      <w:r w:rsidR="00454E90">
        <w:t>.</w:t>
      </w:r>
      <w:r w:rsidR="009A0B04">
        <w:t xml:space="preserve"> An accurate forecast</w:t>
      </w:r>
      <w:r w:rsidR="003C213A">
        <w:t>,</w:t>
      </w:r>
      <w:r w:rsidR="009A0B04">
        <w:t xml:space="preserve"> 8 months ahead</w:t>
      </w:r>
      <w:r w:rsidR="003C213A">
        <w:t>,</w:t>
      </w:r>
      <w:r w:rsidR="009A0B04">
        <w:t xml:space="preserve"> </w:t>
      </w:r>
      <w:r w:rsidR="00CC3069">
        <w:t xml:space="preserve">would assist growers with making </w:t>
      </w:r>
      <w:r w:rsidR="003C213A">
        <w:t>informed decisions</w:t>
      </w:r>
      <w:r w:rsidR="004010AA">
        <w:t xml:space="preserve"> about </w:t>
      </w:r>
      <w:r w:rsidR="00F54431">
        <w:t xml:space="preserve">how much </w:t>
      </w:r>
      <w:r w:rsidR="00A32EE1">
        <w:t xml:space="preserve">corn to </w:t>
      </w:r>
      <w:r w:rsidR="004010AA">
        <w:t>plant</w:t>
      </w:r>
      <w:r w:rsidR="00F54431">
        <w:t xml:space="preserve">, </w:t>
      </w:r>
      <w:r w:rsidR="0028515E">
        <w:t xml:space="preserve">aid with </w:t>
      </w:r>
      <w:r w:rsidR="004010AA">
        <w:t>contract</w:t>
      </w:r>
      <w:r w:rsidR="006E162A">
        <w:t xml:space="preserve"> negotiation</w:t>
      </w:r>
      <w:r w:rsidR="00A023E8">
        <w:t xml:space="preserve"> </w:t>
      </w:r>
      <w:r w:rsidR="00481DE0">
        <w:t xml:space="preserve">and </w:t>
      </w:r>
      <w:r w:rsidR="004010AA">
        <w:t xml:space="preserve">determining </w:t>
      </w:r>
      <w:r w:rsidR="00481DE0">
        <w:t>whether to hold out for better market rates</w:t>
      </w:r>
      <w:r w:rsidR="00A9109D">
        <w:t xml:space="preserve">. Buyers </w:t>
      </w:r>
      <w:r w:rsidR="008B41D4">
        <w:t xml:space="preserve">on </w:t>
      </w:r>
      <w:r w:rsidR="00E61188">
        <w:t>other side of the trade</w:t>
      </w:r>
      <w:r w:rsidR="008B41D4">
        <w:t xml:space="preserve"> also benefit from insights to price movements</w:t>
      </w:r>
      <w:r w:rsidR="00C835D9">
        <w:t>, improving their procurement strategies</w:t>
      </w:r>
      <w:r w:rsidR="008B41D4">
        <w:t>.</w:t>
      </w:r>
    </w:p>
    <w:p w14:paraId="4C0D1CF2" w14:textId="5E66D972" w:rsidR="002D1149" w:rsidRDefault="00DF34F1" w:rsidP="00066EF2">
      <w:r>
        <w:t xml:space="preserve">Since </w:t>
      </w:r>
      <w:r w:rsidR="00EF21D8">
        <w:t>corn price</w:t>
      </w:r>
      <w:r w:rsidR="00562619">
        <w:t>s</w:t>
      </w:r>
      <w:r w:rsidR="00EF21D8">
        <w:t xml:space="preserve"> </w:t>
      </w:r>
      <w:r w:rsidR="00562619">
        <w:t>are</w:t>
      </w:r>
      <w:r w:rsidR="00EF21D8">
        <w:t xml:space="preserve"> non-stationary</w:t>
      </w:r>
      <w:r w:rsidR="00562619">
        <w:t>,</w:t>
      </w:r>
      <w:r w:rsidR="00EF21D8">
        <w:t xml:space="preserve"> a </w:t>
      </w:r>
      <w:r w:rsidR="00C10179">
        <w:t>random walk with drift will be used as the base model</w:t>
      </w:r>
      <w:r w:rsidR="004427F3">
        <w:t xml:space="preserve"> to measure performance against</w:t>
      </w:r>
      <w:r w:rsidR="00FA4E86">
        <w:t>.</w:t>
      </w:r>
      <w:r w:rsidR="00C07ED7">
        <w:t xml:space="preserve"> This </w:t>
      </w:r>
      <w:r w:rsidR="00562619">
        <w:t xml:space="preserve">approach </w:t>
      </w:r>
      <w:r w:rsidR="00C07ED7">
        <w:t xml:space="preserve">is a common benchmark in </w:t>
      </w:r>
      <w:r w:rsidR="00225D60">
        <w:t xml:space="preserve">economic and financial </w:t>
      </w:r>
      <w:r w:rsidR="00C07ED7">
        <w:t xml:space="preserve">literature due </w:t>
      </w:r>
      <w:r w:rsidR="00C020D6">
        <w:t>to its simplicit</w:t>
      </w:r>
      <w:r w:rsidR="00EE06C8">
        <w:t>y</w:t>
      </w:r>
      <w:r w:rsidR="00CB71DC">
        <w:t xml:space="preserve"> </w:t>
      </w:r>
      <w:r w:rsidR="00EF524E">
        <w:t xml:space="preserve">and ability to </w:t>
      </w:r>
      <w:r w:rsidR="00CB71DC">
        <w:t>captur</w:t>
      </w:r>
      <w:r w:rsidR="00EF524E">
        <w:t>e</w:t>
      </w:r>
      <w:r w:rsidR="00CB71DC">
        <w:t xml:space="preserve"> </w:t>
      </w:r>
      <w:r w:rsidR="00E821A8">
        <w:t>long-term</w:t>
      </w:r>
      <w:r w:rsidR="00CB71DC">
        <w:t xml:space="preserve"> trend</w:t>
      </w:r>
      <w:r w:rsidR="00EF524E">
        <w:t>s</w:t>
      </w:r>
      <w:r w:rsidR="00E821A8">
        <w:t>. If</w:t>
      </w:r>
      <w:r w:rsidR="004C2B1B">
        <w:t xml:space="preserve"> </w:t>
      </w:r>
      <w:r w:rsidR="0031779E">
        <w:t>more complex m</w:t>
      </w:r>
      <w:r w:rsidR="004C2B1B">
        <w:t xml:space="preserve">odels </w:t>
      </w:r>
      <w:r w:rsidR="0031779E">
        <w:t>fail to outperform this</w:t>
      </w:r>
      <w:r w:rsidR="00E821A8">
        <w:t>,</w:t>
      </w:r>
      <w:r w:rsidR="004C2B1B">
        <w:t xml:space="preserve"> </w:t>
      </w:r>
      <w:r w:rsidR="00F0597B">
        <w:t xml:space="preserve">they are </w:t>
      </w:r>
      <w:r w:rsidR="0009337C">
        <w:t>unnecessar</w:t>
      </w:r>
      <w:r w:rsidR="00186EFD">
        <w:t>ily</w:t>
      </w:r>
      <w:r w:rsidR="0009337C">
        <w:t xml:space="preserve"> </w:t>
      </w:r>
      <w:r w:rsidR="000B6374">
        <w:t xml:space="preserve">complex and </w:t>
      </w:r>
      <w:r w:rsidR="0009337C">
        <w:t xml:space="preserve">do </w:t>
      </w:r>
      <w:r w:rsidR="00F0597B">
        <w:t>not add</w:t>
      </w:r>
      <w:r w:rsidR="0009337C">
        <w:t xml:space="preserve"> </w:t>
      </w:r>
      <w:r w:rsidR="00F0597B">
        <w:t>value.</w:t>
      </w:r>
      <w:r w:rsidR="001859E5">
        <w:t xml:space="preserve"> Previous studies </w:t>
      </w:r>
      <w:r w:rsidR="000B6374">
        <w:t xml:space="preserve">have shown </w:t>
      </w:r>
      <w:r w:rsidR="001859E5">
        <w:t>that seasonal ARIMA</w:t>
      </w:r>
      <w:r w:rsidR="00C61665">
        <w:t xml:space="preserve"> models worked well in corn price applications. </w:t>
      </w:r>
      <w:r w:rsidR="00620EA0">
        <w:t xml:space="preserve">For instance, </w:t>
      </w:r>
      <w:r w:rsidR="00D820F9">
        <w:t>a</w:t>
      </w:r>
      <w:r w:rsidR="00C61665">
        <w:t xml:space="preserve"> </w:t>
      </w:r>
      <w:r w:rsidR="001859E5" w:rsidRPr="001859E5">
        <w:t xml:space="preserve">SARIMA (0,1,1) (0,0,1) [12] was </w:t>
      </w:r>
      <w:r w:rsidR="005C2FD2">
        <w:t xml:space="preserve">identified as the </w:t>
      </w:r>
      <w:r w:rsidR="001859E5" w:rsidRPr="001859E5">
        <w:t xml:space="preserve">best </w:t>
      </w:r>
      <w:r w:rsidR="005C2FD2">
        <w:t xml:space="preserve">fit </w:t>
      </w:r>
      <w:r w:rsidR="001859E5" w:rsidRPr="001859E5">
        <w:t>in a study on global corn prices from Jan</w:t>
      </w:r>
      <w:r w:rsidR="00601AC7">
        <w:t>uary</w:t>
      </w:r>
      <w:r w:rsidR="001859E5" w:rsidRPr="001859E5">
        <w:t xml:space="preserve"> 20</w:t>
      </w:r>
      <w:r w:rsidR="00D820F9">
        <w:t>1</w:t>
      </w:r>
      <w:r w:rsidR="001859E5" w:rsidRPr="001859E5">
        <w:t xml:space="preserve">4 to December 2023 </w:t>
      </w:r>
      <w:sdt>
        <w:sdtPr>
          <w:id w:val="16061210"/>
          <w:citation/>
        </w:sdtPr>
        <w:sdtEndPr/>
        <w:sdtContent>
          <w:r w:rsidR="00372395">
            <w:fldChar w:fldCharType="begin"/>
          </w:r>
          <w:r w:rsidR="00372395">
            <w:instrText xml:space="preserve"> CITATION Rak24 \l 5129 </w:instrText>
          </w:r>
          <w:r w:rsidR="00372395">
            <w:fldChar w:fldCharType="separate"/>
          </w:r>
          <w:r w:rsidR="00FA4F89">
            <w:rPr>
              <w:noProof/>
            </w:rPr>
            <w:t>(Raksha &amp; Yeong, 2024)</w:t>
          </w:r>
          <w:r w:rsidR="00372395">
            <w:fldChar w:fldCharType="end"/>
          </w:r>
        </w:sdtContent>
      </w:sdt>
      <w:r w:rsidR="001859E5" w:rsidRPr="001859E5">
        <w:t xml:space="preserve">. </w:t>
      </w:r>
      <w:r w:rsidR="003F487D">
        <w:t>Similarly, a</w:t>
      </w:r>
      <w:r w:rsidR="001859E5" w:rsidRPr="001859E5">
        <w:t>nother study found that a SARIMA (2,1,0) (3,1,1)</w:t>
      </w:r>
      <w:r w:rsidR="008F67E4">
        <w:t xml:space="preserve"> </w:t>
      </w:r>
      <w:r w:rsidR="001859E5" w:rsidRPr="001859E5">
        <w:t xml:space="preserve">[12] applied to China’s futures market can accurately predict settlement price </w:t>
      </w:r>
      <w:sdt>
        <w:sdtPr>
          <w:id w:val="1009794691"/>
          <w:citation/>
        </w:sdtPr>
        <w:sdtEndPr/>
        <w:sdtContent>
          <w:r w:rsidR="00372395">
            <w:fldChar w:fldCharType="begin"/>
          </w:r>
          <w:r w:rsidR="00372395">
            <w:instrText xml:space="preserve"> CITATION Jun22 \l 5129 </w:instrText>
          </w:r>
          <w:r w:rsidR="00372395">
            <w:fldChar w:fldCharType="separate"/>
          </w:r>
          <w:r w:rsidR="00FA4F89">
            <w:rPr>
              <w:noProof/>
            </w:rPr>
            <w:t>(Junxue &amp; Xi, 2022)</w:t>
          </w:r>
          <w:r w:rsidR="00372395">
            <w:fldChar w:fldCharType="end"/>
          </w:r>
        </w:sdtContent>
      </w:sdt>
      <w:r w:rsidR="00372395">
        <w:t xml:space="preserve">. </w:t>
      </w:r>
      <w:r w:rsidR="00475330">
        <w:t>Therefore</w:t>
      </w:r>
      <w:r w:rsidR="008F67E4">
        <w:t>,</w:t>
      </w:r>
      <w:r w:rsidR="00C61665">
        <w:t xml:space="preserve"> </w:t>
      </w:r>
      <w:r w:rsidR="00341DC2">
        <w:t xml:space="preserve">both </w:t>
      </w:r>
      <w:r w:rsidR="008F67E4">
        <w:t>ARIMA and SARIM</w:t>
      </w:r>
      <w:r w:rsidR="00051303">
        <w:t>A</w:t>
      </w:r>
      <w:r w:rsidR="00341DC2">
        <w:t xml:space="preserve"> models will be </w:t>
      </w:r>
      <w:r w:rsidR="00051303">
        <w:t>evaluated</w:t>
      </w:r>
      <w:r w:rsidR="00341DC2">
        <w:t xml:space="preserve"> in this analysis</w:t>
      </w:r>
      <w:r w:rsidR="008C04C7">
        <w:t>,</w:t>
      </w:r>
      <w:r w:rsidR="00295F7A">
        <w:t xml:space="preserve"> </w:t>
      </w:r>
      <w:r w:rsidR="0098462A">
        <w:t>expanding on it</w:t>
      </w:r>
      <w:r w:rsidR="00295F7A">
        <w:t xml:space="preserve"> to identify if a model consistently </w:t>
      </w:r>
      <w:r w:rsidR="00F0773C">
        <w:t>performs</w:t>
      </w:r>
      <w:r w:rsidR="00295F7A">
        <w:t xml:space="preserve"> best </w:t>
      </w:r>
      <w:r w:rsidR="00F0773C">
        <w:t>across various datasets, rather than relying on a single sample trail.</w:t>
      </w:r>
      <w:r w:rsidR="002D1149">
        <w:t xml:space="preserve"> </w:t>
      </w:r>
      <w:r w:rsidR="009612B0">
        <w:t xml:space="preserve">An </w:t>
      </w:r>
      <w:r w:rsidR="00FA4E86">
        <w:t>ARIMA</w:t>
      </w:r>
      <w:r w:rsidR="00987B92">
        <w:t xml:space="preserve"> </w:t>
      </w:r>
      <w:r w:rsidR="002D4747">
        <w:t>uses</w:t>
      </w:r>
      <w:r w:rsidR="00987B92">
        <w:t xml:space="preserve"> past prices and moving averages</w:t>
      </w:r>
      <w:r w:rsidR="00E040A0">
        <w:t xml:space="preserve"> (autoregressive patterns)</w:t>
      </w:r>
      <w:r w:rsidR="002D4747">
        <w:t xml:space="preserve"> to predict future prices</w:t>
      </w:r>
      <w:r w:rsidR="00C3520D">
        <w:t>.</w:t>
      </w:r>
      <w:r w:rsidR="00D81E35">
        <w:t xml:space="preserve"> </w:t>
      </w:r>
      <w:r w:rsidR="00C3520D">
        <w:t>T</w:t>
      </w:r>
      <w:r w:rsidR="00D81E35">
        <w:t xml:space="preserve">his typically </w:t>
      </w:r>
      <w:r w:rsidR="00C3520D">
        <w:t>performs</w:t>
      </w:r>
      <w:r w:rsidR="00D81E35">
        <w:t xml:space="preserve"> well in short</w:t>
      </w:r>
      <w:r w:rsidR="00C3520D">
        <w:t xml:space="preserve">-term forecasts, </w:t>
      </w:r>
      <w:r w:rsidR="00D81E35">
        <w:t xml:space="preserve">as past shocks </w:t>
      </w:r>
      <w:r w:rsidR="00C3520D">
        <w:t>are incorporated into predictions</w:t>
      </w:r>
      <w:r w:rsidR="00E32E7D">
        <w:t>.</w:t>
      </w:r>
      <w:r w:rsidR="00051303">
        <w:t xml:space="preserve"> SARIMA</w:t>
      </w:r>
      <w:r w:rsidR="00F04BEE">
        <w:t>, an extension to ARIMA</w:t>
      </w:r>
      <w:r w:rsidR="0025303E">
        <w:t>, also</w:t>
      </w:r>
      <w:r w:rsidR="000B13D2">
        <w:t xml:space="preserve"> acc</w:t>
      </w:r>
      <w:r w:rsidR="00AB2C91">
        <w:t xml:space="preserve">ounts </w:t>
      </w:r>
      <w:r w:rsidR="000B13D2">
        <w:t xml:space="preserve">for </w:t>
      </w:r>
      <w:r w:rsidR="0025303E">
        <w:t>seasonal patterns</w:t>
      </w:r>
      <w:r w:rsidR="00710864">
        <w:t>, making it particularly</w:t>
      </w:r>
      <w:r w:rsidR="00AB2C91">
        <w:t xml:space="preserve"> suitable </w:t>
      </w:r>
      <w:r w:rsidR="00D843B6">
        <w:t>for</w:t>
      </w:r>
      <w:r w:rsidR="00AB2C91">
        <w:t xml:space="preserve"> corn</w:t>
      </w:r>
      <w:r w:rsidR="00D843B6">
        <w:t xml:space="preserve">, which </w:t>
      </w:r>
      <w:r w:rsidR="009B0A13">
        <w:t xml:space="preserve">is grown and harvested </w:t>
      </w:r>
      <w:r w:rsidR="00D843B6">
        <w:t>annually.</w:t>
      </w:r>
      <w:r w:rsidR="009B0A13">
        <w:t xml:space="preserve"> </w:t>
      </w:r>
      <w:r w:rsidR="004D511F">
        <w:t>The seasonality</w:t>
      </w:r>
      <w:r w:rsidR="009B0A13">
        <w:t xml:space="preserve"> </w:t>
      </w:r>
      <w:r w:rsidR="004D511F">
        <w:t xml:space="preserve">may result </w:t>
      </w:r>
      <w:r w:rsidR="009B0A13">
        <w:t xml:space="preserve">in patterns of over </w:t>
      </w:r>
      <w:r w:rsidR="004D511F">
        <w:t>or</w:t>
      </w:r>
      <w:r w:rsidR="009B0A13">
        <w:t xml:space="preserve"> under</w:t>
      </w:r>
      <w:r w:rsidR="002D1149">
        <w:t xml:space="preserve"> </w:t>
      </w:r>
      <w:r w:rsidR="009B0A13">
        <w:t xml:space="preserve">supply </w:t>
      </w:r>
      <w:r w:rsidR="002D1149">
        <w:t xml:space="preserve">patterns throughout the year </w:t>
      </w:r>
      <w:r w:rsidR="00711498">
        <w:t xml:space="preserve">which would affect the price. </w:t>
      </w:r>
    </w:p>
    <w:p w14:paraId="647AEA61" w14:textId="63A784DC" w:rsidR="007B34A8" w:rsidRDefault="005B7223" w:rsidP="00066EF2">
      <w:pPr>
        <w:widowControl/>
      </w:pPr>
      <w:r>
        <w:t>E</w:t>
      </w:r>
      <w:r w:rsidR="00D22423">
        <w:t>xplanatory variables related to corn production and consumption were added to</w:t>
      </w:r>
      <w:r>
        <w:t xml:space="preserve"> an ARIMA in an attempt to</w:t>
      </w:r>
      <w:r w:rsidR="00D22423">
        <w:t xml:space="preserve"> improve </w:t>
      </w:r>
      <w:r w:rsidR="00F862D5">
        <w:t xml:space="preserve">its </w:t>
      </w:r>
      <w:r w:rsidR="00D22423">
        <w:t>performance.</w:t>
      </w:r>
      <w:r w:rsidR="006F09F1" w:rsidRPr="006F09F1">
        <w:t xml:space="preserve"> </w:t>
      </w:r>
      <w:r w:rsidR="006F09F1">
        <w:t xml:space="preserve">These </w:t>
      </w:r>
      <w:r w:rsidR="007E6E53">
        <w:t>variables help identify</w:t>
      </w:r>
      <w:r w:rsidR="006F09F1">
        <w:t xml:space="preserve"> key drivers behind price</w:t>
      </w:r>
      <w:r w:rsidR="007E6E53">
        <w:t xml:space="preserve"> movements</w:t>
      </w:r>
      <w:r w:rsidR="007C5293">
        <w:t xml:space="preserve"> which </w:t>
      </w:r>
      <w:r w:rsidR="0046133C">
        <w:t>provid</w:t>
      </w:r>
      <w:r w:rsidR="007C5293">
        <w:t>es</w:t>
      </w:r>
      <w:r w:rsidR="0046133C">
        <w:t xml:space="preserve"> </w:t>
      </w:r>
      <w:r w:rsidR="004A4357">
        <w:t xml:space="preserve">useful </w:t>
      </w:r>
      <w:r w:rsidR="0046133C">
        <w:t>insights to m</w:t>
      </w:r>
      <w:r w:rsidR="006F09F1">
        <w:t>arket participants</w:t>
      </w:r>
      <w:r w:rsidR="004A4357">
        <w:t xml:space="preserve"> as </w:t>
      </w:r>
      <w:r w:rsidR="00E975BC">
        <w:t>it will reveal</w:t>
      </w:r>
      <w:r w:rsidR="00523C02">
        <w:t xml:space="preserve"> which factors focus on</w:t>
      </w:r>
      <w:r w:rsidR="00F56C6C">
        <w:t xml:space="preserve"> and </w:t>
      </w:r>
      <w:r w:rsidR="006F09F1">
        <w:t xml:space="preserve">what to expect under conditions such as </w:t>
      </w:r>
      <w:r w:rsidR="007C5293">
        <w:t xml:space="preserve">elevated </w:t>
      </w:r>
      <w:r w:rsidR="006F09F1">
        <w:t>geopolitical risk. Corn</w:t>
      </w:r>
      <w:r w:rsidR="00D22423">
        <w:t xml:space="preserve"> price </w:t>
      </w:r>
      <w:r w:rsidR="00974538">
        <w:t>is</w:t>
      </w:r>
      <w:r w:rsidR="0082112D">
        <w:t xml:space="preserve"> known to experience volatility clustering</w:t>
      </w:r>
      <w:r w:rsidR="00C57572">
        <w:t xml:space="preserve">, periods of </w:t>
      </w:r>
      <w:r w:rsidR="00E76ACF">
        <w:t>heighten</w:t>
      </w:r>
      <w:r w:rsidR="00C57572">
        <w:t xml:space="preserve"> or diminished </w:t>
      </w:r>
      <w:r w:rsidR="009832EF">
        <w:t xml:space="preserve">volatility often triggered by </w:t>
      </w:r>
      <w:r w:rsidR="00D22423">
        <w:t xml:space="preserve">geopolitical or weather events. These </w:t>
      </w:r>
      <w:r w:rsidR="00E76ACF">
        <w:t xml:space="preserve">periods </w:t>
      </w:r>
      <w:r w:rsidR="00D22423">
        <w:t xml:space="preserve">are best modelled </w:t>
      </w:r>
      <w:r w:rsidR="00E76ACF">
        <w:t>usi</w:t>
      </w:r>
      <w:r w:rsidR="006E54BD">
        <w:t>ng</w:t>
      </w:r>
      <w:r w:rsidR="00D22423">
        <w:t xml:space="preserve"> GARCH models</w:t>
      </w:r>
      <w:r w:rsidR="006E54BD">
        <w:t>,</w:t>
      </w:r>
      <w:r w:rsidR="00D22423">
        <w:t xml:space="preserve"> </w:t>
      </w:r>
      <w:r w:rsidR="006E54BD">
        <w:t>which account</w:t>
      </w:r>
      <w:r w:rsidR="00D22423">
        <w:t xml:space="preserve"> for volatility varying over time. To incorporate this </w:t>
      </w:r>
      <w:r w:rsidR="007B34A8">
        <w:t>an ARIMA model</w:t>
      </w:r>
      <w:r w:rsidR="00D22423">
        <w:t xml:space="preserve"> was used as the mean model</w:t>
      </w:r>
      <w:r w:rsidR="007B34A8">
        <w:t xml:space="preserve">, </w:t>
      </w:r>
      <w:r w:rsidR="008D7678">
        <w:t xml:space="preserve">with GARCH applied to factor in past </w:t>
      </w:r>
      <w:r w:rsidR="00965F64">
        <w:t>volatility</w:t>
      </w:r>
      <w:r w:rsidR="005356C2">
        <w:t xml:space="preserve"> and assessed how it fared against the other models.</w:t>
      </w:r>
    </w:p>
    <w:p w14:paraId="34D42EE1" w14:textId="41FF0BF1" w:rsidR="00C0086F" w:rsidRDefault="00D22423" w:rsidP="00066EF2">
      <w:r w:rsidRPr="008C17C6">
        <w:t xml:space="preserve">This </w:t>
      </w:r>
      <w:r>
        <w:t>study</w:t>
      </w:r>
      <w:r w:rsidRPr="008C17C6">
        <w:t xml:space="preserve"> </w:t>
      </w:r>
      <w:r w:rsidR="00EC49BA">
        <w:t>aims</w:t>
      </w:r>
      <w:r w:rsidRPr="008C17C6">
        <w:t xml:space="preserve"> to identify the </w:t>
      </w:r>
      <w:r w:rsidR="00EC49BA">
        <w:t>most accurate model</w:t>
      </w:r>
      <w:r w:rsidRPr="008C17C6">
        <w:t xml:space="preserve"> for </w:t>
      </w:r>
      <w:r w:rsidR="00FF7FD2">
        <w:t xml:space="preserve">predicting </w:t>
      </w:r>
      <w:r>
        <w:t xml:space="preserve">monthly </w:t>
      </w:r>
      <w:r w:rsidRPr="008C17C6">
        <w:t>global corn prices</w:t>
      </w:r>
      <w:r>
        <w:t xml:space="preserve"> </w:t>
      </w:r>
      <w:sdt>
        <w:sdtPr>
          <w:id w:val="-1967039158"/>
          <w:citation/>
        </w:sdtPr>
        <w:sdtEndPr/>
        <w:sdtContent>
          <w:r>
            <w:fldChar w:fldCharType="begin"/>
          </w:r>
          <w:r>
            <w:instrText xml:space="preserve"> CITATION FRE24 \l 5129 </w:instrText>
          </w:r>
          <w:r>
            <w:fldChar w:fldCharType="separate"/>
          </w:r>
          <w:r w:rsidR="00FA4F89">
            <w:rPr>
              <w:noProof/>
            </w:rPr>
            <w:t>(FRED, 2024)</w:t>
          </w:r>
          <w:r>
            <w:fldChar w:fldCharType="end"/>
          </w:r>
        </w:sdtContent>
      </w:sdt>
      <w:r>
        <w:t xml:space="preserve"> </w:t>
      </w:r>
      <w:r w:rsidR="00FF7FD2">
        <w:t xml:space="preserve">eight months in advance </w:t>
      </w:r>
      <w:r w:rsidRPr="008C17C6">
        <w:t xml:space="preserve">by comparing </w:t>
      </w:r>
      <w:r w:rsidR="00EA7164">
        <w:t>the Root Mean Square Error (</w:t>
      </w:r>
      <w:r>
        <w:t>RMSE</w:t>
      </w:r>
      <w:r w:rsidR="00EA7164">
        <w:t>)</w:t>
      </w:r>
      <w:r>
        <w:t xml:space="preserve"> and </w:t>
      </w:r>
      <w:r w:rsidR="00EA7164">
        <w:t>Mean Absolute Error (</w:t>
      </w:r>
      <w:r>
        <w:t>MAE</w:t>
      </w:r>
      <w:r w:rsidR="00EA7164">
        <w:t>)</w:t>
      </w:r>
      <w:r>
        <w:t xml:space="preserve"> of </w:t>
      </w:r>
      <w:r w:rsidR="007614C2">
        <w:t xml:space="preserve">different </w:t>
      </w:r>
      <w:r>
        <w:t>models</w:t>
      </w:r>
      <w:r w:rsidRPr="008C17C6">
        <w:t>.</w:t>
      </w:r>
      <w:r w:rsidR="00367730">
        <w:t xml:space="preserve"> </w:t>
      </w:r>
      <w:r w:rsidR="007614C2">
        <w:t xml:space="preserve">The comparison will be conducted </w:t>
      </w:r>
      <w:r w:rsidR="00677D31">
        <w:t xml:space="preserve">across </w:t>
      </w:r>
      <w:r w:rsidR="00367730" w:rsidRPr="00367730">
        <w:t xml:space="preserve">four different samples of training and test data </w:t>
      </w:r>
      <w:r w:rsidR="00677D31">
        <w:t>from the period</w:t>
      </w:r>
      <w:r w:rsidR="00367730" w:rsidRPr="00367730">
        <w:t xml:space="preserve"> 1993 to 2024</w:t>
      </w:r>
      <w:r w:rsidR="00920872">
        <w:t>. T</w:t>
      </w:r>
      <w:r w:rsidR="00367730" w:rsidRPr="00367730">
        <w:t xml:space="preserve">he RMSE and MAE will be averaged </w:t>
      </w:r>
      <w:r w:rsidR="000F6F04">
        <w:t>to determine</w:t>
      </w:r>
      <w:r w:rsidR="00367730" w:rsidRPr="00367730">
        <w:t xml:space="preserve"> which model consistently performs the best</w:t>
      </w:r>
      <w:r w:rsidR="000F6F04">
        <w:t xml:space="preserve"> across the four tests</w:t>
      </w:r>
      <w:r w:rsidR="00367730" w:rsidRPr="00367730">
        <w:t>.</w:t>
      </w:r>
      <w:r>
        <w:t xml:space="preserve"> </w:t>
      </w:r>
      <w:r w:rsidR="00930607" w:rsidRPr="00930607">
        <w:t xml:space="preserve">By identifying the best-performing model, this study aims to contribute </w:t>
      </w:r>
      <w:r w:rsidR="00930607" w:rsidRPr="00930607">
        <w:lastRenderedPageBreak/>
        <w:t>valuable insights into price risk management, benefiting both corn producers and consumers in navigating</w:t>
      </w:r>
      <w:r w:rsidR="005C7BCE">
        <w:t xml:space="preserve"> </w:t>
      </w:r>
      <w:r w:rsidR="00930607" w:rsidRPr="00930607">
        <w:t>market conditions</w:t>
      </w:r>
      <w:r w:rsidR="005C7BCE">
        <w:t>.</w:t>
      </w:r>
    </w:p>
    <w:p w14:paraId="1C5A4E65" w14:textId="101ED616" w:rsidR="00FF1684" w:rsidRDefault="00D363AA" w:rsidP="00D363AA">
      <w:pPr>
        <w:pStyle w:val="Heading1"/>
      </w:pPr>
      <w:r>
        <w:t>Data and econometric methods</w:t>
      </w:r>
    </w:p>
    <w:p w14:paraId="0DB52F23" w14:textId="7663C700" w:rsidR="009C34E5" w:rsidRPr="009C34E5" w:rsidRDefault="009C52A6" w:rsidP="00EC28AC">
      <w:pPr>
        <w:pStyle w:val="Heading2"/>
      </w:pPr>
      <w:r>
        <w:t xml:space="preserve">2.1. </w:t>
      </w:r>
      <w:r w:rsidR="009C34E5">
        <w:t>Data</w:t>
      </w:r>
      <w:r w:rsidR="00CF34C4">
        <w:t xml:space="preserve"> </w:t>
      </w:r>
    </w:p>
    <w:p w14:paraId="17F8DB5A" w14:textId="6975B10C" w:rsidR="00A7746E" w:rsidRDefault="00CE72AB" w:rsidP="005909BC">
      <w:pPr>
        <w:widowControl/>
      </w:pPr>
      <w:r>
        <w:br/>
      </w:r>
      <w:r w:rsidR="00A94672">
        <w:t>The monthly global corn price</w:t>
      </w:r>
      <w:r w:rsidR="00057D60">
        <w:t xml:space="preserve">, sourced from </w:t>
      </w:r>
      <w:r w:rsidR="001D2DD3">
        <w:t>Federal Reserve Economic Data</w:t>
      </w:r>
      <w:r w:rsidR="005859DC">
        <w:t xml:space="preserve"> </w:t>
      </w:r>
      <w:r w:rsidR="00E9390A">
        <w:t>(FRED)</w:t>
      </w:r>
      <w:r w:rsidR="00057D60">
        <w:t xml:space="preserve"> and covering the period</w:t>
      </w:r>
      <w:r w:rsidR="00E9390A">
        <w:t xml:space="preserve"> </w:t>
      </w:r>
      <w:r w:rsidR="001D3FBB">
        <w:t>1993 to 2024</w:t>
      </w:r>
      <w:sdt>
        <w:sdtPr>
          <w:id w:val="2057035572"/>
          <w:citation/>
        </w:sdtPr>
        <w:sdtEndPr/>
        <w:sdtContent>
          <w:r w:rsidR="00322801">
            <w:fldChar w:fldCharType="begin"/>
          </w:r>
          <w:r w:rsidR="00322801">
            <w:instrText xml:space="preserve"> CITATION FRE24 \l 5129 </w:instrText>
          </w:r>
          <w:r w:rsidR="00322801">
            <w:fldChar w:fldCharType="separate"/>
          </w:r>
          <w:r w:rsidR="00FA4F89">
            <w:rPr>
              <w:noProof/>
            </w:rPr>
            <w:t xml:space="preserve"> (FRED, 2024)</w:t>
          </w:r>
          <w:r w:rsidR="00322801">
            <w:fldChar w:fldCharType="end"/>
          </w:r>
        </w:sdtContent>
      </w:sdt>
      <w:r w:rsidR="00D046D4">
        <w:t>, was tested for stationarity using the</w:t>
      </w:r>
      <w:r w:rsidR="00D046D4" w:rsidRPr="00D046D4">
        <w:t xml:space="preserve"> Augmented Dickey-Fuller (ADF) test</w:t>
      </w:r>
      <w:r w:rsidR="00D046D4">
        <w:t xml:space="preserve">. </w:t>
      </w:r>
      <w:r w:rsidR="00D80377">
        <w:t>The</w:t>
      </w:r>
      <w:r w:rsidR="002F341C">
        <w:t xml:space="preserve"> test </w:t>
      </w:r>
      <w:r w:rsidR="00D80377">
        <w:t xml:space="preserve">confirmed corn price was </w:t>
      </w:r>
      <w:r w:rsidR="002F341C">
        <w:t>non-</w:t>
      </w:r>
      <w:r w:rsidR="00156197">
        <w:t>stationary, and</w:t>
      </w:r>
      <w:r w:rsidR="00BB42F0">
        <w:t xml:space="preserve"> was </w:t>
      </w:r>
      <w:r w:rsidR="00CE3D3D">
        <w:t xml:space="preserve">subsequentially </w:t>
      </w:r>
      <w:r w:rsidR="00BB42F0">
        <w:t>difference</w:t>
      </w:r>
      <w:r w:rsidR="00CE3D3D">
        <w:t xml:space="preserve">d using </w:t>
      </w:r>
      <w:r w:rsidR="00BB42F0">
        <w:t>the auto.arima function in R</w:t>
      </w:r>
      <w:r w:rsidR="00156197">
        <w:t xml:space="preserve"> when </w:t>
      </w:r>
      <w:r w:rsidR="002F341C">
        <w:t>ARIMA and SARIMA models</w:t>
      </w:r>
      <w:r w:rsidR="008B0F99">
        <w:t xml:space="preserve"> were used</w:t>
      </w:r>
      <w:r w:rsidR="006017DF">
        <w:t>.</w:t>
      </w:r>
      <w:r w:rsidR="000E5DA0">
        <w:t xml:space="preserve"> </w:t>
      </w:r>
      <w:r w:rsidR="001B5684">
        <w:t>To</w:t>
      </w:r>
      <w:r w:rsidR="0057763F" w:rsidRPr="0057763F">
        <w:t xml:space="preserve"> improve the </w:t>
      </w:r>
      <w:r w:rsidR="001B5684">
        <w:t xml:space="preserve">improve forecasting performance </w:t>
      </w:r>
      <w:r w:rsidR="0057763F" w:rsidRPr="0057763F">
        <w:t>additional explanatory variables were added</w:t>
      </w:r>
      <w:r w:rsidR="001B5684">
        <w:t xml:space="preserve"> to an ARIMA. T</w:t>
      </w:r>
      <w:r w:rsidR="0057763F">
        <w:t xml:space="preserve">hese were </w:t>
      </w:r>
      <w:r w:rsidR="00B83FA1">
        <w:t>tested for stationarity</w:t>
      </w:r>
      <w:r w:rsidR="005909BC">
        <w:t>, with only</w:t>
      </w:r>
      <w:r w:rsidR="00D12804">
        <w:t xml:space="preserve"> nitrogen price </w:t>
      </w:r>
      <w:r w:rsidR="005909BC">
        <w:t xml:space="preserve">found to be </w:t>
      </w:r>
      <w:r w:rsidR="00D12804">
        <w:t>non-stationary</w:t>
      </w:r>
      <w:r w:rsidR="005909BC">
        <w:t xml:space="preserve">. </w:t>
      </w:r>
      <w:r w:rsidR="00D243E8">
        <w:t xml:space="preserve">It was transformed by calculating its monthly </w:t>
      </w:r>
      <w:r w:rsidR="00812033">
        <w:t>return in</w:t>
      </w:r>
      <w:r w:rsidR="00D12804">
        <w:t xml:space="preserve"> nitrogen price</w:t>
      </w:r>
      <w:r w:rsidR="00EE486F">
        <w:t>.</w:t>
      </w:r>
    </w:p>
    <w:p w14:paraId="4B4982EE" w14:textId="7E1D1413" w:rsidR="0095156D" w:rsidRDefault="006F09F1" w:rsidP="00C54F6F">
      <w:pPr>
        <w:widowControl/>
      </w:pPr>
      <w:r>
        <w:t xml:space="preserve">The </w:t>
      </w:r>
      <w:r w:rsidR="001A511C">
        <w:t xml:space="preserve">first </w:t>
      </w:r>
      <w:r w:rsidR="003F1573">
        <w:t>variable considered was</w:t>
      </w:r>
      <w:r w:rsidR="001A511C">
        <w:t xml:space="preserve"> geopolitical risk</w:t>
      </w:r>
      <w:r w:rsidR="00D5282A">
        <w:t xml:space="preserve">, which </w:t>
      </w:r>
      <w:r w:rsidR="000125AD" w:rsidRPr="000125AD">
        <w:t xml:space="preserve">constructs a measure of adverse geopolitical events </w:t>
      </w:r>
      <w:r w:rsidR="00817125">
        <w:t xml:space="preserve">based on </w:t>
      </w:r>
      <w:r w:rsidR="00E46B17">
        <w:t>a tally</w:t>
      </w:r>
      <w:r w:rsidR="00061470">
        <w:t xml:space="preserve"> of newspaper articles covering geopolitical tensions</w:t>
      </w:r>
      <w:sdt>
        <w:sdtPr>
          <w:id w:val="763418260"/>
          <w:citation/>
        </w:sdtPr>
        <w:sdtEndPr/>
        <w:sdtContent>
          <w:r w:rsidR="000125AD">
            <w:fldChar w:fldCharType="begin"/>
          </w:r>
          <w:r w:rsidR="000125AD">
            <w:instrText xml:space="preserve"> CITATION Cal241 \l 5129 </w:instrText>
          </w:r>
          <w:r w:rsidR="000125AD">
            <w:fldChar w:fldCharType="separate"/>
          </w:r>
          <w:r w:rsidR="00FA4F89">
            <w:rPr>
              <w:noProof/>
            </w:rPr>
            <w:t xml:space="preserve"> (Caldara &amp; Iacoviello, 2024)</w:t>
          </w:r>
          <w:r w:rsidR="000125AD">
            <w:fldChar w:fldCharType="end"/>
          </w:r>
        </w:sdtContent>
      </w:sdt>
      <w:r w:rsidR="00061470">
        <w:t>.</w:t>
      </w:r>
      <w:r w:rsidR="000125AD">
        <w:t xml:space="preserve"> </w:t>
      </w:r>
      <w:r w:rsidR="00886CEF">
        <w:t>Higher</w:t>
      </w:r>
      <w:r w:rsidR="00C154F3">
        <w:t xml:space="preserve"> geopolitical</w:t>
      </w:r>
      <w:r w:rsidR="00886CEF">
        <w:t xml:space="preserve"> risk is </w:t>
      </w:r>
      <w:r w:rsidR="000125AD">
        <w:t>known</w:t>
      </w:r>
      <w:r w:rsidR="00886CEF">
        <w:t xml:space="preserve"> to foreshadow </w:t>
      </w:r>
      <w:r w:rsidR="0053325C">
        <w:t xml:space="preserve">lower investment and down side risk to the economy </w:t>
      </w:r>
      <w:sdt>
        <w:sdtPr>
          <w:id w:val="-979294304"/>
          <w:citation/>
        </w:sdtPr>
        <w:sdtEndPr/>
        <w:sdtContent>
          <w:r w:rsidR="00661991">
            <w:fldChar w:fldCharType="begin"/>
          </w:r>
          <w:r w:rsidR="00661991">
            <w:instrText xml:space="preserve"> CITATION Cal241 \l 5129 </w:instrText>
          </w:r>
          <w:r w:rsidR="00661991">
            <w:fldChar w:fldCharType="separate"/>
          </w:r>
          <w:r w:rsidR="00FA4F89">
            <w:rPr>
              <w:noProof/>
            </w:rPr>
            <w:t>(Caldara &amp; Iacoviello, 2024)</w:t>
          </w:r>
          <w:r w:rsidR="00661991">
            <w:fldChar w:fldCharType="end"/>
          </w:r>
        </w:sdtContent>
      </w:sdt>
      <w:r w:rsidR="0053325C">
        <w:t>.</w:t>
      </w:r>
      <w:r w:rsidR="0084271C">
        <w:t xml:space="preserve"> This </w:t>
      </w:r>
      <w:r w:rsidR="00E46B17">
        <w:t>consideration</w:t>
      </w:r>
      <w:r w:rsidR="00F005FE">
        <w:t xml:space="preserve"> is relevant </w:t>
      </w:r>
      <w:r w:rsidR="00647D8A">
        <w:t>in light of</w:t>
      </w:r>
      <w:r w:rsidR="00E46B17">
        <w:t xml:space="preserve"> recent</w:t>
      </w:r>
      <w:r w:rsidR="00647D8A">
        <w:t xml:space="preserve"> events like the war in Ukraine, a majority exporter of corn, and how such conflicts </w:t>
      </w:r>
      <w:r w:rsidR="00E46B17">
        <w:t>affect global corn prices. Additionally</w:t>
      </w:r>
      <w:r w:rsidR="0006006B">
        <w:t xml:space="preserve">, </w:t>
      </w:r>
      <w:r w:rsidR="00FC3CF7">
        <w:t xml:space="preserve">trade wars may impact corn price through </w:t>
      </w:r>
      <w:r w:rsidR="00F37248">
        <w:t>reduced</w:t>
      </w:r>
      <w:r w:rsidR="00FC3CF7">
        <w:t xml:space="preserve"> imports or exports </w:t>
      </w:r>
      <w:r w:rsidR="00AA2641">
        <w:t>between countries</w:t>
      </w:r>
      <w:r w:rsidR="00FC3CF7">
        <w:t>.</w:t>
      </w:r>
      <w:r w:rsidR="005C181F">
        <w:t xml:space="preserve"> </w:t>
      </w:r>
    </w:p>
    <w:p w14:paraId="114327A7" w14:textId="14767960" w:rsidR="0095156D" w:rsidRDefault="00767C41" w:rsidP="00C54F6F">
      <w:pPr>
        <w:widowControl/>
      </w:pPr>
      <w:r>
        <w:t xml:space="preserve">The second variable </w:t>
      </w:r>
      <w:r w:rsidR="0026052F">
        <w:t xml:space="preserve">examined was </w:t>
      </w:r>
      <w:r w:rsidR="00AE35C5">
        <w:t>measure of China’s GDP</w:t>
      </w:r>
      <w:r w:rsidR="0026052F">
        <w:t xml:space="preserve">, </w:t>
      </w:r>
      <w:r w:rsidR="00AF32EE">
        <w:t>the country who spends the most on corn imports</w:t>
      </w:r>
      <w:r w:rsidR="00185455">
        <w:t>.</w:t>
      </w:r>
      <w:r w:rsidR="00185455" w:rsidRPr="00185455">
        <w:t xml:space="preserve"> </w:t>
      </w:r>
      <w:r w:rsidR="00AF32EE">
        <w:t xml:space="preserve">While </w:t>
      </w:r>
      <w:r w:rsidR="00185455">
        <w:t xml:space="preserve">GDP </w:t>
      </w:r>
      <w:r w:rsidR="00AF32EE">
        <w:t xml:space="preserve">data was only available </w:t>
      </w:r>
      <w:r w:rsidR="00185455">
        <w:t>quarterly</w:t>
      </w:r>
      <w:r w:rsidR="002A5AF2">
        <w:t xml:space="preserve">, </w:t>
      </w:r>
      <w:r w:rsidR="00185455">
        <w:t>China’s total export</w:t>
      </w:r>
      <w:r w:rsidR="002A5AF2">
        <w:t>-</w:t>
      </w:r>
      <w:r w:rsidR="00185455">
        <w:t>to</w:t>
      </w:r>
      <w:r w:rsidR="002A5AF2">
        <w:t>-</w:t>
      </w:r>
      <w:r w:rsidR="00185455">
        <w:t>import ratio</w:t>
      </w:r>
      <w:r w:rsidR="002A5AF2">
        <w:t xml:space="preserve">, </w:t>
      </w:r>
      <w:r w:rsidR="000F70E0">
        <w:t>s</w:t>
      </w:r>
      <w:r w:rsidR="00185455" w:rsidRPr="00185455">
        <w:t xml:space="preserve">ourced from the OECD </w:t>
      </w:r>
      <w:r w:rsidR="002A5AF2" w:rsidRPr="002A5AF2">
        <w:t xml:space="preserve">was used as a substitute </w:t>
      </w:r>
      <w:r w:rsidR="00185455" w:rsidRPr="00185455">
        <w:t>(OECD, 2024).</w:t>
      </w:r>
      <w:r w:rsidR="000F70E0">
        <w:t xml:space="preserve"> </w:t>
      </w:r>
      <w:r w:rsidR="00966073">
        <w:t xml:space="preserve">This </w:t>
      </w:r>
      <w:r w:rsidR="002A5AF2">
        <w:t xml:space="preserve">measure helps </w:t>
      </w:r>
      <w:r w:rsidR="00455766">
        <w:t>capture China</w:t>
      </w:r>
      <w:r w:rsidR="00966073">
        <w:t>’</w:t>
      </w:r>
      <w:r w:rsidR="00455766">
        <w:t>s demand for corn</w:t>
      </w:r>
      <w:r w:rsidR="00DB358D">
        <w:t>;</w:t>
      </w:r>
      <w:r w:rsidR="000F70E0">
        <w:t xml:space="preserve"> for example, </w:t>
      </w:r>
      <w:r w:rsidR="00955166">
        <w:t xml:space="preserve">when they </w:t>
      </w:r>
      <w:r w:rsidR="00455766">
        <w:t xml:space="preserve">generally import more does </w:t>
      </w:r>
      <w:r w:rsidR="00955166">
        <w:t xml:space="preserve">global </w:t>
      </w:r>
      <w:r w:rsidR="00455766">
        <w:t xml:space="preserve">corn price increase. </w:t>
      </w:r>
    </w:p>
    <w:p w14:paraId="1A5593A7" w14:textId="3256673E" w:rsidR="001D2F5B" w:rsidRDefault="00541307" w:rsidP="00C54F6F">
      <w:pPr>
        <w:widowControl/>
      </w:pPr>
      <w:r>
        <w:t>Fertilizer</w:t>
      </w:r>
      <w:r w:rsidR="00B24C6B">
        <w:t xml:space="preserve"> </w:t>
      </w:r>
      <w:r w:rsidR="00C277C0">
        <w:t xml:space="preserve">prices were also included as they represent a </w:t>
      </w:r>
      <w:r>
        <w:t>significant input cost in growing corn</w:t>
      </w:r>
      <w:r w:rsidR="00C277C0">
        <w:t>.</w:t>
      </w:r>
      <w:r w:rsidR="00865BE7">
        <w:t xml:space="preserve"> N</w:t>
      </w:r>
      <w:r w:rsidR="001A37DE">
        <w:t>itrogen</w:t>
      </w:r>
      <w:r w:rsidR="00DF3E2C">
        <w:t xml:space="preserve"> is the</w:t>
      </w:r>
      <w:r w:rsidR="004E59B5">
        <w:t xml:space="preserve"> </w:t>
      </w:r>
      <w:r w:rsidR="00693FE1">
        <w:t xml:space="preserve">highest rate nutrient for corn </w:t>
      </w:r>
      <w:r w:rsidR="00890C89">
        <w:t>production so</w:t>
      </w:r>
      <w:r w:rsidR="00EC5857">
        <w:t xml:space="preserve"> by incorporating its prices we can access how rising costs impacts </w:t>
      </w:r>
      <w:r w:rsidR="005D05B0">
        <w:t>growers’</w:t>
      </w:r>
      <w:r w:rsidR="00EC5857">
        <w:t xml:space="preserve"> usage</w:t>
      </w:r>
      <w:r w:rsidR="00890C89">
        <w:t xml:space="preserve"> </w:t>
      </w:r>
      <w:sdt>
        <w:sdtPr>
          <w:id w:val="-391884246"/>
          <w:citation/>
        </w:sdtPr>
        <w:sdtEndPr/>
        <w:sdtContent>
          <w:r w:rsidR="00890C89">
            <w:fldChar w:fldCharType="begin"/>
          </w:r>
          <w:r w:rsidR="00890C89">
            <w:instrText xml:space="preserve"> CITATION Bay22 \l 5129 </w:instrText>
          </w:r>
          <w:r w:rsidR="00890C89">
            <w:fldChar w:fldCharType="separate"/>
          </w:r>
          <w:r w:rsidR="00FA4F89">
            <w:rPr>
              <w:noProof/>
            </w:rPr>
            <w:t>(Bayer, 2022)</w:t>
          </w:r>
          <w:r w:rsidR="00890C89">
            <w:fldChar w:fldCharType="end"/>
          </w:r>
        </w:sdtContent>
      </w:sdt>
      <w:r w:rsidR="00EC5857">
        <w:t>. I</w:t>
      </w:r>
      <w:r w:rsidR="00A62195">
        <w:t>f farmers use less nitrogen</w:t>
      </w:r>
      <w:r w:rsidR="001D2F5B">
        <w:t xml:space="preserve"> </w:t>
      </w:r>
      <w:r w:rsidR="00EC5857">
        <w:t>due to rising prices</w:t>
      </w:r>
      <w:r w:rsidR="007B7309">
        <w:t xml:space="preserve">, it may lead to </w:t>
      </w:r>
      <w:r w:rsidR="00953625">
        <w:t xml:space="preserve">a reduction in area of corn grown or lower nitrogen application rates, </w:t>
      </w:r>
      <w:r w:rsidR="005D05B0">
        <w:t>ultimately</w:t>
      </w:r>
      <w:r w:rsidR="001A37DE">
        <w:t xml:space="preserve"> </w:t>
      </w:r>
      <w:r w:rsidR="004D32A8">
        <w:t>reducing</w:t>
      </w:r>
      <w:r w:rsidR="001A37DE">
        <w:t xml:space="preserve"> supply and driving up corn prices</w:t>
      </w:r>
      <w:r w:rsidR="00124E82">
        <w:t>.</w:t>
      </w:r>
      <w:r w:rsidR="00CC49D2">
        <w:t xml:space="preserve"> </w:t>
      </w:r>
    </w:p>
    <w:p w14:paraId="70BEE185" w14:textId="67D40E9F" w:rsidR="00B523FB" w:rsidRDefault="00124E82" w:rsidP="00C54F6F">
      <w:pPr>
        <w:widowControl/>
      </w:pPr>
      <w:r>
        <w:t xml:space="preserve">Weather is </w:t>
      </w:r>
      <w:r w:rsidR="00890C89">
        <w:t xml:space="preserve">a </w:t>
      </w:r>
      <w:r w:rsidR="00B71E54">
        <w:t>crucial</w:t>
      </w:r>
      <w:r>
        <w:t xml:space="preserve"> factor </w:t>
      </w:r>
      <w:r w:rsidR="00CD4D4E">
        <w:t>affecting corn growth, as both excessive</w:t>
      </w:r>
      <w:r w:rsidR="00B71E54">
        <w:t xml:space="preserve"> and insufficient rainfall can include yields and supply.</w:t>
      </w:r>
      <w:r w:rsidR="00E8239D">
        <w:t xml:space="preserve"> </w:t>
      </w:r>
      <w:r w:rsidR="006E4654">
        <w:t>To account for this</w:t>
      </w:r>
      <w:r w:rsidR="00196AC1">
        <w:t xml:space="preserve">, average monthly rainfall and temperature data </w:t>
      </w:r>
      <w:r w:rsidR="00BD6EE5">
        <w:t>were gathered from counties</w:t>
      </w:r>
      <w:r w:rsidR="003516B3">
        <w:t xml:space="preserve"> (</w:t>
      </w:r>
      <w:r w:rsidR="003516B3" w:rsidRPr="003516B3">
        <w:t>Des Moines</w:t>
      </w:r>
      <w:r w:rsidR="003516B3">
        <w:t xml:space="preserve"> and </w:t>
      </w:r>
      <w:r w:rsidR="00432C60" w:rsidRPr="00432C60">
        <w:t>Normal</w:t>
      </w:r>
      <w:r w:rsidR="00432C60">
        <w:t>)</w:t>
      </w:r>
      <w:r w:rsidR="00BD6EE5">
        <w:t xml:space="preserve"> in the two top corn producing states in </w:t>
      </w:r>
      <w:r w:rsidR="003516B3">
        <w:t>US, Iowa and Illinois.</w:t>
      </w:r>
      <w:r w:rsidR="006E4654">
        <w:t xml:space="preserve"> </w:t>
      </w:r>
      <w:r w:rsidR="00432C60">
        <w:t xml:space="preserve">The data was transformed into </w:t>
      </w:r>
      <w:r w:rsidR="007E2DA4">
        <w:t xml:space="preserve">deviations from the monthly average to identify the impact of </w:t>
      </w:r>
      <w:r w:rsidR="00483152">
        <w:t>abnormally</w:t>
      </w:r>
      <w:r w:rsidR="007E2DA4">
        <w:t xml:space="preserve"> large or small </w:t>
      </w:r>
      <w:r w:rsidR="00483152">
        <w:t>amounts of rainfall or extreme temperatures on corn prices</w:t>
      </w:r>
      <w:sdt>
        <w:sdtPr>
          <w:id w:val="1666059980"/>
          <w:citation/>
        </w:sdtPr>
        <w:sdtEndPr/>
        <w:sdtContent>
          <w:r w:rsidR="00483152">
            <w:fldChar w:fldCharType="begin"/>
          </w:r>
          <w:r w:rsidR="00483152">
            <w:instrText xml:space="preserve"> CITATION NWS24 \l 5129 </w:instrText>
          </w:r>
          <w:r w:rsidR="00483152">
            <w:fldChar w:fldCharType="separate"/>
          </w:r>
          <w:r w:rsidR="00FA4F89">
            <w:rPr>
              <w:noProof/>
            </w:rPr>
            <w:t xml:space="preserve"> (NWS, 2024)</w:t>
          </w:r>
          <w:r w:rsidR="00483152">
            <w:fldChar w:fldCharType="end"/>
          </w:r>
        </w:sdtContent>
      </w:sdt>
      <w:r w:rsidR="00483152">
        <w:t>. M</w:t>
      </w:r>
      <w:r w:rsidR="002547C7">
        <w:t xml:space="preserve">issing </w:t>
      </w:r>
      <w:r w:rsidR="00483152">
        <w:t xml:space="preserve">values </w:t>
      </w:r>
      <w:r w:rsidR="002547C7">
        <w:t>were replaced with the historic</w:t>
      </w:r>
      <w:r w:rsidR="00B523FB">
        <w:t>al</w:t>
      </w:r>
      <w:r w:rsidR="002547C7">
        <w:t xml:space="preserve"> average for that </w:t>
      </w:r>
      <w:r w:rsidR="005D02E6">
        <w:t xml:space="preserve">month. </w:t>
      </w:r>
    </w:p>
    <w:p w14:paraId="797AFE50" w14:textId="76C24F0D" w:rsidR="001C6669" w:rsidRDefault="005D02E6" w:rsidP="00C54F6F">
      <w:pPr>
        <w:widowControl/>
      </w:pPr>
      <w:r>
        <w:t>Aside</w:t>
      </w:r>
      <w:r w:rsidR="001C6669">
        <w:t xml:space="preserve"> from the weather variables, </w:t>
      </w:r>
      <w:r w:rsidR="00CA4B42">
        <w:t>all var</w:t>
      </w:r>
      <w:r w:rsidR="00B24C6B">
        <w:t>iables had four lags to</w:t>
      </w:r>
      <w:r w:rsidR="001C6669">
        <w:t xml:space="preserve"> capture </w:t>
      </w:r>
      <w:r w:rsidR="00B523FB">
        <w:t xml:space="preserve">any </w:t>
      </w:r>
      <w:r w:rsidR="001C6669">
        <w:t xml:space="preserve">delayed effects </w:t>
      </w:r>
      <w:r w:rsidR="00B70B6B">
        <w:t>that may arise</w:t>
      </w:r>
      <w:r w:rsidR="001C6669">
        <w:t>.</w:t>
      </w:r>
    </w:p>
    <w:p w14:paraId="1EBBEB5A" w14:textId="77777777" w:rsidR="009C34E5" w:rsidRDefault="009C34E5" w:rsidP="00C54F6F">
      <w:pPr>
        <w:widowControl/>
      </w:pPr>
    </w:p>
    <w:p w14:paraId="17E8CD1E" w14:textId="096415F9" w:rsidR="009C34E5" w:rsidRDefault="009C52A6" w:rsidP="00EC28AC">
      <w:pPr>
        <w:pStyle w:val="Heading2"/>
        <w:jc w:val="left"/>
      </w:pPr>
      <w:r>
        <w:t xml:space="preserve">2.2. </w:t>
      </w:r>
      <w:r w:rsidR="00CF34C4">
        <w:t>Econometric methods</w:t>
      </w:r>
      <w:r w:rsidR="00CF34C4">
        <w:br/>
      </w:r>
    </w:p>
    <w:p w14:paraId="6F360A41" w14:textId="58B15AA5" w:rsidR="000059F3" w:rsidRDefault="00333B8F" w:rsidP="00C54F6F">
      <w:pPr>
        <w:widowControl/>
      </w:pPr>
      <w:r>
        <w:t>The r</w:t>
      </w:r>
      <w:r w:rsidR="0044157B">
        <w:t>andom walk with drift was used as the bas</w:t>
      </w:r>
      <w:r w:rsidR="00093B90">
        <w:t>e</w:t>
      </w:r>
      <w:r w:rsidR="0044157B">
        <w:t xml:space="preserve"> model</w:t>
      </w:r>
      <w:r>
        <w:t>, im</w:t>
      </w:r>
      <w:r w:rsidR="00742C3B">
        <w:t>plemented</w:t>
      </w:r>
      <w:r w:rsidR="0044157B">
        <w:t xml:space="preserve"> using the rwf function in R</w:t>
      </w:r>
      <w:r w:rsidR="00742C3B">
        <w:t xml:space="preserve">. It is expressed as shown in </w:t>
      </w:r>
      <w:r w:rsidR="005E2997">
        <w:t>equation 1</w:t>
      </w:r>
      <w:r w:rsidR="0044157B">
        <w:t xml:space="preserve">. </w:t>
      </w:r>
    </w:p>
    <w:p w14:paraId="7B2CEFC0" w14:textId="4B93AF2B" w:rsidR="00144439" w:rsidRPr="008E1B53" w:rsidRDefault="00285823" w:rsidP="008E1B53">
      <w:pPr>
        <w:widowControl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 μ</m:t>
        </m:r>
      </m:oMath>
      <w:r w:rsidR="008E1B53">
        <w:rPr>
          <w:rFonts w:eastAsiaTheme="minorEastAsia"/>
        </w:rPr>
        <w:tab/>
        <w:t>[1]</w:t>
      </w:r>
    </w:p>
    <w:p w14:paraId="671356C0" w14:textId="6A6F1239" w:rsidR="0080152A" w:rsidRDefault="00FF78B4" w:rsidP="00C54F6F">
      <w:pPr>
        <w:widowControl/>
      </w:pPr>
      <w:r>
        <w:rPr>
          <w:rFonts w:eastAsiaTheme="minorEastAsia"/>
        </w:rPr>
        <w:br/>
      </w:r>
      <w:r w:rsidR="00DE6814">
        <w:rPr>
          <w:rFonts w:eastAsiaTheme="minorEastAsia"/>
        </w:rPr>
        <w:t xml:space="preserve">Where CP is corn price and </w:t>
      </w:r>
      <w:r w:rsidR="00DE6814">
        <w:rPr>
          <w:rFonts w:eastAsiaTheme="minorEastAsia" w:cstheme="minorHAnsi"/>
        </w:rPr>
        <w:t>µ</w:t>
      </w:r>
      <w:r w:rsidR="00DE6814">
        <w:rPr>
          <w:rFonts w:eastAsiaTheme="minorEastAsia"/>
        </w:rPr>
        <w:t xml:space="preserve"> is the </w:t>
      </w:r>
      <w:r w:rsidR="00945439">
        <w:rPr>
          <w:rFonts w:eastAsiaTheme="minorEastAsia"/>
        </w:rPr>
        <w:t>drift term</w:t>
      </w:r>
      <w:r w:rsidR="008B1EE4">
        <w:rPr>
          <w:rFonts w:eastAsiaTheme="minorEastAsia"/>
        </w:rPr>
        <w:t>.</w:t>
      </w:r>
    </w:p>
    <w:p w14:paraId="6A364662" w14:textId="7B86EBAD" w:rsidR="00A1402D" w:rsidRDefault="00035BF7" w:rsidP="00C54F6F">
      <w:pPr>
        <w:widowControl/>
      </w:pPr>
      <w:r>
        <w:lastRenderedPageBreak/>
        <w:t xml:space="preserve">The optimal </w:t>
      </w:r>
      <w:r w:rsidR="00A1402D">
        <w:t xml:space="preserve">ARIMA </w:t>
      </w:r>
      <w:r>
        <w:t xml:space="preserve">model </w:t>
      </w:r>
      <w:r w:rsidR="00A1402D">
        <w:t xml:space="preserve">was </w:t>
      </w:r>
      <w:r w:rsidR="00742C3B">
        <w:t>identified</w:t>
      </w:r>
      <w:r w:rsidR="00A1402D">
        <w:t xml:space="preserve"> using the auto</w:t>
      </w:r>
      <w:r w:rsidR="00F838B5">
        <w:t>.</w:t>
      </w:r>
      <w:r w:rsidR="00A1402D">
        <w:t>arima</w:t>
      </w:r>
      <w:r w:rsidR="00AD19B3">
        <w:t xml:space="preserve"> function in R</w:t>
      </w:r>
      <w:r w:rsidR="00545811">
        <w:t xml:space="preserve">. It </w:t>
      </w:r>
      <w:r w:rsidR="00AD19B3">
        <w:t xml:space="preserve">tests different p and q values </w:t>
      </w:r>
      <w:r w:rsidR="00545811">
        <w:t>through</w:t>
      </w:r>
      <w:r w:rsidR="00290DF3">
        <w:t xml:space="preserve"> a variation of the Hyndman-</w:t>
      </w:r>
      <w:r w:rsidR="00290DF3" w:rsidRPr="00290DF3">
        <w:t xml:space="preserve"> Khandakar algorithm</w:t>
      </w:r>
      <w:r w:rsidR="00044C10">
        <w:t xml:space="preserve"> until the minimum AICc is </w:t>
      </w:r>
      <w:r w:rsidR="00545811">
        <w:t>achieved</w:t>
      </w:r>
      <w:r w:rsidR="00044C10">
        <w:t xml:space="preserve"> </w:t>
      </w:r>
      <w:sdt>
        <w:sdtPr>
          <w:id w:val="880219462"/>
          <w:citation/>
        </w:sdtPr>
        <w:sdtEndPr/>
        <w:sdtContent>
          <w:r w:rsidR="00271DC1">
            <w:fldChar w:fldCharType="begin"/>
          </w:r>
          <w:r w:rsidR="00271DC1">
            <w:instrText xml:space="preserve"> CITATION Hyn24 \l 5129 </w:instrText>
          </w:r>
          <w:r w:rsidR="00271DC1">
            <w:fldChar w:fldCharType="separate"/>
          </w:r>
          <w:r w:rsidR="00FA4F89">
            <w:rPr>
              <w:noProof/>
            </w:rPr>
            <w:t>(Hyndman &amp; Athanasopoulos, 2024)</w:t>
          </w:r>
          <w:r w:rsidR="00271DC1">
            <w:fldChar w:fldCharType="end"/>
          </w:r>
        </w:sdtContent>
      </w:sdt>
      <w:r w:rsidR="00044C10">
        <w:t>.</w:t>
      </w:r>
      <w:r w:rsidR="00E15950">
        <w:t xml:space="preserve"> </w:t>
      </w:r>
      <w:r w:rsidR="006B07AA">
        <w:t xml:space="preserve">The ARIMA model is </w:t>
      </w:r>
      <w:r w:rsidR="00545811">
        <w:t>represented</w:t>
      </w:r>
      <w:r w:rsidR="00C5790F">
        <w:t xml:space="preserve"> by</w:t>
      </w:r>
      <w:r w:rsidR="006B07AA">
        <w:t xml:space="preserve"> equation 2.</w:t>
      </w:r>
    </w:p>
    <w:p w14:paraId="1FEC6D6E" w14:textId="260AB2A0" w:rsidR="00482F7F" w:rsidRDefault="006D203C" w:rsidP="00C54F6F">
      <w:pPr>
        <w:widowControl/>
      </w:pPr>
      <w:r>
        <w:t>ARIMA (</w:t>
      </w:r>
      <w:r w:rsidR="00482F7F">
        <w:t>p,</w:t>
      </w:r>
      <w:r>
        <w:t xml:space="preserve"> </w:t>
      </w:r>
      <w:r w:rsidR="00482F7F">
        <w:t>d,</w:t>
      </w:r>
      <w:r>
        <w:t xml:space="preserve"> </w:t>
      </w:r>
      <w:r w:rsidR="00482F7F">
        <w:t>q):</w:t>
      </w:r>
    </w:p>
    <w:bookmarkStart w:id="1" w:name="_Hlk180226660"/>
    <w:p w14:paraId="67C6B118" w14:textId="3F72B800" w:rsidR="008B1EE4" w:rsidRDefault="00285823" w:rsidP="00E15950">
      <w:pPr>
        <w:widowControl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=α+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t-p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t-q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bookmarkEnd w:id="1"/>
      <w:r w:rsidR="00E15950">
        <w:rPr>
          <w:rFonts w:eastAsiaTheme="minorEastAsia"/>
        </w:rPr>
        <w:tab/>
        <w:t>[2]</w:t>
      </w:r>
    </w:p>
    <w:p w14:paraId="2FD7C47E" w14:textId="77777777" w:rsidR="00091C19" w:rsidRDefault="00091C19" w:rsidP="00C54F6F">
      <w:pPr>
        <w:widowControl/>
      </w:pPr>
    </w:p>
    <w:p w14:paraId="3B2DF7A8" w14:textId="15CC20D9" w:rsidR="004C6D37" w:rsidRDefault="006B07AA" w:rsidP="00C54F6F">
      <w:pPr>
        <w:widowControl/>
      </w:pPr>
      <w:r>
        <w:t>The Seasonal ARIMA</w:t>
      </w:r>
      <w:r w:rsidR="00C5790F">
        <w:t xml:space="preserve"> (SARIMA)</w:t>
      </w:r>
      <w:r>
        <w:t xml:space="preserve"> </w:t>
      </w:r>
      <w:r w:rsidR="00C5790F">
        <w:t xml:space="preserve">determined similarly </w:t>
      </w:r>
      <w:r w:rsidR="00B841CE">
        <w:t>but also includes an ARIMA</w:t>
      </w:r>
      <w:r w:rsidR="004C6D37">
        <w:t xml:space="preserve"> </w:t>
      </w:r>
      <w:r w:rsidR="00974538">
        <w:t>component</w:t>
      </w:r>
      <w:r w:rsidR="00B841CE">
        <w:t xml:space="preserve"> from the previous season</w:t>
      </w:r>
      <w:r w:rsidR="00091C19">
        <w:t xml:space="preserve"> as shown in equation </w:t>
      </w:r>
      <w:r w:rsidR="008F1768">
        <w:t>3</w:t>
      </w:r>
      <w:r w:rsidR="00B841CE">
        <w:t xml:space="preserve">. </w:t>
      </w:r>
    </w:p>
    <w:p w14:paraId="1A19D877" w14:textId="77777777" w:rsidR="004C6D37" w:rsidRDefault="004C6D37" w:rsidP="004C6D37">
      <w:pPr>
        <w:widowControl/>
      </w:pPr>
      <w:r>
        <w:t>SARIMA (p, d, q) (P, D, Q) [m]:</w:t>
      </w:r>
    </w:p>
    <w:p w14:paraId="6C920A98" w14:textId="38E0A626" w:rsidR="004C6D37" w:rsidRPr="00CE15BF" w:rsidRDefault="00285823" w:rsidP="004C6D37">
      <w:pPr>
        <w:widowControl/>
        <w:jc w:val="center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=α+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t-p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t-q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s,1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t-m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s,P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t-Pm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t-m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s,Q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t-Qm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C6D37">
        <w:rPr>
          <w:rFonts w:eastAsiaTheme="minorEastAsia"/>
        </w:rPr>
        <w:tab/>
        <w:t>[3]</w:t>
      </w:r>
      <w:r w:rsidR="008C70E7">
        <w:rPr>
          <w:rFonts w:eastAsiaTheme="minorEastAsia"/>
        </w:rPr>
        <w:br/>
      </w:r>
    </w:p>
    <w:p w14:paraId="0D616521" w14:textId="77777777" w:rsidR="007810AF" w:rsidRDefault="00FF78B4" w:rsidP="00C54F6F">
      <w:pPr>
        <w:widowControl/>
      </w:pPr>
      <w:r w:rsidRPr="00FF78B4">
        <w:t xml:space="preserve">After </w:t>
      </w:r>
      <w:r w:rsidR="004C6D37">
        <w:t>fitting</w:t>
      </w:r>
      <w:r w:rsidRPr="00FF78B4">
        <w:t xml:space="preserve"> an ARIMA model we check the autocorrelation function (ACF) plot</w:t>
      </w:r>
      <w:r w:rsidR="004C6D37">
        <w:t xml:space="preserve"> to ensure</w:t>
      </w:r>
      <w:r w:rsidRPr="00FF78B4">
        <w:t xml:space="preserve"> residuals of the lags are within the thresholds, particularly in the early lags</w:t>
      </w:r>
      <w:r w:rsidR="007810AF">
        <w:t>. Additionally,</w:t>
      </w:r>
      <w:r w:rsidRPr="00FF78B4">
        <w:t xml:space="preserve"> a Ljung-Box Test is completed with the following hypotheses:</w:t>
      </w:r>
    </w:p>
    <w:p w14:paraId="67B4F8CD" w14:textId="022C2C36" w:rsidR="007810AF" w:rsidRDefault="00FF78B4" w:rsidP="007810AF">
      <w:pPr>
        <w:pStyle w:val="ListParagraph"/>
        <w:widowControl/>
        <w:numPr>
          <w:ilvl w:val="0"/>
          <w:numId w:val="13"/>
        </w:numPr>
      </w:pPr>
      <w:r w:rsidRPr="00FF78B4">
        <w:t>H0: Residuals have no autocorrelation</w:t>
      </w:r>
      <w:r w:rsidR="007810AF">
        <w:t>.</w:t>
      </w:r>
      <w:r w:rsidRPr="00FF78B4">
        <w:t xml:space="preserve"> </w:t>
      </w:r>
    </w:p>
    <w:p w14:paraId="2E3B0643" w14:textId="77777777" w:rsidR="007810AF" w:rsidRDefault="00FF78B4" w:rsidP="007810AF">
      <w:pPr>
        <w:pStyle w:val="ListParagraph"/>
        <w:widowControl/>
        <w:numPr>
          <w:ilvl w:val="0"/>
          <w:numId w:val="13"/>
        </w:numPr>
      </w:pPr>
      <w:r w:rsidRPr="00FF78B4">
        <w:t xml:space="preserve">HA: Residuals have autocorrelation. </w:t>
      </w:r>
    </w:p>
    <w:p w14:paraId="5EFF665B" w14:textId="7D61DFDB" w:rsidR="006B07AA" w:rsidRDefault="00FB6DC7" w:rsidP="007810AF">
      <w:pPr>
        <w:widowControl/>
      </w:pPr>
      <w:r>
        <w:t xml:space="preserve">The test </w:t>
      </w:r>
      <w:r w:rsidR="00FF78B4" w:rsidRPr="00FF78B4">
        <w:t>ensure</w:t>
      </w:r>
      <w:r>
        <w:t>s</w:t>
      </w:r>
      <w:r w:rsidR="00FF78B4" w:rsidRPr="00FF78B4">
        <w:t xml:space="preserve"> the model is valid</w:t>
      </w:r>
      <w:r>
        <w:t xml:space="preserve">, </w:t>
      </w:r>
      <w:r w:rsidR="00FF78B4" w:rsidRPr="00FF78B4">
        <w:t xml:space="preserve">if autocorrelation </w:t>
      </w:r>
      <w:r w:rsidR="00165DA6">
        <w:t>is present,</w:t>
      </w:r>
      <w:r w:rsidR="00FF78B4" w:rsidRPr="00FF78B4">
        <w:t xml:space="preserve"> the model is not capturing all underlying patterns which </w:t>
      </w:r>
      <w:r>
        <w:t xml:space="preserve">may </w:t>
      </w:r>
      <w:r w:rsidR="00FF78B4" w:rsidRPr="00FF78B4">
        <w:t>affect forecast accuracy.</w:t>
      </w:r>
    </w:p>
    <w:p w14:paraId="07EBCD89" w14:textId="1F3B8569" w:rsidR="006C6CA2" w:rsidRDefault="00136BBE" w:rsidP="000F3507">
      <w:pPr>
        <w:widowControl/>
      </w:pPr>
      <w:r>
        <w:t xml:space="preserve">To find the optimal ARIMAX </w:t>
      </w:r>
      <w:r w:rsidR="00FB6DC7">
        <w:t xml:space="preserve">model </w:t>
      </w:r>
      <w:r w:rsidR="00832F93">
        <w:t>(Equation 4)</w:t>
      </w:r>
      <w:r w:rsidR="00FB6DC7">
        <w:t>,</w:t>
      </w:r>
      <w:r w:rsidR="00832F93">
        <w:t xml:space="preserve"> </w:t>
      </w:r>
      <w:r>
        <w:t xml:space="preserve">all explanatory variables were </w:t>
      </w:r>
      <w:r w:rsidR="00FB6DC7">
        <w:t>included</w:t>
      </w:r>
      <w:r w:rsidR="00260949">
        <w:t xml:space="preserve">. </w:t>
      </w:r>
      <w:r w:rsidR="00175555">
        <w:t>Then</w:t>
      </w:r>
      <w:r w:rsidR="00260949">
        <w:t xml:space="preserve"> </w:t>
      </w:r>
      <w:r w:rsidR="00AE7A67">
        <w:t xml:space="preserve">the </w:t>
      </w:r>
      <w:r>
        <w:t xml:space="preserve">backwards elimination </w:t>
      </w:r>
      <w:r w:rsidR="00AE7A67">
        <w:t xml:space="preserve">method was applied </w:t>
      </w:r>
      <w:r>
        <w:t xml:space="preserve">until the model </w:t>
      </w:r>
      <w:r w:rsidR="00260949">
        <w:t xml:space="preserve">only contained </w:t>
      </w:r>
      <w:r>
        <w:t>statistically significant coefficients</w:t>
      </w:r>
      <w:r w:rsidR="005912DC">
        <w:t xml:space="preserve"> (95% confidence interval)</w:t>
      </w:r>
      <w:r>
        <w:t xml:space="preserve"> and </w:t>
      </w:r>
      <w:r w:rsidR="00500731">
        <w:t>had</w:t>
      </w:r>
      <w:r w:rsidR="00174ED5">
        <w:t xml:space="preserve"> lower</w:t>
      </w:r>
      <w:r>
        <w:t xml:space="preserve"> AIC, RMSE and MAE than the ARIMA model. The </w:t>
      </w:r>
      <w:r w:rsidR="00174ED5">
        <w:t>aim</w:t>
      </w:r>
      <w:r>
        <w:t xml:space="preserve"> was to keep the number of explanatory variables as low as possible </w:t>
      </w:r>
      <w:r w:rsidR="00174ED5">
        <w:t>since</w:t>
      </w:r>
      <w:r>
        <w:t xml:space="preserve"> these variables will </w:t>
      </w:r>
      <w:r w:rsidR="00174ED5">
        <w:t xml:space="preserve">also </w:t>
      </w:r>
      <w:r>
        <w:t xml:space="preserve">need to be forecast, </w:t>
      </w:r>
      <w:r w:rsidR="00174ED5">
        <w:t>which could introduce</w:t>
      </w:r>
      <w:r w:rsidR="00CE0CEB">
        <w:t xml:space="preserve"> additional</w:t>
      </w:r>
      <w:r>
        <w:t xml:space="preserve"> errors </w:t>
      </w:r>
      <w:r w:rsidR="00CE0CEB">
        <w:t>in</w:t>
      </w:r>
      <w:r>
        <w:t>to corn price</w:t>
      </w:r>
      <w:r w:rsidR="003B1324">
        <w:t xml:space="preserve"> forecast</w:t>
      </w:r>
      <w:r>
        <w:t>.</w:t>
      </w:r>
      <w:r w:rsidR="00DC6A50">
        <w:t xml:space="preserve"> </w:t>
      </w:r>
    </w:p>
    <w:p w14:paraId="78688986" w14:textId="1ECF5017" w:rsidR="000F3507" w:rsidRDefault="00DC6A50" w:rsidP="000F3507">
      <w:pPr>
        <w:widowControl/>
        <w:jc w:val="left"/>
      </w:pPr>
      <w:r>
        <w:t>ARIMAX (p, d, q):</w:t>
      </w:r>
    </w:p>
    <w:p w14:paraId="0016ADAC" w14:textId="56D8512A" w:rsidR="00136BBE" w:rsidRDefault="00285823" w:rsidP="008B4EB2">
      <w:pPr>
        <w:widowControl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=α+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CP</m:t>
            </m:r>
          </m:e>
          <m:sub>
            <m:r>
              <w:rPr>
                <w:rFonts w:ascii="Cambria Math" w:hAnsi="Cambria Math"/>
              </w:rPr>
              <m:t>t-p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t-q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164E1">
        <w:rPr>
          <w:rFonts w:eastAsiaTheme="minorEastAsia"/>
        </w:rPr>
        <w:tab/>
        <w:t xml:space="preserve"> </w:t>
      </w:r>
      <w:r w:rsidR="001164E1">
        <w:rPr>
          <w:rFonts w:eastAsiaTheme="minorEastAsia"/>
        </w:rPr>
        <w:tab/>
      </w:r>
      <w:r w:rsidR="008B4EB2">
        <w:rPr>
          <w:rFonts w:eastAsiaTheme="minorEastAsia"/>
        </w:rPr>
        <w:t>[4]</w:t>
      </w:r>
    </w:p>
    <w:p w14:paraId="11A56DAA" w14:textId="77777777" w:rsidR="00136BBE" w:rsidRDefault="00136BBE" w:rsidP="00C54F6F">
      <w:pPr>
        <w:widowControl/>
      </w:pPr>
    </w:p>
    <w:p w14:paraId="6EA9E9AD" w14:textId="5F96754B" w:rsidR="00E64633" w:rsidRDefault="00235F75" w:rsidP="00A1328B">
      <w:pPr>
        <w:widowControl/>
      </w:pPr>
      <w:r>
        <w:t>The</w:t>
      </w:r>
      <w:r w:rsidR="008F1768">
        <w:t xml:space="preserve"> </w:t>
      </w:r>
      <w:r w:rsidR="001E7E58">
        <w:t xml:space="preserve">GARCH </w:t>
      </w:r>
      <w:r w:rsidR="008F1768">
        <w:t>model is made of two equations</w:t>
      </w:r>
      <w:r>
        <w:t>:</w:t>
      </w:r>
      <w:r w:rsidR="008F1768">
        <w:t xml:space="preserve"> a level </w:t>
      </w:r>
      <w:r w:rsidR="00D25C9C">
        <w:t>and variance equation. In this study the mean model was</w:t>
      </w:r>
      <w:r w:rsidR="00AC482A">
        <w:t xml:space="preserve"> an </w:t>
      </w:r>
      <w:r w:rsidR="00D25C9C">
        <w:t>ARIMA</w:t>
      </w:r>
      <w:r w:rsidR="00E64633">
        <w:t>, found using auto.arima</w:t>
      </w:r>
      <w:r w:rsidR="00D25C9C">
        <w:t xml:space="preserve">. </w:t>
      </w:r>
      <w:r w:rsidR="00A361AC">
        <w:t xml:space="preserve">The </w:t>
      </w:r>
      <w:r w:rsidR="00037B6E">
        <w:t>variance</w:t>
      </w:r>
      <w:r w:rsidR="00A361AC">
        <w:t xml:space="preserve"> equation was </w:t>
      </w:r>
      <w:r w:rsidR="00AC482A">
        <w:t>a</w:t>
      </w:r>
      <w:r w:rsidR="00E64633">
        <w:t xml:space="preserve"> </w:t>
      </w:r>
      <w:r w:rsidR="00A361AC">
        <w:t xml:space="preserve">GARCH(1,1) </w:t>
      </w:r>
      <w:r w:rsidR="00832F93">
        <w:t xml:space="preserve">expressed in </w:t>
      </w:r>
      <w:r w:rsidR="0028348B">
        <w:t>equation 5.</w:t>
      </w:r>
    </w:p>
    <w:p w14:paraId="758808F8" w14:textId="77777777" w:rsidR="00A91882" w:rsidRDefault="00A91882" w:rsidP="00A91882">
      <w:pPr>
        <w:widowControl/>
      </w:pPr>
      <w:r>
        <w:t>GARCH(1,1):</w:t>
      </w:r>
    </w:p>
    <w:p w14:paraId="7ECD052E" w14:textId="77777777" w:rsidR="00A91882" w:rsidRDefault="00285823" w:rsidP="00A91882">
      <w:pPr>
        <w:widowControl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A91882">
        <w:rPr>
          <w:rFonts w:eastAsiaTheme="minorEastAsia"/>
        </w:rPr>
        <w:tab/>
        <w:t>[5]</w:t>
      </w:r>
    </w:p>
    <w:p w14:paraId="51A657ED" w14:textId="77777777" w:rsidR="00A91882" w:rsidRDefault="00A91882" w:rsidP="00A1328B">
      <w:pPr>
        <w:widowControl/>
      </w:pPr>
    </w:p>
    <w:p w14:paraId="4CCCA087" w14:textId="05CD6C25" w:rsidR="00824C40" w:rsidRDefault="00DF5166" w:rsidP="00A1328B">
      <w:pPr>
        <w:widowControl/>
      </w:pPr>
      <w:r>
        <w:t xml:space="preserve">To </w:t>
      </w:r>
      <w:r w:rsidR="00974538">
        <w:t>assess</w:t>
      </w:r>
      <w:r w:rsidR="00A91882">
        <w:t xml:space="preserve"> the</w:t>
      </w:r>
      <w:r>
        <w:t xml:space="preserve"> </w:t>
      </w:r>
      <w:r w:rsidR="00AC482A">
        <w:t>model’s</w:t>
      </w:r>
      <w:r>
        <w:t xml:space="preserve"> </w:t>
      </w:r>
      <w:r w:rsidR="00AC482A">
        <w:t>effectiveness</w:t>
      </w:r>
      <w:r>
        <w:t xml:space="preserve"> two tests </w:t>
      </w:r>
      <w:r w:rsidR="00A91882">
        <w:t>were</w:t>
      </w:r>
      <w:r>
        <w:t xml:space="preserve"> completed</w:t>
      </w:r>
      <w:r w:rsidR="00151A13">
        <w:t>. Test 1</w:t>
      </w:r>
      <w:r w:rsidR="00824C40">
        <w:t xml:space="preserve"> </w:t>
      </w:r>
      <w:r w:rsidR="00151A13">
        <w:t xml:space="preserve">checks for auto correlation in the </w:t>
      </w:r>
      <w:r w:rsidR="00974538">
        <w:t>residuals, where</w:t>
      </w:r>
      <w:r w:rsidR="00824C40">
        <w:t>:</w:t>
      </w:r>
    </w:p>
    <w:p w14:paraId="158C9C86" w14:textId="77777777" w:rsidR="00824C40" w:rsidRDefault="002B50B6" w:rsidP="00824C40">
      <w:pPr>
        <w:pStyle w:val="ListParagraph"/>
        <w:widowControl/>
        <w:numPr>
          <w:ilvl w:val="0"/>
          <w:numId w:val="14"/>
        </w:numPr>
      </w:pPr>
      <w:r>
        <w:t>H</w:t>
      </w:r>
      <w:r w:rsidRPr="00824C40">
        <w:rPr>
          <w:vertAlign w:val="subscript"/>
        </w:rPr>
        <w:t>0</w:t>
      </w:r>
      <w:r>
        <w:t>: Residuals have no autocorrelation</w:t>
      </w:r>
      <w:r w:rsidR="00824C40">
        <w:t>.</w:t>
      </w:r>
      <w:r>
        <w:t xml:space="preserve"> </w:t>
      </w:r>
    </w:p>
    <w:p w14:paraId="74013FE5" w14:textId="77777777" w:rsidR="00824C40" w:rsidRDefault="002B50B6" w:rsidP="00824C40">
      <w:pPr>
        <w:pStyle w:val="ListParagraph"/>
        <w:widowControl/>
        <w:numPr>
          <w:ilvl w:val="0"/>
          <w:numId w:val="14"/>
        </w:numPr>
      </w:pPr>
      <w:r>
        <w:t>H</w:t>
      </w:r>
      <w:r w:rsidRPr="00824C40">
        <w:rPr>
          <w:vertAlign w:val="subscript"/>
        </w:rPr>
        <w:t>A</w:t>
      </w:r>
      <w:r>
        <w:t>: Residuals have autocorrelation</w:t>
      </w:r>
      <w:r w:rsidR="00151A13">
        <w:t xml:space="preserve">. </w:t>
      </w:r>
    </w:p>
    <w:p w14:paraId="6FA157D5" w14:textId="77777777" w:rsidR="008C70E7" w:rsidRDefault="00824C40" w:rsidP="00824C40">
      <w:pPr>
        <w:widowControl/>
      </w:pPr>
      <w:r>
        <w:t>T</w:t>
      </w:r>
      <w:r w:rsidR="00A1328B">
        <w:t>est 2</w:t>
      </w:r>
      <w:r w:rsidR="00151A13">
        <w:t xml:space="preserve"> is </w:t>
      </w:r>
      <w:r w:rsidR="0028348B">
        <w:t>similar</w:t>
      </w:r>
      <w:r w:rsidR="00151A13">
        <w:t xml:space="preserve"> but check</w:t>
      </w:r>
      <w:r w:rsidR="0028348B">
        <w:t>s</w:t>
      </w:r>
      <w:r w:rsidR="00151A13">
        <w:t xml:space="preserve"> </w:t>
      </w:r>
      <w:r w:rsidR="0028348B">
        <w:t xml:space="preserve">the </w:t>
      </w:r>
      <w:r w:rsidR="00151A13">
        <w:t>squared residuals</w:t>
      </w:r>
      <w:r w:rsidR="008C70E7">
        <w:t>:</w:t>
      </w:r>
    </w:p>
    <w:p w14:paraId="7970C53A" w14:textId="3E575EE7" w:rsidR="008C70E7" w:rsidRDefault="00A1328B" w:rsidP="008C70E7">
      <w:pPr>
        <w:pStyle w:val="ListParagraph"/>
        <w:widowControl/>
        <w:numPr>
          <w:ilvl w:val="0"/>
          <w:numId w:val="15"/>
        </w:numPr>
      </w:pPr>
      <w:r>
        <w:lastRenderedPageBreak/>
        <w:t>H</w:t>
      </w:r>
      <w:r w:rsidRPr="008C70E7">
        <w:rPr>
          <w:vertAlign w:val="subscript"/>
        </w:rPr>
        <w:t>0</w:t>
      </w:r>
      <w:r>
        <w:t>: Squared residuals have no autocorrelation</w:t>
      </w:r>
      <w:r w:rsidR="008C70E7">
        <w:t>.</w:t>
      </w:r>
      <w:r>
        <w:t xml:space="preserve"> </w:t>
      </w:r>
    </w:p>
    <w:p w14:paraId="55DA3856" w14:textId="4C0F13A0" w:rsidR="00A1328B" w:rsidRDefault="00A1328B" w:rsidP="008C70E7">
      <w:pPr>
        <w:pStyle w:val="ListParagraph"/>
        <w:widowControl/>
        <w:numPr>
          <w:ilvl w:val="0"/>
          <w:numId w:val="15"/>
        </w:numPr>
      </w:pPr>
      <w:r>
        <w:t>H</w:t>
      </w:r>
      <w:r w:rsidRPr="008C70E7">
        <w:rPr>
          <w:vertAlign w:val="subscript"/>
        </w:rPr>
        <w:t>A</w:t>
      </w:r>
      <w:r>
        <w:t>: Squared residuals have autocorrelation</w:t>
      </w:r>
      <w:r w:rsidR="00554706">
        <w:t>.</w:t>
      </w:r>
    </w:p>
    <w:p w14:paraId="0524BC3F" w14:textId="0B0A2165" w:rsidR="001244BE" w:rsidRDefault="008822AA" w:rsidP="00C54F6F">
      <w:pPr>
        <w:widowControl/>
      </w:pPr>
      <w:r>
        <w:t xml:space="preserve">Models were evaluated using </w:t>
      </w:r>
      <w:r w:rsidR="00882492">
        <w:t xml:space="preserve">RMSE </w:t>
      </w:r>
      <w:r>
        <w:t xml:space="preserve">and </w:t>
      </w:r>
      <w:r w:rsidR="00882492">
        <w:t>MAE</w:t>
      </w:r>
      <w:r w:rsidR="008C70E7">
        <w:t>,</w:t>
      </w:r>
      <w:r>
        <w:t xml:space="preserve"> </w:t>
      </w:r>
      <w:r w:rsidR="007C093C">
        <w:t xml:space="preserve">with AIC also considered in the ARIMA models. </w:t>
      </w:r>
      <w:r w:rsidR="007C093C" w:rsidRPr="007C093C">
        <w:t xml:space="preserve">RMSE squares the errors before averaging and </w:t>
      </w:r>
      <w:r w:rsidR="007C093C">
        <w:t>taking the square root</w:t>
      </w:r>
      <w:r w:rsidR="007C093C" w:rsidRPr="007C093C">
        <w:t xml:space="preserve">. This means outliers are more heavily weighted resulting in the error being more sensitive </w:t>
      </w:r>
      <w:r w:rsidR="002E055B">
        <w:t>to them.</w:t>
      </w:r>
      <w:r w:rsidR="002E055B" w:rsidRPr="002E055B">
        <w:t xml:space="preserve"> MAE is the average of the absolute value of the error</w:t>
      </w:r>
      <w:r w:rsidR="0019443F">
        <w:t>s</w:t>
      </w:r>
      <w:r w:rsidR="002E055B" w:rsidRPr="002E055B">
        <w:t>. In this method all errors are equally weighted</w:t>
      </w:r>
      <w:r w:rsidR="002E055B">
        <w:t>, b</w:t>
      </w:r>
      <w:r w:rsidR="00086B9F">
        <w:t xml:space="preserve">oth were included </w:t>
      </w:r>
      <w:r w:rsidR="002E055B">
        <w:t>as</w:t>
      </w:r>
      <w:r w:rsidR="00086B9F">
        <w:t xml:space="preserve"> they treat errors slightly differently.</w:t>
      </w:r>
      <w:r w:rsidR="002E055B">
        <w:t xml:space="preserve"> </w:t>
      </w:r>
      <w:r w:rsidR="001244BE">
        <w:t>AIC is a goodness</w:t>
      </w:r>
      <w:r w:rsidR="002E055B">
        <w:t>-</w:t>
      </w:r>
      <w:r w:rsidR="001244BE">
        <w:t>of</w:t>
      </w:r>
      <w:r w:rsidR="00E2320D">
        <w:t>-</w:t>
      </w:r>
      <w:r w:rsidR="001244BE">
        <w:t>fit measure</w:t>
      </w:r>
      <w:r w:rsidR="00C2178C">
        <w:t xml:space="preserve"> u</w:t>
      </w:r>
      <w:r w:rsidR="001244BE">
        <w:t>sed to compare a set of statistical models</w:t>
      </w:r>
      <w:r w:rsidR="00E2320D">
        <w:t>, revealing</w:t>
      </w:r>
      <w:r w:rsidR="001244BE">
        <w:t xml:space="preserve"> the bes</w:t>
      </w:r>
      <w:r w:rsidR="00C2178C">
        <w:t>t</w:t>
      </w:r>
      <w:r w:rsidR="001244BE">
        <w:t xml:space="preserve"> model while considering its fit and complexity</w:t>
      </w:r>
      <w:sdt>
        <w:sdtPr>
          <w:id w:val="255565828"/>
          <w:citation/>
        </w:sdtPr>
        <w:sdtEndPr/>
        <w:sdtContent>
          <w:r w:rsidR="001244BE">
            <w:fldChar w:fldCharType="begin"/>
          </w:r>
          <w:r w:rsidR="001244BE">
            <w:instrText xml:space="preserve">CITATION Aka24 \l 5129 </w:instrText>
          </w:r>
          <w:r w:rsidR="001244BE">
            <w:fldChar w:fldCharType="separate"/>
          </w:r>
          <w:r w:rsidR="00FA4F89">
            <w:rPr>
              <w:noProof/>
            </w:rPr>
            <w:t xml:space="preserve"> (Activeloop, 2024)</w:t>
          </w:r>
          <w:r w:rsidR="001244BE">
            <w:fldChar w:fldCharType="end"/>
          </w:r>
        </w:sdtContent>
      </w:sdt>
      <w:r w:rsidR="001244BE">
        <w:t>.</w:t>
      </w:r>
      <w:r w:rsidR="00BB42F0">
        <w:t xml:space="preserve"> </w:t>
      </w:r>
      <w:r w:rsidR="00AE6B04">
        <w:t xml:space="preserve">Minimising all three measures </w:t>
      </w:r>
      <w:r w:rsidR="003D4A01">
        <w:t>unveils the best model.</w:t>
      </w:r>
    </w:p>
    <w:p w14:paraId="1A7B2050" w14:textId="3530079E" w:rsidR="00B8730F" w:rsidRDefault="003D4A01" w:rsidP="00383A4B">
      <w:pPr>
        <w:widowControl/>
      </w:pPr>
      <w:r>
        <w:t xml:space="preserve">Four tests were </w:t>
      </w:r>
      <w:r w:rsidR="00712219">
        <w:t xml:space="preserve">conducted within </w:t>
      </w:r>
      <w:r w:rsidR="00EF5406">
        <w:t>the period</w:t>
      </w:r>
      <w:r w:rsidR="00712219">
        <w:t xml:space="preserve"> of 1993 to 2024. </w:t>
      </w:r>
      <w:r w:rsidR="00AD223A">
        <w:t xml:space="preserve">R was used to generate </w:t>
      </w:r>
      <w:r w:rsidR="00032974">
        <w:t xml:space="preserve">four </w:t>
      </w:r>
      <w:r w:rsidR="00AD223A">
        <w:t>random dates within this period</w:t>
      </w:r>
      <w:r w:rsidR="00032974">
        <w:t xml:space="preserve">, </w:t>
      </w:r>
      <w:r w:rsidR="00773CC0">
        <w:t xml:space="preserve">marking </w:t>
      </w:r>
      <w:r w:rsidR="00032974">
        <w:t xml:space="preserve">the forecast </w:t>
      </w:r>
      <w:r w:rsidR="00773CC0">
        <w:t>start dates</w:t>
      </w:r>
      <w:r w:rsidR="00032974">
        <w:t xml:space="preserve">. </w:t>
      </w:r>
      <w:r w:rsidR="00D40D29">
        <w:t xml:space="preserve">The first </w:t>
      </w:r>
      <w:r w:rsidR="00773CC0">
        <w:t xml:space="preserve">date </w:t>
      </w:r>
      <w:r w:rsidR="00D40D29">
        <w:t xml:space="preserve">was </w:t>
      </w:r>
      <w:r w:rsidR="001217BB">
        <w:t>0</w:t>
      </w:r>
      <w:r w:rsidR="00D40D29">
        <w:t>1</w:t>
      </w:r>
      <w:r w:rsidR="00DB1597">
        <w:t>/</w:t>
      </w:r>
      <w:r w:rsidR="001217BB">
        <w:t>0</w:t>
      </w:r>
      <w:r w:rsidR="00D40D29">
        <w:t>9</w:t>
      </w:r>
      <w:r w:rsidR="00DB1597">
        <w:t>/</w:t>
      </w:r>
      <w:r w:rsidR="00D40D29">
        <w:t>2003, so the</w:t>
      </w:r>
      <w:r w:rsidR="00636906">
        <w:t xml:space="preserve"> model was fitted to the</w:t>
      </w:r>
      <w:r w:rsidR="00D40D29">
        <w:t xml:space="preserve"> </w:t>
      </w:r>
      <w:r w:rsidR="0033128E">
        <w:t>training</w:t>
      </w:r>
      <w:r w:rsidR="00D40D29">
        <w:t xml:space="preserve"> data </w:t>
      </w:r>
      <w:r w:rsidR="00B02366">
        <w:t>from</w:t>
      </w:r>
      <w:r w:rsidR="00D40D29">
        <w:t xml:space="preserve"> </w:t>
      </w:r>
      <w:r w:rsidR="001217BB">
        <w:t>01</w:t>
      </w:r>
      <w:r w:rsidR="00DB1597">
        <w:t>/</w:t>
      </w:r>
      <w:r w:rsidR="001217BB">
        <w:t>01</w:t>
      </w:r>
      <w:r w:rsidR="00DB1597">
        <w:t>/</w:t>
      </w:r>
      <w:r w:rsidR="001217BB">
        <w:t>1993 to 01</w:t>
      </w:r>
      <w:r w:rsidR="00DB1597">
        <w:t>/</w:t>
      </w:r>
      <w:r w:rsidR="001217BB">
        <w:t>09</w:t>
      </w:r>
      <w:r w:rsidR="00DB1597">
        <w:t>/</w:t>
      </w:r>
      <w:r w:rsidR="001217BB">
        <w:t>2003, and the</w:t>
      </w:r>
      <w:r w:rsidR="00532A49">
        <w:t xml:space="preserve"> out of sample test was conducted over the following 8 months. </w:t>
      </w:r>
      <w:r w:rsidR="0033128E">
        <w:t>The other dates were 01</w:t>
      </w:r>
      <w:r w:rsidR="00DB1597">
        <w:t>/</w:t>
      </w:r>
      <w:r w:rsidR="0033128E">
        <w:t>01</w:t>
      </w:r>
      <w:r w:rsidR="00DB1597">
        <w:t>/</w:t>
      </w:r>
      <w:r w:rsidR="0033128E">
        <w:t>2014, 01</w:t>
      </w:r>
      <w:r w:rsidR="00DB1597">
        <w:t>/</w:t>
      </w:r>
      <w:r w:rsidR="0033128E">
        <w:t>10</w:t>
      </w:r>
      <w:r w:rsidR="00DB1597">
        <w:t>/</w:t>
      </w:r>
      <w:r w:rsidR="0033128E">
        <w:t xml:space="preserve">2021 and </w:t>
      </w:r>
      <w:r w:rsidR="009B790E">
        <w:t>01</w:t>
      </w:r>
      <w:r w:rsidR="00DB1597">
        <w:t>/</w:t>
      </w:r>
      <w:r w:rsidR="009B790E">
        <w:t>08</w:t>
      </w:r>
      <w:r w:rsidR="00DB1597">
        <w:t>/</w:t>
      </w:r>
      <w:r w:rsidR="009B790E">
        <w:t>2023</w:t>
      </w:r>
      <w:r w:rsidR="000649F6">
        <w:t xml:space="preserve">, </w:t>
      </w:r>
      <w:r w:rsidR="00E72A17">
        <w:t>resulting in over lapping test periods.</w:t>
      </w:r>
      <w:r w:rsidR="00EB4D90">
        <w:t xml:space="preserve"> </w:t>
      </w:r>
      <w:r w:rsidR="00B8730F">
        <w:t xml:space="preserve">The average error was taken across the four out of sample tests to </w:t>
      </w:r>
      <w:r w:rsidR="004543F1">
        <w:t>determine which</w:t>
      </w:r>
      <w:r w:rsidR="00B8730F">
        <w:t xml:space="preserve"> model performs best across the entire data set.</w:t>
      </w:r>
    </w:p>
    <w:p w14:paraId="5730DD82" w14:textId="55E6C7FC" w:rsidR="009B5B5B" w:rsidRDefault="00B35CAD" w:rsidP="007E2F41">
      <w:pPr>
        <w:widowControl/>
      </w:pPr>
      <w:r>
        <w:t xml:space="preserve">Thresholds </w:t>
      </w:r>
      <w:r w:rsidR="00AF4B2F">
        <w:t>were established</w:t>
      </w:r>
      <w:r>
        <w:t xml:space="preserve"> for the 10% lowest and highest monthly returns</w:t>
      </w:r>
      <w:r w:rsidR="00AF4B2F">
        <w:t xml:space="preserve"> of corn price</w:t>
      </w:r>
      <w:r>
        <w:t>.</w:t>
      </w:r>
      <w:r w:rsidR="00BA32F8">
        <w:t xml:space="preserve"> </w:t>
      </w:r>
      <w:r w:rsidR="007E2F41">
        <w:t xml:space="preserve">Any </w:t>
      </w:r>
      <w:r w:rsidR="00557CF6">
        <w:t>monthly return</w:t>
      </w:r>
      <w:r w:rsidR="007E2F41">
        <w:t xml:space="preserve"> </w:t>
      </w:r>
      <w:r w:rsidR="00557CF6">
        <w:t xml:space="preserve">greater </w:t>
      </w:r>
      <w:r w:rsidR="007E2F41">
        <w:t xml:space="preserve">than </w:t>
      </w:r>
      <w:r w:rsidR="00557CF6">
        <w:t xml:space="preserve">the upper </w:t>
      </w:r>
      <w:r w:rsidR="007E2F41">
        <w:t xml:space="preserve">threshold indicates that the volatility </w:t>
      </w:r>
      <w:r w:rsidR="00B81BAD">
        <w:t>is in</w:t>
      </w:r>
      <w:r w:rsidR="007E2F41">
        <w:t xml:space="preserve"> the highest 10% of the data</w:t>
      </w:r>
      <w:r w:rsidR="00557CF6">
        <w:t>, while</w:t>
      </w:r>
      <w:r w:rsidR="00105986">
        <w:t xml:space="preserve"> </w:t>
      </w:r>
      <w:r w:rsidR="00166F25">
        <w:t>returns</w:t>
      </w:r>
      <w:r w:rsidR="00105986">
        <w:t xml:space="preserve"> </w:t>
      </w:r>
      <w:r w:rsidR="00BB32BB">
        <w:t>below the lower threshold indicate the lowest 10% volatility</w:t>
      </w:r>
      <w:r w:rsidR="00166F25">
        <w:t xml:space="preserve"> (largest decreases in price change). </w:t>
      </w:r>
      <w:r w:rsidR="00161F53" w:rsidRPr="00161F53">
        <w:t>A dummy variable was created</w:t>
      </w:r>
      <w:r w:rsidR="00166F25">
        <w:t>,</w:t>
      </w:r>
      <w:r w:rsidR="00161F53" w:rsidRPr="00161F53">
        <w:t xml:space="preserve"> </w:t>
      </w:r>
      <w:r w:rsidR="00166F25">
        <w:t>r</w:t>
      </w:r>
      <w:r w:rsidR="00161F53" w:rsidRPr="00161F53">
        <w:t>eceiv</w:t>
      </w:r>
      <w:r w:rsidR="00166F25">
        <w:t>ing</w:t>
      </w:r>
      <w:r w:rsidR="00161F53" w:rsidRPr="00161F53">
        <w:t xml:space="preserve"> a value of 1 if it exceeded either threshold, </w:t>
      </w:r>
      <w:r w:rsidR="00CE2D5D">
        <w:t>with high</w:t>
      </w:r>
      <w:r w:rsidR="00161F53" w:rsidRPr="00161F53">
        <w:t xml:space="preserve"> volatility periods shaded on the forecast plots</w:t>
      </w:r>
      <w:r w:rsidR="00161F53">
        <w:t>.</w:t>
      </w:r>
    </w:p>
    <w:p w14:paraId="39BBF88E" w14:textId="06CBA394" w:rsidR="002D349C" w:rsidRDefault="00D363AA" w:rsidP="003D7549">
      <w:pPr>
        <w:pStyle w:val="Heading1"/>
      </w:pPr>
      <w:r>
        <w:t>Results and in</w:t>
      </w:r>
      <w:r w:rsidR="00CB7398">
        <w:t>terpretation</w:t>
      </w:r>
    </w:p>
    <w:p w14:paraId="09943C18" w14:textId="0221EA0E" w:rsidR="009B233C" w:rsidRPr="009B233C" w:rsidRDefault="00EC28AC" w:rsidP="00EC28AC">
      <w:pPr>
        <w:pStyle w:val="Heading2"/>
      </w:pPr>
      <w:r>
        <w:t xml:space="preserve">3.1. </w:t>
      </w:r>
      <w:r w:rsidR="007956FF">
        <w:t>Forecast</w:t>
      </w:r>
      <w:r w:rsidR="000B395C">
        <w:t xml:space="preserve"> 1 </w:t>
      </w:r>
      <w:r w:rsidR="001A2D39">
        <w:t>summary</w:t>
      </w:r>
    </w:p>
    <w:p w14:paraId="6360674B" w14:textId="7E658510" w:rsidR="008A44C2" w:rsidRDefault="00CE72AB" w:rsidP="009B233C">
      <w:r>
        <w:br/>
      </w:r>
      <w:r w:rsidR="00B42C3D" w:rsidRPr="00B42C3D">
        <w:t xml:space="preserve">The random walk model performed relatively poorly, with an in-sample RMSE of $6.60 and an out-of-sample RMSE of $18.63. The ARIMA(2,1,3) model provided improvement with an in-sample RMSE of $5.61 and passing the Ljung-Box test (p-value 0.83), showing no autocorrelation in residuals. Despite higher out-of-sample errors, the ARIMA still outperformed the random walk. </w:t>
      </w:r>
      <w:r w:rsidR="001E302F" w:rsidRPr="001E302F">
        <w:t>The seasonal ARIMA found no seasonal effects to improve upon the ARIMA</w:t>
      </w:r>
      <w:r w:rsidR="005360F5">
        <w:t xml:space="preserve">. </w:t>
      </w:r>
      <w:r w:rsidR="00B42C3D" w:rsidRPr="00B42C3D">
        <w:t>Introducing China's export-to-import ratio through an ARIMAX(0,1,1) model further lowered in-sample errors but struggled out-of-sample. Finally, the ARIMA(0,0,1)-GARCH(1,1) model had the lowest out-of-sample RMSE ($17.76), showing strong predictive ability of price volatility, with past volatility having a lasting impact (squared residuals coefficient of 0.998).</w:t>
      </w:r>
      <w:r w:rsidR="00383ED6">
        <w:t xml:space="preserve"> All forecast models under predicted the cor</w:t>
      </w:r>
      <w:r w:rsidR="000D6BC9">
        <w:t>n price (Figure 1).</w:t>
      </w:r>
    </w:p>
    <w:p w14:paraId="1EE29E33" w14:textId="77777777" w:rsidR="00383ED6" w:rsidRDefault="00383ED6" w:rsidP="009B233C"/>
    <w:p w14:paraId="4353A827" w14:textId="5C65C5EB" w:rsidR="007C3D96" w:rsidRDefault="00441469" w:rsidP="00441469">
      <w:pPr>
        <w:pStyle w:val="Caption"/>
        <w:keepNext/>
        <w:ind w:left="720"/>
      </w:pPr>
      <w:r>
        <w:t xml:space="preserve">          </w:t>
      </w:r>
      <w:r w:rsidR="00B00A8B">
        <w:t xml:space="preserve"> </w:t>
      </w:r>
      <w:r w:rsidR="007C3D96">
        <w:t xml:space="preserve">Table </w:t>
      </w:r>
      <w:fldSimple w:instr=" SEQ Table \* ARABIC ">
        <w:r w:rsidR="00B6270C">
          <w:rPr>
            <w:noProof/>
          </w:rPr>
          <w:t>1</w:t>
        </w:r>
      </w:fldSimple>
      <w:r w:rsidR="007C3D96">
        <w:t>. Forecast 1 results.</w:t>
      </w:r>
    </w:p>
    <w:p w14:paraId="1A19CC89" w14:textId="534D2D84" w:rsidR="006279C7" w:rsidRDefault="00821DDB" w:rsidP="007C3D96">
      <w:pPr>
        <w:widowControl/>
        <w:tabs>
          <w:tab w:val="left" w:pos="1256"/>
        </w:tabs>
        <w:jc w:val="center"/>
      </w:pPr>
      <w:r w:rsidRPr="00821DDB">
        <w:rPr>
          <w:noProof/>
        </w:rPr>
        <w:drawing>
          <wp:inline distT="0" distB="0" distL="0" distR="0" wp14:anchorId="1E8115EB" wp14:editId="2EA77251">
            <wp:extent cx="4681324" cy="1256400"/>
            <wp:effectExtent l="0" t="0" r="5080" b="1270"/>
            <wp:docPr id="6930627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324" cy="12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46A2" w14:textId="7CA1D5F6" w:rsidR="007C3D96" w:rsidRDefault="007C3D96" w:rsidP="007C3D96">
      <w:pPr>
        <w:widowControl/>
        <w:tabs>
          <w:tab w:val="left" w:pos="1256"/>
        </w:tabs>
        <w:jc w:val="center"/>
      </w:pPr>
    </w:p>
    <w:p w14:paraId="5DE315D0" w14:textId="77777777" w:rsidR="004E2CCA" w:rsidRDefault="0067095E" w:rsidP="004E2CCA">
      <w:pPr>
        <w:keepNext/>
        <w:widowControl/>
        <w:jc w:val="center"/>
      </w:pPr>
      <w:r>
        <w:rPr>
          <w:noProof/>
        </w:rPr>
        <w:lastRenderedPageBreak/>
        <w:drawing>
          <wp:inline distT="0" distB="0" distL="0" distR="0" wp14:anchorId="6F57140C" wp14:editId="48B55ADF">
            <wp:extent cx="4745819" cy="2880000"/>
            <wp:effectExtent l="0" t="0" r="0" b="0"/>
            <wp:docPr id="20336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7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81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083B" w14:textId="2F2FBC11" w:rsidR="00192842" w:rsidRDefault="004E2CCA" w:rsidP="00B6270C">
      <w:pPr>
        <w:pStyle w:val="Caption"/>
        <w:ind w:left="720" w:firstLine="720"/>
      </w:pPr>
      <w:r>
        <w:t xml:space="preserve">Figure </w:t>
      </w:r>
      <w:fldSimple w:instr=" SEQ Figure \* ARABIC ">
        <w:r w:rsidR="00311161">
          <w:rPr>
            <w:noProof/>
          </w:rPr>
          <w:t>1</w:t>
        </w:r>
      </w:fldSimple>
      <w:r>
        <w:t>. Test 1, corn price f</w:t>
      </w:r>
      <w:r w:rsidR="0046257C">
        <w:t>orecast</w:t>
      </w:r>
      <w:r>
        <w:t xml:space="preserve"> from October 2003 to May 2004.</w:t>
      </w:r>
    </w:p>
    <w:p w14:paraId="49E1A0BF" w14:textId="77777777" w:rsidR="005360F5" w:rsidRPr="005360F5" w:rsidRDefault="005360F5" w:rsidP="005360F5"/>
    <w:p w14:paraId="31C57C3E" w14:textId="2D59C945" w:rsidR="007C3D96" w:rsidRPr="007C3D96" w:rsidRDefault="00EC28AC" w:rsidP="007C3D96">
      <w:pPr>
        <w:pStyle w:val="Heading2"/>
      </w:pPr>
      <w:r>
        <w:t xml:space="preserve">3.2. </w:t>
      </w:r>
      <w:r w:rsidR="007C3D96" w:rsidRPr="007C3D96">
        <w:t xml:space="preserve">Forecast </w:t>
      </w:r>
      <w:r w:rsidR="007C3D96">
        <w:t>2</w:t>
      </w:r>
      <w:r w:rsidR="007C3D96" w:rsidRPr="007C3D96">
        <w:t xml:space="preserve"> summary</w:t>
      </w:r>
    </w:p>
    <w:p w14:paraId="4C8E807F" w14:textId="11C75933" w:rsidR="006252A5" w:rsidRDefault="00CE72AB" w:rsidP="008A06C1">
      <w:pPr>
        <w:tabs>
          <w:tab w:val="left" w:pos="1425"/>
        </w:tabs>
      </w:pPr>
      <w:r>
        <w:br/>
      </w:r>
      <w:r w:rsidR="007B1352">
        <w:t>The r</w:t>
      </w:r>
      <w:r w:rsidR="00BF108B">
        <w:t>andom walk with drift</w:t>
      </w:r>
      <w:r w:rsidR="005C1986">
        <w:t xml:space="preserve"> had a in sam</w:t>
      </w:r>
      <w:r w:rsidR="000443B7">
        <w:t xml:space="preserve">ple </w:t>
      </w:r>
      <w:r w:rsidR="00331792">
        <w:t>RMSE</w:t>
      </w:r>
      <w:r w:rsidR="000443B7">
        <w:t xml:space="preserve"> of </w:t>
      </w:r>
      <w:r w:rsidR="00331792">
        <w:t>$11.33</w:t>
      </w:r>
      <w:r w:rsidR="007B1352">
        <w:t xml:space="preserve"> which increased to </w:t>
      </w:r>
      <w:r w:rsidR="00ED693C">
        <w:t>$22.12</w:t>
      </w:r>
      <w:r w:rsidR="00F12954">
        <w:t xml:space="preserve"> </w:t>
      </w:r>
      <w:r w:rsidR="007B1352">
        <w:t>out of sample.</w:t>
      </w:r>
      <w:r w:rsidR="00351695">
        <w:t xml:space="preserve"> </w:t>
      </w:r>
      <w:r w:rsidR="00FB7541">
        <w:t xml:space="preserve">The </w:t>
      </w:r>
      <w:r w:rsidR="0046291A">
        <w:t>ARIMA</w:t>
      </w:r>
      <w:r w:rsidR="00350590">
        <w:t>(</w:t>
      </w:r>
      <w:r w:rsidR="008722D8">
        <w:t>2,1,3)</w:t>
      </w:r>
      <w:r w:rsidR="00F12954">
        <w:t xml:space="preserve"> </w:t>
      </w:r>
      <w:r w:rsidR="000E555A">
        <w:t xml:space="preserve">improved on this baseline in </w:t>
      </w:r>
      <w:bookmarkStart w:id="2" w:name="_Hlk180396879"/>
      <w:r w:rsidR="000E555A">
        <w:t xml:space="preserve">both </w:t>
      </w:r>
      <w:r w:rsidR="00233EBD">
        <w:t>test</w:t>
      </w:r>
      <w:r w:rsidR="008375A9">
        <w:t>s</w:t>
      </w:r>
      <w:r w:rsidR="000E555A">
        <w:t>, however it</w:t>
      </w:r>
      <w:r w:rsidR="00674FCE">
        <w:t xml:space="preserve"> failed the </w:t>
      </w:r>
      <w:r w:rsidR="00674FCE" w:rsidRPr="00674FCE">
        <w:t>Ljung-Box test</w:t>
      </w:r>
      <w:r w:rsidR="00674FCE">
        <w:t xml:space="preserve"> (</w:t>
      </w:r>
      <w:r w:rsidR="00674FCE" w:rsidRPr="00674FCE">
        <w:t>p-value 0.025</w:t>
      </w:r>
      <w:r w:rsidR="00674FCE">
        <w:t>)</w:t>
      </w:r>
      <w:r w:rsidR="00E84A47">
        <w:t xml:space="preserve"> </w:t>
      </w:r>
      <w:r w:rsidR="008375A9">
        <w:t xml:space="preserve">indicating </w:t>
      </w:r>
      <w:r w:rsidR="00674FCE" w:rsidRPr="00674FCE">
        <w:t xml:space="preserve">autocorrelation </w:t>
      </w:r>
      <w:r w:rsidR="00E84A47">
        <w:t xml:space="preserve">was </w:t>
      </w:r>
      <w:r w:rsidR="008375A9">
        <w:t>present</w:t>
      </w:r>
      <w:r w:rsidR="00E84A47">
        <w:t xml:space="preserve"> </w:t>
      </w:r>
      <w:r w:rsidR="00674FCE" w:rsidRPr="00674FCE">
        <w:t xml:space="preserve">in </w:t>
      </w:r>
      <w:r w:rsidR="009C3461">
        <w:t xml:space="preserve">the </w:t>
      </w:r>
      <w:r w:rsidR="00674FCE" w:rsidRPr="00674FCE">
        <w:t>residuals</w:t>
      </w:r>
      <w:r w:rsidR="009C3461">
        <w:t xml:space="preserve">. The ACF plot reveals it </w:t>
      </w:r>
      <w:r w:rsidR="00674FCE" w:rsidRPr="00674FCE">
        <w:t xml:space="preserve">exceeds </w:t>
      </w:r>
      <w:r w:rsidR="009C3461">
        <w:t xml:space="preserve">the </w:t>
      </w:r>
      <w:r w:rsidR="00674FCE" w:rsidRPr="00674FCE">
        <w:t>thresholds at lags 14, 16 and 23.</w:t>
      </w:r>
      <w:r w:rsidR="005C304D">
        <w:t xml:space="preserve"> </w:t>
      </w:r>
      <w:r w:rsidR="00E20734">
        <w:t xml:space="preserve">The </w:t>
      </w:r>
      <w:r w:rsidR="00832297">
        <w:t>SARIMA</w:t>
      </w:r>
      <w:r w:rsidR="00832297" w:rsidRPr="008722D8">
        <w:t>(1,1,0)(0,0,2)[12]</w:t>
      </w:r>
      <w:r w:rsidR="00832297">
        <w:t xml:space="preserve"> further improved on the accuracy seen in the other two models</w:t>
      </w:r>
      <w:r w:rsidR="00AD4E07">
        <w:t>. O</w:t>
      </w:r>
      <w:r w:rsidR="00D61055">
        <w:t xml:space="preserve">ut of sample it </w:t>
      </w:r>
      <w:r w:rsidR="00AD4E07">
        <w:t xml:space="preserve">had </w:t>
      </w:r>
      <w:r w:rsidR="00D61055">
        <w:t>an RMSE of $19</w:t>
      </w:r>
      <w:r w:rsidR="00AD4E07">
        <w:t xml:space="preserve">, </w:t>
      </w:r>
      <w:r w:rsidR="00233EBD">
        <w:t xml:space="preserve">the lowest </w:t>
      </w:r>
      <w:r w:rsidR="00415A87">
        <w:t>among</w:t>
      </w:r>
      <w:r w:rsidR="005B78D3">
        <w:t xml:space="preserve"> </w:t>
      </w:r>
      <w:r w:rsidR="00415A87">
        <w:t>the</w:t>
      </w:r>
      <w:r w:rsidR="005B78D3">
        <w:t xml:space="preserve"> models</w:t>
      </w:r>
      <w:r w:rsidR="00832297">
        <w:t>.</w:t>
      </w:r>
      <w:r w:rsidR="00844AF2">
        <w:t xml:space="preserve"> </w:t>
      </w:r>
      <w:r w:rsidR="001A747D">
        <w:t>With a</w:t>
      </w:r>
      <w:r w:rsidR="00844AF2">
        <w:t xml:space="preserve"> p</w:t>
      </w:r>
      <w:r w:rsidR="001A747D">
        <w:t>-</w:t>
      </w:r>
      <w:r w:rsidR="00844AF2">
        <w:t>value of 0.195</w:t>
      </w:r>
      <w:r w:rsidR="001A747D">
        <w:t xml:space="preserve">, </w:t>
      </w:r>
      <w:r w:rsidR="00844AF2">
        <w:t xml:space="preserve">it passed the </w:t>
      </w:r>
      <w:r w:rsidR="00844AF2" w:rsidRPr="00844AF2">
        <w:t>Ljung-Box test</w:t>
      </w:r>
      <w:r w:rsidR="00844AF2">
        <w:t xml:space="preserve">, </w:t>
      </w:r>
      <w:r w:rsidR="0025545A">
        <w:t>indicating a good model</w:t>
      </w:r>
      <w:r w:rsidR="001A747D">
        <w:t xml:space="preserve"> fit</w:t>
      </w:r>
      <w:r w:rsidR="0025545A">
        <w:t xml:space="preserve">. </w:t>
      </w:r>
      <w:bookmarkEnd w:id="2"/>
      <w:r w:rsidR="00673292">
        <w:t xml:space="preserve">Adding </w:t>
      </w:r>
      <w:r w:rsidR="006B18B1">
        <w:t>n</w:t>
      </w:r>
      <w:r w:rsidR="00673292">
        <w:t xml:space="preserve">itrogen price return and two lags </w:t>
      </w:r>
      <w:r w:rsidR="00834B24">
        <w:t>were statistically significant when applied in a</w:t>
      </w:r>
      <w:r w:rsidR="006B18B1">
        <w:t xml:space="preserve"> ARIMA(3,1,2)</w:t>
      </w:r>
      <w:r w:rsidR="00783F88">
        <w:t xml:space="preserve">. The </w:t>
      </w:r>
      <w:r w:rsidR="006C3985">
        <w:t>residuals exhibited no autocorrelation (p-value 0.115)</w:t>
      </w:r>
      <w:r w:rsidR="00783F88">
        <w:t>, and i</w:t>
      </w:r>
      <w:r w:rsidR="006B18B1">
        <w:t xml:space="preserve">t produced the </w:t>
      </w:r>
      <w:r w:rsidR="00EA0EAA">
        <w:t xml:space="preserve">lowest in sample error with and RMSE of </w:t>
      </w:r>
      <w:r w:rsidR="003971D1">
        <w:t>$</w:t>
      </w:r>
      <w:r w:rsidR="00EA0EAA">
        <w:t>10.5</w:t>
      </w:r>
      <w:r w:rsidR="00783F88">
        <w:t xml:space="preserve">. </w:t>
      </w:r>
      <w:r w:rsidR="0098523B">
        <w:t>T</w:t>
      </w:r>
      <w:r w:rsidR="003971D1">
        <w:t xml:space="preserve">his accuracy improvement </w:t>
      </w:r>
      <w:r w:rsidR="0098523B">
        <w:t xml:space="preserve">did not translate to the out of </w:t>
      </w:r>
      <w:r w:rsidR="003971D1">
        <w:t>sample test</w:t>
      </w:r>
      <w:r w:rsidR="005F7C79">
        <w:t>.</w:t>
      </w:r>
      <w:r w:rsidR="005C304D">
        <w:t xml:space="preserve"> </w:t>
      </w:r>
      <w:r w:rsidR="00D46406">
        <w:t xml:space="preserve">The </w:t>
      </w:r>
      <w:r w:rsidR="004742DF">
        <w:t>ARIMA(</w:t>
      </w:r>
      <w:r w:rsidR="006226AD">
        <w:t>3,0,2)</w:t>
      </w:r>
      <w:r w:rsidR="00D46406">
        <w:t>-</w:t>
      </w:r>
      <w:r w:rsidR="006226AD">
        <w:t>GARCH(1,1)</w:t>
      </w:r>
      <w:r w:rsidR="00D46406">
        <w:t xml:space="preserve"> </w:t>
      </w:r>
      <w:r w:rsidR="00016DEC">
        <w:t xml:space="preserve">did not </w:t>
      </w:r>
      <w:r w:rsidR="0098523B">
        <w:t>maintain</w:t>
      </w:r>
      <w:r w:rsidR="00016DEC">
        <w:t xml:space="preserve"> its performance </w:t>
      </w:r>
      <w:r w:rsidR="0098523B">
        <w:t>from the first test</w:t>
      </w:r>
      <w:r w:rsidR="00016DEC">
        <w:t>, it performed the worst of all the models</w:t>
      </w:r>
      <w:r w:rsidR="004950D5">
        <w:t>,</w:t>
      </w:r>
      <w:r w:rsidR="00016DEC">
        <w:t xml:space="preserve"> with an </w:t>
      </w:r>
      <w:r w:rsidR="004950D5">
        <w:t>out</w:t>
      </w:r>
      <w:r w:rsidR="00526765">
        <w:t>-</w:t>
      </w:r>
      <w:r w:rsidR="004950D5">
        <w:t>of</w:t>
      </w:r>
      <w:r w:rsidR="00526765">
        <w:t>-</w:t>
      </w:r>
      <w:r w:rsidR="004950D5">
        <w:t xml:space="preserve">sample </w:t>
      </w:r>
      <w:r w:rsidR="00016DEC">
        <w:t xml:space="preserve">RMSE of $24.46. </w:t>
      </w:r>
      <w:r w:rsidR="00F202B0">
        <w:t>The squared residuals coefficient did remain high, at 0.96</w:t>
      </w:r>
      <w:r w:rsidR="005C304D">
        <w:t>5.</w:t>
      </w:r>
      <w:r w:rsidR="00526765">
        <w:t xml:space="preserve"> </w:t>
      </w:r>
      <w:r w:rsidR="0098101D">
        <w:t>The models all had periods of under and over prediction</w:t>
      </w:r>
      <w:r w:rsidR="00D356BA">
        <w:t xml:space="preserve"> (Figure 2)</w:t>
      </w:r>
      <w:r w:rsidR="0098101D">
        <w:t>.</w:t>
      </w:r>
    </w:p>
    <w:p w14:paraId="17B0F3D6" w14:textId="77777777" w:rsidR="00DF16D3" w:rsidRDefault="00DF16D3" w:rsidP="00DF16D3">
      <w:pPr>
        <w:tabs>
          <w:tab w:val="left" w:pos="1425"/>
        </w:tabs>
      </w:pPr>
    </w:p>
    <w:p w14:paraId="194D943C" w14:textId="78EA4C1C" w:rsidR="00B00A8B" w:rsidRDefault="00B00A8B" w:rsidP="00B00A8B">
      <w:pPr>
        <w:pStyle w:val="Caption"/>
        <w:keepNext/>
        <w:ind w:left="720"/>
      </w:pPr>
      <w:r>
        <w:t xml:space="preserve">    </w:t>
      </w:r>
      <w:r w:rsidR="00441469">
        <w:t xml:space="preserve">     </w:t>
      </w:r>
      <w:r>
        <w:t xml:space="preserve"> Table </w:t>
      </w:r>
      <w:fldSimple w:instr=" SEQ Table \* ARABIC ">
        <w:r w:rsidR="00B6270C">
          <w:rPr>
            <w:noProof/>
          </w:rPr>
          <w:t>2</w:t>
        </w:r>
      </w:fldSimple>
      <w:r>
        <w:t>. Forecast 2 results.</w:t>
      </w:r>
    </w:p>
    <w:p w14:paraId="7828FF27" w14:textId="5006D720" w:rsidR="0046291A" w:rsidRDefault="00F03297" w:rsidP="00080065">
      <w:pPr>
        <w:tabs>
          <w:tab w:val="left" w:pos="1425"/>
        </w:tabs>
        <w:jc w:val="center"/>
      </w:pPr>
      <w:r w:rsidRPr="00F03297">
        <w:rPr>
          <w:noProof/>
        </w:rPr>
        <w:drawing>
          <wp:inline distT="0" distB="0" distL="0" distR="0" wp14:anchorId="07E66FD7" wp14:editId="7BC89EE6">
            <wp:extent cx="4681324" cy="1256400"/>
            <wp:effectExtent l="0" t="0" r="5080" b="1270"/>
            <wp:docPr id="15553067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324" cy="12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FCBB" w14:textId="77777777" w:rsidR="00BF108B" w:rsidRPr="004B3F5C" w:rsidRDefault="00BF108B" w:rsidP="004B3F5C">
      <w:pPr>
        <w:tabs>
          <w:tab w:val="left" w:pos="1425"/>
        </w:tabs>
      </w:pPr>
    </w:p>
    <w:p w14:paraId="701DF3B0" w14:textId="77777777" w:rsidR="00931CDC" w:rsidRDefault="009064E9" w:rsidP="00931CDC">
      <w:pPr>
        <w:keepNext/>
        <w:widowControl/>
        <w:jc w:val="center"/>
      </w:pPr>
      <w:r>
        <w:rPr>
          <w:noProof/>
        </w:rPr>
        <w:lastRenderedPageBreak/>
        <w:drawing>
          <wp:inline distT="0" distB="0" distL="0" distR="0" wp14:anchorId="717BE239" wp14:editId="242747DC">
            <wp:extent cx="4745819" cy="2880000"/>
            <wp:effectExtent l="0" t="0" r="0" b="0"/>
            <wp:docPr id="147360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01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81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B207" w14:textId="7BFE9913" w:rsidR="00192842" w:rsidRDefault="00931CDC" w:rsidP="00B6270C">
      <w:pPr>
        <w:pStyle w:val="Caption"/>
        <w:ind w:left="1440"/>
      </w:pPr>
      <w:r>
        <w:t xml:space="preserve">Figure </w:t>
      </w:r>
      <w:fldSimple w:instr=" SEQ Figure \* ARABIC ">
        <w:r w:rsidR="00311161">
          <w:rPr>
            <w:noProof/>
          </w:rPr>
          <w:t>2</w:t>
        </w:r>
      </w:fldSimple>
      <w:r>
        <w:t xml:space="preserve">. </w:t>
      </w:r>
      <w:r w:rsidRPr="00D55A9D">
        <w:t xml:space="preserve">Test </w:t>
      </w:r>
      <w:r>
        <w:t>2</w:t>
      </w:r>
      <w:r w:rsidRPr="00D55A9D">
        <w:t>, corn price f</w:t>
      </w:r>
      <w:r w:rsidR="00F451E6">
        <w:t>orecast</w:t>
      </w:r>
      <w:r w:rsidRPr="00D55A9D">
        <w:t xml:space="preserve"> from </w:t>
      </w:r>
      <w:r>
        <w:t>February</w:t>
      </w:r>
      <w:r w:rsidRPr="00D55A9D">
        <w:t xml:space="preserve"> 20</w:t>
      </w:r>
      <w:r>
        <w:t xml:space="preserve">14 </w:t>
      </w:r>
      <w:r w:rsidRPr="00D55A9D">
        <w:t xml:space="preserve">to </w:t>
      </w:r>
      <w:r>
        <w:t>September</w:t>
      </w:r>
      <w:r w:rsidRPr="00D55A9D">
        <w:t xml:space="preserve"> 20</w:t>
      </w:r>
      <w:r>
        <w:t>1</w:t>
      </w:r>
      <w:r w:rsidRPr="00D55A9D">
        <w:t>4.</w:t>
      </w:r>
    </w:p>
    <w:p w14:paraId="08535FA3" w14:textId="77777777" w:rsidR="000D3061" w:rsidRDefault="000D3061" w:rsidP="000D3061"/>
    <w:p w14:paraId="109B9D28" w14:textId="0AE5CF99" w:rsidR="000D3061" w:rsidRPr="000D3061" w:rsidRDefault="00EC28AC" w:rsidP="00331371">
      <w:pPr>
        <w:pStyle w:val="Heading2"/>
      </w:pPr>
      <w:r>
        <w:t xml:space="preserve">3.3. </w:t>
      </w:r>
      <w:r w:rsidR="00331371">
        <w:t>Forecast 3 summary</w:t>
      </w:r>
    </w:p>
    <w:p w14:paraId="37B9DC0E" w14:textId="4F9F87A6" w:rsidR="0046774C" w:rsidRPr="00B54E1D" w:rsidRDefault="004420A5" w:rsidP="0046774C">
      <w:pPr>
        <w:widowControl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</w:pPr>
      <w:r>
        <w:rPr>
          <w:b/>
          <w:bCs/>
        </w:rPr>
        <w:br/>
      </w:r>
      <w:r w:rsidR="00983F6C">
        <w:t xml:space="preserve">In the </w:t>
      </w:r>
      <w:r w:rsidR="00337BB0" w:rsidRPr="00337BB0">
        <w:t>third test</w:t>
      </w:r>
      <w:r w:rsidR="00337BB0">
        <w:t xml:space="preserve"> all models struggled with accuracy. </w:t>
      </w:r>
      <w:r w:rsidR="00F017F0">
        <w:t xml:space="preserve">Over the training period the random walk </w:t>
      </w:r>
      <w:r w:rsidR="00CA56A6">
        <w:t xml:space="preserve">performed similarly to before with </w:t>
      </w:r>
      <w:r w:rsidR="00983F6C">
        <w:t>a</w:t>
      </w:r>
      <w:r w:rsidR="00CA56A6">
        <w:t xml:space="preserve"> RMSE of $11.14, however out of sample this increased to $74</w:t>
      </w:r>
      <w:r w:rsidR="00C5702E">
        <w:t xml:space="preserve">.04. Using an </w:t>
      </w:r>
      <w:r w:rsidR="00C5702E" w:rsidRPr="00764AAF">
        <w:t>ARIMA (2,1,3)</w:t>
      </w:r>
      <w:r w:rsidR="00C5702E">
        <w:t xml:space="preserve"> improved </w:t>
      </w:r>
      <w:r w:rsidR="00982C04">
        <w:t xml:space="preserve">the </w:t>
      </w:r>
      <w:r w:rsidR="00D67044">
        <w:t>in-sample</w:t>
      </w:r>
      <w:r w:rsidR="0095229F">
        <w:t xml:space="preserve"> </w:t>
      </w:r>
      <w:r w:rsidR="00982C04">
        <w:t xml:space="preserve">error </w:t>
      </w:r>
      <w:r w:rsidR="0095229F">
        <w:t xml:space="preserve">but had </w:t>
      </w:r>
      <w:r w:rsidR="00D428DE">
        <w:t>a</w:t>
      </w:r>
      <w:r w:rsidR="004D6837">
        <w:t>n even</w:t>
      </w:r>
      <w:r w:rsidR="00D428DE">
        <w:t xml:space="preserve"> larger out of sample error</w:t>
      </w:r>
      <w:r w:rsidR="004D6837">
        <w:t xml:space="preserve"> of</w:t>
      </w:r>
      <w:r w:rsidR="00D428DE">
        <w:t xml:space="preserve"> $75.</w:t>
      </w:r>
      <w:r w:rsidR="00FD5259">
        <w:t xml:space="preserve">27. </w:t>
      </w:r>
      <w:r w:rsidR="004D6837">
        <w:t>This discrepancy was</w:t>
      </w:r>
      <w:r w:rsidR="00FD5259">
        <w:t xml:space="preserve"> not due to auto</w:t>
      </w:r>
      <w:r w:rsidR="00D67044">
        <w:t>correlation in residuals as it pas</w:t>
      </w:r>
      <w:r w:rsidR="00285823">
        <w:t>sed</w:t>
      </w:r>
      <w:r w:rsidR="00D67044">
        <w:t xml:space="preserve"> the </w:t>
      </w:r>
      <w:r w:rsidR="00D67044" w:rsidRPr="0067587F">
        <w:t>Ljung-Box test</w:t>
      </w:r>
      <w:r w:rsidR="00D67044">
        <w:t xml:space="preserve">. </w:t>
      </w:r>
      <w:r w:rsidR="00D81CE8">
        <w:t xml:space="preserve">The </w:t>
      </w:r>
      <w:r w:rsidR="004D6837">
        <w:t>S</w:t>
      </w:r>
      <w:r w:rsidR="00D81CE8">
        <w:t xml:space="preserve">ARIMA did not </w:t>
      </w:r>
      <w:r w:rsidR="005C1DE2">
        <w:t>fare</w:t>
      </w:r>
      <w:r w:rsidR="00D81CE8">
        <w:t xml:space="preserve"> any better</w:t>
      </w:r>
      <w:r w:rsidR="004D6837">
        <w:t xml:space="preserve">. </w:t>
      </w:r>
      <w:r w:rsidR="0046774C">
        <w:t xml:space="preserve"> </w:t>
      </w:r>
      <w:r w:rsidR="004D6837">
        <w:t>The</w:t>
      </w:r>
      <w:r w:rsidR="004962C7">
        <w:t xml:space="preserve"> </w:t>
      </w:r>
      <w:r w:rsidR="0046774C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>S</w:t>
      </w:r>
      <w:r w:rsidR="0046774C" w:rsidRPr="00B54E1D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>ARIMA(1,1,0)(1,0,2)[12]</w:t>
      </w:r>
      <w:r w:rsidR="0046774C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 xml:space="preserve"> had the same </w:t>
      </w:r>
      <w:r w:rsidR="004962C7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>in sample</w:t>
      </w:r>
      <w:r w:rsidR="0046774C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 xml:space="preserve"> error as the ARIMA </w:t>
      </w:r>
      <w:r w:rsidR="004962C7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>but had the largest out of sample RMSE</w:t>
      </w:r>
      <w:r w:rsidR="00697D21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 xml:space="preserve"> at</w:t>
      </w:r>
      <w:r w:rsidR="004962C7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 xml:space="preserve"> $75.97</w:t>
      </w:r>
      <w:r w:rsidR="00EB0EBF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>. Auto correlation was detected in its residuals (p-value 0.0</w:t>
      </w:r>
      <w:r w:rsidR="00B86FC0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 xml:space="preserve">396) and thus failed the </w:t>
      </w:r>
      <w:r w:rsidR="00B86FC0" w:rsidRPr="00B86FC0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>Ljung-Box test</w:t>
      </w:r>
      <w:r w:rsidR="00B86FC0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 xml:space="preserve">. No statistically significant variables were found to apply in an ARIMAX. </w:t>
      </w:r>
      <w:r w:rsidR="00592E8E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 xml:space="preserve">However, the </w:t>
      </w:r>
      <w:r w:rsidR="00592E8E" w:rsidRPr="00592E8E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>ARIMA(3,0,2)-GARCH(1,1) out performed all models</w:t>
      </w:r>
      <w:r w:rsidR="00592E8E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 xml:space="preserve"> w</w:t>
      </w:r>
      <w:r w:rsidR="000B499D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>ith and out of sample RMSE of $71.60</w:t>
      </w:r>
      <w:r w:rsidR="00592E8E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 xml:space="preserve">. Its performance possibly being aided by capturing the two highly volatile periods prior to the forecast (Figure 3). </w:t>
      </w:r>
      <w:r w:rsidR="00C205C7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 xml:space="preserve">The poor performance across all the models is likely due to a </w:t>
      </w:r>
      <w:r w:rsidR="001B70A0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 xml:space="preserve">trend reversal in corn price. It had been trending downward before </w:t>
      </w:r>
      <w:r w:rsidR="005412A1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>increasing just prior to the forecast date</w:t>
      </w:r>
      <w:r w:rsidR="00592E8E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>, resulting in a</w:t>
      </w:r>
      <w:r w:rsidR="00983F6C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 xml:space="preserve">ll </w:t>
      </w:r>
      <w:r w:rsidR="00592E8E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 xml:space="preserve">models </w:t>
      </w:r>
      <w:r w:rsidR="00983F6C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>underpredict</w:t>
      </w:r>
      <w:r w:rsidR="00592E8E">
        <w:rPr>
          <w:rFonts w:ascii="Calibri" w:eastAsia="Times New Roman" w:hAnsi="Calibri" w:cs="Calibri"/>
          <w:color w:val="000000"/>
          <w:kern w:val="0"/>
          <w:lang w:eastAsia="en-NZ"/>
          <w14:ligatures w14:val="none"/>
        </w:rPr>
        <w:t>ing the corn price (Figure 3).</w:t>
      </w:r>
    </w:p>
    <w:p w14:paraId="3A643AE4" w14:textId="77777777" w:rsidR="00E03F9C" w:rsidRDefault="00E03F9C" w:rsidP="00F46FB8">
      <w:pPr>
        <w:widowControl/>
        <w:jc w:val="center"/>
      </w:pPr>
    </w:p>
    <w:p w14:paraId="725E0ADB" w14:textId="51816FB9" w:rsidR="005412A1" w:rsidRDefault="00F9624A" w:rsidP="00F9624A">
      <w:pPr>
        <w:pStyle w:val="Caption"/>
        <w:keepNext/>
        <w:ind w:firstLine="720"/>
      </w:pPr>
      <w:r>
        <w:t xml:space="preserve">            </w:t>
      </w:r>
      <w:r w:rsidR="005412A1">
        <w:t xml:space="preserve">Table </w:t>
      </w:r>
      <w:fldSimple w:instr=" SEQ Table \* ARABIC ">
        <w:r w:rsidR="00B6270C">
          <w:rPr>
            <w:noProof/>
          </w:rPr>
          <w:t>3</w:t>
        </w:r>
      </w:fldSimple>
      <w:r w:rsidR="005412A1">
        <w:t>. Forecast 3 results.</w:t>
      </w:r>
    </w:p>
    <w:p w14:paraId="14398594" w14:textId="0FB24C7D" w:rsidR="00E03F9C" w:rsidRDefault="00F03297" w:rsidP="00F46FB8">
      <w:pPr>
        <w:widowControl/>
        <w:jc w:val="center"/>
      </w:pPr>
      <w:r w:rsidRPr="00F03297">
        <w:rPr>
          <w:noProof/>
        </w:rPr>
        <w:drawing>
          <wp:inline distT="0" distB="0" distL="0" distR="0" wp14:anchorId="4FFD4775" wp14:editId="03B74197">
            <wp:extent cx="4681324" cy="1256400"/>
            <wp:effectExtent l="0" t="0" r="5080" b="1270"/>
            <wp:docPr id="7467774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324" cy="12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EC72" w14:textId="77777777" w:rsidR="00ED0E7A" w:rsidRDefault="00ED0E7A" w:rsidP="00F46FB8">
      <w:pPr>
        <w:widowControl/>
        <w:jc w:val="center"/>
      </w:pPr>
    </w:p>
    <w:p w14:paraId="6A81FB29" w14:textId="77777777" w:rsidR="00931CDC" w:rsidRDefault="00BE153A" w:rsidP="00931CDC">
      <w:pPr>
        <w:keepNext/>
        <w:widowControl/>
        <w:jc w:val="center"/>
      </w:pPr>
      <w:r>
        <w:rPr>
          <w:noProof/>
        </w:rPr>
        <w:lastRenderedPageBreak/>
        <w:drawing>
          <wp:inline distT="0" distB="0" distL="0" distR="0" wp14:anchorId="68A6E667" wp14:editId="5B6D558F">
            <wp:extent cx="4745819" cy="2880000"/>
            <wp:effectExtent l="0" t="0" r="0" b="0"/>
            <wp:docPr id="90801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12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581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433E" w14:textId="1A3084F3" w:rsidR="009064E9" w:rsidRDefault="00931CDC" w:rsidP="00B6270C">
      <w:pPr>
        <w:pStyle w:val="Caption"/>
        <w:ind w:left="720" w:firstLine="720"/>
      </w:pPr>
      <w:r>
        <w:t xml:space="preserve">Figure </w:t>
      </w:r>
      <w:fldSimple w:instr=" SEQ Figure \* ARABIC ">
        <w:r w:rsidR="00311161">
          <w:rPr>
            <w:noProof/>
          </w:rPr>
          <w:t>3</w:t>
        </w:r>
      </w:fldSimple>
      <w:r>
        <w:t xml:space="preserve">. </w:t>
      </w:r>
      <w:r w:rsidRPr="00F024D6">
        <w:t xml:space="preserve">Test </w:t>
      </w:r>
      <w:r>
        <w:t>3</w:t>
      </w:r>
      <w:r w:rsidRPr="00F024D6">
        <w:t>, corn price</w:t>
      </w:r>
      <w:r w:rsidR="004806F8">
        <w:t xml:space="preserve"> forecast</w:t>
      </w:r>
      <w:r w:rsidRPr="00F024D6">
        <w:t xml:space="preserve"> from </w:t>
      </w:r>
      <w:r>
        <w:t>November</w:t>
      </w:r>
      <w:r w:rsidRPr="00F024D6">
        <w:t xml:space="preserve"> 20</w:t>
      </w:r>
      <w:r>
        <w:t>21</w:t>
      </w:r>
      <w:r w:rsidRPr="00F024D6">
        <w:t xml:space="preserve"> to </w:t>
      </w:r>
      <w:r>
        <w:t>June</w:t>
      </w:r>
      <w:r w:rsidRPr="00F024D6">
        <w:t xml:space="preserve"> 20</w:t>
      </w:r>
      <w:r>
        <w:t>22</w:t>
      </w:r>
      <w:r w:rsidRPr="00F024D6">
        <w:t>.</w:t>
      </w:r>
    </w:p>
    <w:p w14:paraId="29D9BD3D" w14:textId="77777777" w:rsidR="005412A1" w:rsidRDefault="005412A1" w:rsidP="005412A1"/>
    <w:p w14:paraId="35615DF9" w14:textId="006E05B5" w:rsidR="007C08B6" w:rsidRDefault="00EC28AC" w:rsidP="00137E26">
      <w:pPr>
        <w:pStyle w:val="Heading2"/>
      </w:pPr>
      <w:r>
        <w:t xml:space="preserve">3.4. </w:t>
      </w:r>
      <w:r w:rsidR="00137E26">
        <w:t>Forecast 4 summary</w:t>
      </w:r>
    </w:p>
    <w:p w14:paraId="31B2EE46" w14:textId="14D6192B" w:rsidR="00ED0E7A" w:rsidRDefault="00137E26" w:rsidP="006B5A44">
      <w:r>
        <w:br/>
      </w:r>
      <w:r w:rsidR="00665982">
        <w:t>The r</w:t>
      </w:r>
      <w:r w:rsidR="004209B6">
        <w:t xml:space="preserve">esults in the fourth test </w:t>
      </w:r>
      <w:r w:rsidR="00665982">
        <w:t>align</w:t>
      </w:r>
      <w:r w:rsidR="004209B6">
        <w:t xml:space="preserve"> more </w:t>
      </w:r>
      <w:r w:rsidR="00665982">
        <w:t xml:space="preserve">closely to </w:t>
      </w:r>
      <w:r w:rsidR="00671875">
        <w:t xml:space="preserve">outcomes observed </w:t>
      </w:r>
      <w:r w:rsidR="004209B6">
        <w:t xml:space="preserve">in the first two tests. </w:t>
      </w:r>
      <w:r w:rsidR="00196C40">
        <w:t xml:space="preserve">The random walk model performed slightly worse out of sample with RMSE of </w:t>
      </w:r>
      <w:r w:rsidR="00B91D74">
        <w:t>$</w:t>
      </w:r>
      <w:r w:rsidR="001B7337">
        <w:t xml:space="preserve">14.70 compared to </w:t>
      </w:r>
      <w:r w:rsidR="00B91D74">
        <w:t>$</w:t>
      </w:r>
      <w:r w:rsidR="001B7337">
        <w:t xml:space="preserve">11.82 in sample. </w:t>
      </w:r>
      <w:r w:rsidR="00B91D74">
        <w:t>Applying</w:t>
      </w:r>
      <w:r w:rsidR="00416588">
        <w:t xml:space="preserve"> </w:t>
      </w:r>
      <w:r w:rsidR="00671875">
        <w:t xml:space="preserve">the </w:t>
      </w:r>
      <w:r w:rsidR="00416588">
        <w:t>A</w:t>
      </w:r>
      <w:r w:rsidR="00C36C32">
        <w:t>R</w:t>
      </w:r>
      <w:r w:rsidR="007C08B6" w:rsidRPr="00865B0D">
        <w:t>IMA(</w:t>
      </w:r>
      <w:r w:rsidR="00865B0D">
        <w:t>1</w:t>
      </w:r>
      <w:r w:rsidR="007C08B6" w:rsidRPr="00865B0D">
        <w:t>,1,</w:t>
      </w:r>
      <w:r w:rsidR="00865B0D">
        <w:t>0</w:t>
      </w:r>
      <w:r w:rsidR="007C08B6" w:rsidRPr="00865B0D">
        <w:t>)</w:t>
      </w:r>
      <w:r w:rsidR="00416588">
        <w:t xml:space="preserve"> improved </w:t>
      </w:r>
      <w:r w:rsidR="00287D01">
        <w:t xml:space="preserve">performance with </w:t>
      </w:r>
      <w:r w:rsidR="00416588">
        <w:t xml:space="preserve">an out of </w:t>
      </w:r>
      <w:r w:rsidR="00B91D74">
        <w:t>sample</w:t>
      </w:r>
      <w:r w:rsidR="00416588">
        <w:t xml:space="preserve"> RMSE of </w:t>
      </w:r>
      <w:r w:rsidR="00B91D74">
        <w:t>$13.89</w:t>
      </w:r>
      <w:r w:rsidR="009C375A">
        <w:t xml:space="preserve">, </w:t>
      </w:r>
      <w:r w:rsidR="00287D01">
        <w:t>with</w:t>
      </w:r>
      <w:r w:rsidR="009C375A">
        <w:t xml:space="preserve"> no autocorrelation in the residuals. </w:t>
      </w:r>
      <w:r w:rsidR="009B038E">
        <w:t xml:space="preserve">The </w:t>
      </w:r>
      <w:r w:rsidR="00F56172">
        <w:t>S</w:t>
      </w:r>
      <w:r w:rsidR="009B038E">
        <w:t xml:space="preserve">ARIMA also had no correlation in its residuals when </w:t>
      </w:r>
      <w:r w:rsidR="00DC0C0F">
        <w:t>model</w:t>
      </w:r>
      <w:r w:rsidR="00885FF0">
        <w:t>led</w:t>
      </w:r>
      <w:r w:rsidR="009B038E">
        <w:t xml:space="preserve"> by </w:t>
      </w:r>
      <w:r w:rsidR="009B038E" w:rsidRPr="009B038E">
        <w:t>ARIMA(1,1,0)(2,0,1)[12]</w:t>
      </w:r>
      <w:r w:rsidR="009B038E">
        <w:t xml:space="preserve">. </w:t>
      </w:r>
      <w:r w:rsidR="0045531D">
        <w:t>This model had the lowest error</w:t>
      </w:r>
      <w:r w:rsidR="00885FF0">
        <w:t xml:space="preserve"> in both tests</w:t>
      </w:r>
      <w:r w:rsidR="008C404B">
        <w:t xml:space="preserve">, with an RMSE </w:t>
      </w:r>
      <w:r w:rsidR="00B61320">
        <w:t>of $</w:t>
      </w:r>
      <w:r w:rsidR="0045531D">
        <w:t>12.76 out of sample.</w:t>
      </w:r>
      <w:r w:rsidR="00855404">
        <w:t xml:space="preserve"> Applying a </w:t>
      </w:r>
      <w:r w:rsidR="00855404" w:rsidRPr="00855404">
        <w:t>ARIMA(3,0,2)</w:t>
      </w:r>
      <w:r w:rsidR="00855404">
        <w:t>-</w:t>
      </w:r>
      <w:r w:rsidR="00855404" w:rsidRPr="00855404">
        <w:t>GARCH(1,1)</w:t>
      </w:r>
      <w:r w:rsidR="00855404">
        <w:t xml:space="preserve"> </w:t>
      </w:r>
      <w:r w:rsidR="001F31F0">
        <w:t>produced</w:t>
      </w:r>
      <w:r w:rsidR="008D2F35">
        <w:t xml:space="preserve"> the second</w:t>
      </w:r>
      <w:r w:rsidR="0088643B">
        <w:t>-</w:t>
      </w:r>
      <w:r w:rsidR="008D2F35">
        <w:t xml:space="preserve">lowest </w:t>
      </w:r>
      <w:r w:rsidR="0088643B">
        <w:t xml:space="preserve">out-of-sample </w:t>
      </w:r>
      <w:r w:rsidR="008D2F35">
        <w:t>error</w:t>
      </w:r>
      <w:r w:rsidR="0088643B">
        <w:t xml:space="preserve"> of</w:t>
      </w:r>
      <w:r w:rsidR="00B61320">
        <w:t xml:space="preserve"> $13.46. </w:t>
      </w:r>
      <w:r w:rsidR="009F3F30">
        <w:t xml:space="preserve">It </w:t>
      </w:r>
      <w:r w:rsidR="000124CE">
        <w:t xml:space="preserve">effectively </w:t>
      </w:r>
      <w:r w:rsidR="009F3F30">
        <w:t>captured the volatility</w:t>
      </w:r>
      <w:r w:rsidR="000124CE">
        <w:t xml:space="preserve"> </w:t>
      </w:r>
      <w:r w:rsidR="009F3F30">
        <w:t>passing both autocorrelation tests</w:t>
      </w:r>
      <w:r w:rsidR="004100E3">
        <w:t xml:space="preserve"> and </w:t>
      </w:r>
      <w:r w:rsidR="003F4D6D">
        <w:t>maintained a high</w:t>
      </w:r>
      <w:r w:rsidR="009F3F30">
        <w:t xml:space="preserve"> </w:t>
      </w:r>
      <w:r w:rsidR="00787D4A">
        <w:t xml:space="preserve">squared residuals </w:t>
      </w:r>
      <w:r w:rsidR="007B4CF1">
        <w:t>coefficient</w:t>
      </w:r>
      <w:r w:rsidR="00787D4A">
        <w:t xml:space="preserve"> </w:t>
      </w:r>
      <w:r w:rsidR="003F4D6D">
        <w:t>of</w:t>
      </w:r>
      <w:r w:rsidR="007B4CF1">
        <w:t xml:space="preserve"> </w:t>
      </w:r>
      <w:r w:rsidR="00787D4A">
        <w:t xml:space="preserve">0.95. </w:t>
      </w:r>
      <w:r w:rsidR="008C404B">
        <w:t>N</w:t>
      </w:r>
      <w:r w:rsidR="00D8131A">
        <w:t>o statistically significant variables were found to apply in ARIMAX.</w:t>
      </w:r>
      <w:r w:rsidR="003F4D6D">
        <w:t xml:space="preserve"> </w:t>
      </w:r>
      <w:r w:rsidR="008C3439">
        <w:t>The models initially under precited the price and then began over pr</w:t>
      </w:r>
      <w:r w:rsidR="00C83080">
        <w:t>edicting</w:t>
      </w:r>
      <w:r w:rsidR="008C3439">
        <w:t xml:space="preserve"> in the latter periods (Figure 4). </w:t>
      </w:r>
      <w:r w:rsidR="00D8131A">
        <w:t xml:space="preserve"> </w:t>
      </w:r>
    </w:p>
    <w:p w14:paraId="1AE53F49" w14:textId="05800970" w:rsidR="00ED0E7A" w:rsidRDefault="00ED0E7A" w:rsidP="00F46FB8">
      <w:pPr>
        <w:widowControl/>
        <w:jc w:val="center"/>
      </w:pPr>
    </w:p>
    <w:p w14:paraId="6422862C" w14:textId="70D902AE" w:rsidR="00F9624A" w:rsidRDefault="00F9624A" w:rsidP="00F9624A">
      <w:pPr>
        <w:pStyle w:val="Caption"/>
        <w:keepNext/>
        <w:ind w:firstLine="360"/>
      </w:pPr>
      <w:r>
        <w:t xml:space="preserve">                    Table </w:t>
      </w:r>
      <w:fldSimple w:instr=" SEQ Table \* ARABIC ">
        <w:r w:rsidR="00B6270C">
          <w:rPr>
            <w:noProof/>
          </w:rPr>
          <w:t>4</w:t>
        </w:r>
      </w:fldSimple>
      <w:r>
        <w:t>. Forecast 4 results.</w:t>
      </w:r>
    </w:p>
    <w:p w14:paraId="532F19CD" w14:textId="134A5E01" w:rsidR="00ED0E7A" w:rsidRDefault="00CE1FFC" w:rsidP="00F46FB8">
      <w:pPr>
        <w:widowControl/>
        <w:jc w:val="center"/>
      </w:pPr>
      <w:r w:rsidRPr="00CE1FFC">
        <w:rPr>
          <w:noProof/>
        </w:rPr>
        <w:drawing>
          <wp:inline distT="0" distB="0" distL="0" distR="0" wp14:anchorId="593939E8" wp14:editId="0D0A84CE">
            <wp:extent cx="4681324" cy="1256400"/>
            <wp:effectExtent l="0" t="0" r="5080" b="1270"/>
            <wp:docPr id="20240398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324" cy="12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7FC9A" w14:textId="77777777" w:rsidR="00ED0E7A" w:rsidRDefault="00ED0E7A" w:rsidP="00F9624A">
      <w:pPr>
        <w:widowControl/>
      </w:pPr>
    </w:p>
    <w:p w14:paraId="4E7270AD" w14:textId="77777777" w:rsidR="00311161" w:rsidRDefault="00F71FF0" w:rsidP="00311161">
      <w:pPr>
        <w:keepNext/>
        <w:widowControl/>
        <w:jc w:val="center"/>
      </w:pPr>
      <w:r w:rsidRPr="00F71FF0">
        <w:rPr>
          <w:noProof/>
        </w:rPr>
        <w:lastRenderedPageBreak/>
        <w:drawing>
          <wp:inline distT="0" distB="0" distL="0" distR="0" wp14:anchorId="66956830" wp14:editId="4FD86769">
            <wp:extent cx="4745819" cy="2880000"/>
            <wp:effectExtent l="0" t="0" r="0" b="0"/>
            <wp:docPr id="86571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17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581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CE95" w14:textId="6706C415" w:rsidR="00AA03B2" w:rsidRDefault="00311161" w:rsidP="00B6270C">
      <w:pPr>
        <w:pStyle w:val="Caption"/>
        <w:ind w:left="720" w:firstLine="720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. </w:t>
      </w:r>
      <w:r w:rsidRPr="00173BFA">
        <w:t xml:space="preserve">Test </w:t>
      </w:r>
      <w:r>
        <w:t>4</w:t>
      </w:r>
      <w:r w:rsidRPr="00173BFA">
        <w:t xml:space="preserve">, corn price </w:t>
      </w:r>
      <w:r>
        <w:t xml:space="preserve">forecast </w:t>
      </w:r>
      <w:r w:rsidRPr="00173BFA">
        <w:t xml:space="preserve">from </w:t>
      </w:r>
      <w:r>
        <w:t>September</w:t>
      </w:r>
      <w:r w:rsidRPr="00173BFA">
        <w:t xml:space="preserve"> 2</w:t>
      </w:r>
      <w:r>
        <w:t>023</w:t>
      </w:r>
      <w:r w:rsidRPr="00173BFA">
        <w:t xml:space="preserve"> to </w:t>
      </w:r>
      <w:r>
        <w:t>April</w:t>
      </w:r>
      <w:r w:rsidRPr="00173BFA">
        <w:t xml:space="preserve"> 20</w:t>
      </w:r>
      <w:r>
        <w:t>24</w:t>
      </w:r>
      <w:r w:rsidRPr="00173BFA">
        <w:t>.</w:t>
      </w:r>
    </w:p>
    <w:p w14:paraId="51318067" w14:textId="77777777" w:rsidR="00192842" w:rsidRDefault="00192842" w:rsidP="007F51B3">
      <w:pPr>
        <w:widowControl/>
      </w:pPr>
    </w:p>
    <w:p w14:paraId="16AEA87A" w14:textId="7D0B86E5" w:rsidR="00EB5C88" w:rsidRPr="00EB5C88" w:rsidRDefault="00EC28AC" w:rsidP="00EB5C88">
      <w:pPr>
        <w:pStyle w:val="Heading2"/>
        <w:jc w:val="left"/>
      </w:pPr>
      <w:r>
        <w:t xml:space="preserve">3.5. </w:t>
      </w:r>
      <w:r w:rsidR="007B4CF1">
        <w:t xml:space="preserve">Summary </w:t>
      </w:r>
      <w:r w:rsidR="00B6270C">
        <w:t>of f</w:t>
      </w:r>
      <w:r w:rsidR="00204D47">
        <w:t>orecasts</w:t>
      </w:r>
      <w:r w:rsidR="00EB5C88">
        <w:br/>
      </w:r>
    </w:p>
    <w:p w14:paraId="679C5771" w14:textId="7619466A" w:rsidR="000E642A" w:rsidRDefault="005E3FA3" w:rsidP="007F51B3">
      <w:pPr>
        <w:widowControl/>
      </w:pPr>
      <w:r>
        <w:t>Averaging</w:t>
      </w:r>
      <w:r w:rsidR="002034D1">
        <w:t xml:space="preserve"> the errors </w:t>
      </w:r>
      <w:r>
        <w:t>across</w:t>
      </w:r>
      <w:r w:rsidR="002034D1">
        <w:t xml:space="preserve"> the four tests reveals that </w:t>
      </w:r>
      <w:r>
        <w:t xml:space="preserve">the random walk with drift has the highest forecast error over an </w:t>
      </w:r>
      <w:r w:rsidR="009211D7">
        <w:t>8-month</w:t>
      </w:r>
      <w:r>
        <w:t xml:space="preserve"> period</w:t>
      </w:r>
      <w:r w:rsidR="003943B2">
        <w:t xml:space="preserve">, </w:t>
      </w:r>
      <w:r w:rsidR="00D66EA4">
        <w:t xml:space="preserve">with </w:t>
      </w:r>
      <w:r w:rsidR="009211D7">
        <w:t xml:space="preserve">an average </w:t>
      </w:r>
      <w:r w:rsidR="00D66EA4">
        <w:t xml:space="preserve">out of sample </w:t>
      </w:r>
      <w:r w:rsidR="009211D7">
        <w:t xml:space="preserve">RMSE of </w:t>
      </w:r>
      <w:r w:rsidR="004D565E">
        <w:t>$</w:t>
      </w:r>
      <w:r w:rsidR="009211D7">
        <w:t>32.37</w:t>
      </w:r>
      <w:r w:rsidR="00D66EA4">
        <w:t xml:space="preserve">. </w:t>
      </w:r>
      <w:r w:rsidR="00CD7BF0">
        <w:t xml:space="preserve"> </w:t>
      </w:r>
      <w:r w:rsidR="007B17F3">
        <w:t>It</w:t>
      </w:r>
      <w:r w:rsidR="00CD7BF0">
        <w:t xml:space="preserve"> </w:t>
      </w:r>
      <w:r w:rsidR="009211D7">
        <w:t xml:space="preserve">was </w:t>
      </w:r>
      <w:r w:rsidR="00572011">
        <w:t xml:space="preserve">closely </w:t>
      </w:r>
      <w:r w:rsidR="009211D7">
        <w:t xml:space="preserve">followed by </w:t>
      </w:r>
      <w:r w:rsidR="00CD7BF0">
        <w:t>ARIMAX</w:t>
      </w:r>
      <w:r w:rsidR="009211D7">
        <w:t xml:space="preserve"> </w:t>
      </w:r>
      <w:r w:rsidR="00CD7BF0">
        <w:t>at $32.</w:t>
      </w:r>
      <w:r w:rsidR="00E41425">
        <w:t>27</w:t>
      </w:r>
      <w:r w:rsidR="00572011">
        <w:t>.</w:t>
      </w:r>
      <w:r w:rsidR="00162E39">
        <w:t xml:space="preserve"> </w:t>
      </w:r>
      <w:r w:rsidR="00066054" w:rsidRPr="00066054">
        <w:t xml:space="preserve">In tests three and four, where no explanatory variables were identified </w:t>
      </w:r>
      <w:r w:rsidR="00C8225C">
        <w:t>for the ARIMAX</w:t>
      </w:r>
      <w:r w:rsidR="00066054" w:rsidRPr="00066054">
        <w:t xml:space="preserve">, the </w:t>
      </w:r>
      <w:r w:rsidR="00931F84">
        <w:t>error</w:t>
      </w:r>
      <w:r w:rsidR="00066054" w:rsidRPr="00066054">
        <w:t xml:space="preserve"> of the ARIMA model was </w:t>
      </w:r>
      <w:r w:rsidR="00931F84">
        <w:t>used</w:t>
      </w:r>
      <w:r w:rsidR="00B14000">
        <w:t>, t</w:t>
      </w:r>
      <w:r w:rsidR="00066054" w:rsidRPr="00066054">
        <w:t>hereby lowering its average error</w:t>
      </w:r>
      <w:r w:rsidR="006339A0">
        <w:t xml:space="preserve"> which in reality should be worse</w:t>
      </w:r>
      <w:r w:rsidR="00066054" w:rsidRPr="00066054">
        <w:t>.</w:t>
      </w:r>
      <w:r w:rsidR="00066054">
        <w:t xml:space="preserve"> </w:t>
      </w:r>
      <w:r w:rsidR="00CE1763">
        <w:t xml:space="preserve">This had to be done otherwise </w:t>
      </w:r>
      <w:r w:rsidR="0049315D">
        <w:t xml:space="preserve">the outlier test error would not have been in its average. </w:t>
      </w:r>
      <w:r w:rsidR="00924D46">
        <w:t xml:space="preserve">The </w:t>
      </w:r>
      <w:r w:rsidR="00066054">
        <w:t xml:space="preserve">best performing </w:t>
      </w:r>
      <w:r w:rsidR="00924D46">
        <w:t>model was the SARIMA</w:t>
      </w:r>
      <w:r w:rsidR="004525A6">
        <w:t xml:space="preserve"> which </w:t>
      </w:r>
      <w:r w:rsidR="00066054">
        <w:t xml:space="preserve">achieved </w:t>
      </w:r>
      <w:r w:rsidR="004525A6">
        <w:t xml:space="preserve">an average out of sample </w:t>
      </w:r>
      <w:r w:rsidR="00066054">
        <w:t>RMSE</w:t>
      </w:r>
      <w:r w:rsidR="006C6287">
        <w:t xml:space="preserve"> </w:t>
      </w:r>
      <w:r w:rsidR="004525A6">
        <w:t>of $31.41. The ARIMA</w:t>
      </w:r>
      <w:r w:rsidR="00EF19A5">
        <w:t>-GARCH was marginally better th</w:t>
      </w:r>
      <w:r w:rsidR="006C6287">
        <w:t>an</w:t>
      </w:r>
      <w:r w:rsidR="00EF19A5">
        <w:t xml:space="preserve"> the ARIMA and thus the </w:t>
      </w:r>
      <w:r w:rsidR="00977923">
        <w:t>second-best</w:t>
      </w:r>
      <w:r w:rsidR="00EF19A5">
        <w:t xml:space="preserve"> model. It had and RMSE of </w:t>
      </w:r>
      <w:r w:rsidR="00977923">
        <w:t>$31.81 compared to $31.83</w:t>
      </w:r>
      <w:r w:rsidR="006C6287">
        <w:t xml:space="preserve"> for the ARIMA model</w:t>
      </w:r>
      <w:r w:rsidR="0049315D">
        <w:t xml:space="preserve"> (Tabl</w:t>
      </w:r>
      <w:r w:rsidR="0019308F">
        <w:t>e 5)</w:t>
      </w:r>
      <w:r w:rsidR="00977923">
        <w:t>.</w:t>
      </w:r>
    </w:p>
    <w:p w14:paraId="7E2074E7" w14:textId="77777777" w:rsidR="00EB5C88" w:rsidRDefault="00EB5C88" w:rsidP="007F51B3">
      <w:pPr>
        <w:widowControl/>
      </w:pPr>
    </w:p>
    <w:p w14:paraId="7B7EE532" w14:textId="0F49D1CC" w:rsidR="00B6270C" w:rsidRDefault="00B6270C" w:rsidP="00B6270C">
      <w:pPr>
        <w:pStyle w:val="Caption"/>
        <w:keepNext/>
        <w:ind w:left="720" w:firstLine="720"/>
      </w:pPr>
      <w:r>
        <w:t xml:space="preserve">    Table </w:t>
      </w:r>
      <w:fldSimple w:instr=" SEQ Table \* ARABIC ">
        <w:r>
          <w:rPr>
            <w:noProof/>
          </w:rPr>
          <w:t>5</w:t>
        </w:r>
      </w:fldSimple>
      <w:r>
        <w:t>. Average model errors.</w:t>
      </w:r>
      <w:r>
        <w:tab/>
      </w:r>
    </w:p>
    <w:p w14:paraId="3567F16F" w14:textId="399EA50E" w:rsidR="00204D47" w:rsidRDefault="00C355F7" w:rsidP="000E642A">
      <w:pPr>
        <w:widowControl/>
        <w:jc w:val="center"/>
      </w:pPr>
      <w:r w:rsidRPr="00C355F7">
        <w:rPr>
          <w:noProof/>
        </w:rPr>
        <w:drawing>
          <wp:inline distT="0" distB="0" distL="0" distR="0" wp14:anchorId="4B9DEF49" wp14:editId="1E0DA16E">
            <wp:extent cx="4114071" cy="1256400"/>
            <wp:effectExtent l="0" t="0" r="1270" b="1270"/>
            <wp:docPr id="7713810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071" cy="12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22B4" w14:textId="7E7F6228" w:rsidR="00204D47" w:rsidRDefault="00204D47" w:rsidP="003F7817">
      <w:pPr>
        <w:widowControl/>
        <w:jc w:val="center"/>
      </w:pPr>
    </w:p>
    <w:p w14:paraId="3640CC66" w14:textId="108FAE57" w:rsidR="007D4F4A" w:rsidRPr="007D4F4A" w:rsidRDefault="00EB0A31" w:rsidP="0016207F">
      <w:pPr>
        <w:widowControl/>
      </w:pPr>
      <w:r>
        <w:t xml:space="preserve">All models </w:t>
      </w:r>
      <w:r w:rsidR="00AD2E69">
        <w:t>experience</w:t>
      </w:r>
      <w:r w:rsidR="00977923">
        <w:t>d</w:t>
      </w:r>
      <w:r w:rsidR="00AD2E69">
        <w:t xml:space="preserve"> outlier errors in </w:t>
      </w:r>
      <w:r w:rsidR="00A24506">
        <w:t xml:space="preserve">the third </w:t>
      </w:r>
      <w:r w:rsidR="00AD2E69">
        <w:t xml:space="preserve">forecast. </w:t>
      </w:r>
      <w:r w:rsidR="00641A5C">
        <w:t xml:space="preserve">This </w:t>
      </w:r>
      <w:r w:rsidR="00880D3A">
        <w:t>a</w:t>
      </w:r>
      <w:r w:rsidR="00880D3A" w:rsidRPr="00880D3A">
        <w:t>nomaly can be attributed to a trend reversal in corn prices just before the forecast period. In the months leading up to the forecast, corn prices exhibited a sharp downward trend, followed by a rapid increase just prior to the forecast.</w:t>
      </w:r>
      <w:r w:rsidR="00487ABF">
        <w:t xml:space="preserve"> </w:t>
      </w:r>
      <w:r w:rsidR="00BC1C6B">
        <w:t>Given that</w:t>
      </w:r>
      <w:r w:rsidR="000A37D9">
        <w:t xml:space="preserve"> ARIMA models </w:t>
      </w:r>
      <w:r w:rsidR="00BC1C6B">
        <w:t xml:space="preserve">rely on </w:t>
      </w:r>
      <w:r w:rsidR="000A37D9">
        <w:t>autoregressive pat</w:t>
      </w:r>
      <w:r w:rsidR="00CC2EB5">
        <w:t>t</w:t>
      </w:r>
      <w:r w:rsidR="000A37D9">
        <w:t>e</w:t>
      </w:r>
      <w:r w:rsidR="00CC2EB5">
        <w:t>r</w:t>
      </w:r>
      <w:r w:rsidR="000A37D9">
        <w:t>ns</w:t>
      </w:r>
      <w:r w:rsidR="00BC1C6B">
        <w:t xml:space="preserve">, </w:t>
      </w:r>
      <w:r w:rsidR="000A37D9">
        <w:t xml:space="preserve">they </w:t>
      </w:r>
      <w:r w:rsidR="00B64328">
        <w:t>are expected to perform poorly</w:t>
      </w:r>
      <w:r w:rsidR="00A93AE5">
        <w:t>, as evidenced by the largest errors observed in the test.</w:t>
      </w:r>
      <w:r w:rsidR="00BC1C6B">
        <w:t xml:space="preserve"> </w:t>
      </w:r>
      <w:r w:rsidR="00ED2C3B">
        <w:t xml:space="preserve">The </w:t>
      </w:r>
      <w:r w:rsidR="00A93AE5">
        <w:t xml:space="preserve">outlier </w:t>
      </w:r>
      <w:r w:rsidR="00ED2C3B">
        <w:t>error</w:t>
      </w:r>
      <w:r w:rsidR="00F47E56">
        <w:t>s on this test</w:t>
      </w:r>
      <w:r w:rsidR="00ED2C3B">
        <w:t xml:space="preserve"> skewed </w:t>
      </w:r>
      <w:r w:rsidR="00F47E56">
        <w:t>overall averages</w:t>
      </w:r>
      <w:r w:rsidR="00ED2C3B">
        <w:t xml:space="preserve">, </w:t>
      </w:r>
      <w:r w:rsidR="00A93AE5">
        <w:t>with forecast errors in the range of</w:t>
      </w:r>
      <w:r w:rsidR="00B764A0">
        <w:t xml:space="preserve"> </w:t>
      </w:r>
      <w:r w:rsidR="00A93AE5">
        <w:t>$</w:t>
      </w:r>
      <w:r w:rsidR="009076E3">
        <w:t>65</w:t>
      </w:r>
      <w:r w:rsidR="008161B4">
        <w:t xml:space="preserve"> </w:t>
      </w:r>
      <w:r w:rsidR="009076E3">
        <w:t>-</w:t>
      </w:r>
      <w:r w:rsidR="008161B4">
        <w:t xml:space="preserve"> </w:t>
      </w:r>
      <w:r w:rsidR="00A93AE5">
        <w:t>$</w:t>
      </w:r>
      <w:r w:rsidR="009076E3">
        <w:t>75</w:t>
      </w:r>
      <w:r w:rsidR="00A93AE5">
        <w:t>,</w:t>
      </w:r>
      <w:r w:rsidR="003817F7">
        <w:t xml:space="preserve"> </w:t>
      </w:r>
      <w:r w:rsidR="008161B4">
        <w:t>compared</w:t>
      </w:r>
      <w:r w:rsidR="009076E3">
        <w:t xml:space="preserve"> t</w:t>
      </w:r>
      <w:r w:rsidR="008161B4">
        <w:t>o the other tests</w:t>
      </w:r>
      <w:r w:rsidR="003817F7">
        <w:t xml:space="preserve"> where </w:t>
      </w:r>
      <w:r w:rsidR="008161B4">
        <w:t>range</w:t>
      </w:r>
      <w:r w:rsidR="003817F7">
        <w:t>s</w:t>
      </w:r>
      <w:r w:rsidR="008161B4">
        <w:t xml:space="preserve"> of </w:t>
      </w:r>
      <w:r w:rsidR="003817F7">
        <w:t>$</w:t>
      </w:r>
      <w:r w:rsidR="008161B4">
        <w:t xml:space="preserve">10 – </w:t>
      </w:r>
      <w:r w:rsidR="003817F7">
        <w:t>$</w:t>
      </w:r>
      <w:r w:rsidR="008161B4">
        <w:t>22</w:t>
      </w:r>
      <w:r w:rsidR="003817F7">
        <w:t xml:space="preserve"> were seen</w:t>
      </w:r>
      <w:r w:rsidR="008161B4">
        <w:t>.</w:t>
      </w:r>
      <w:r w:rsidR="00B32A4A">
        <w:t xml:space="preserve"> </w:t>
      </w:r>
      <w:r w:rsidR="0016207F">
        <w:t xml:space="preserve">Coefficients </w:t>
      </w:r>
      <w:r w:rsidR="00D841C5">
        <w:t xml:space="preserve">on the squared residuals </w:t>
      </w:r>
      <w:r w:rsidR="00D841C5">
        <w:lastRenderedPageBreak/>
        <w:t>in GARCH models were</w:t>
      </w:r>
      <w:r w:rsidR="0016207F">
        <w:t xml:space="preserve"> high</w:t>
      </w:r>
      <w:r w:rsidR="00D841C5">
        <w:t xml:space="preserve"> on all </w:t>
      </w:r>
      <w:r w:rsidR="00144F80">
        <w:t xml:space="preserve">forecasts, which indicates that </w:t>
      </w:r>
      <w:r w:rsidR="000140FB">
        <w:t xml:space="preserve">past </w:t>
      </w:r>
      <w:r w:rsidR="00144F80">
        <w:t>volatility</w:t>
      </w:r>
      <w:r w:rsidR="000140FB">
        <w:t xml:space="preserve"> </w:t>
      </w:r>
      <w:r w:rsidR="00144F80">
        <w:t xml:space="preserve">has a large impact on current </w:t>
      </w:r>
      <w:r w:rsidR="00304B81">
        <w:t xml:space="preserve">volatility and </w:t>
      </w:r>
      <w:r w:rsidR="000140FB">
        <w:t xml:space="preserve">takes a long time to </w:t>
      </w:r>
      <w:r w:rsidR="003817F7">
        <w:t>return</w:t>
      </w:r>
      <w:r w:rsidR="000140FB">
        <w:t xml:space="preserve"> to normal levels</w:t>
      </w:r>
      <w:r w:rsidR="003817F7">
        <w:t>.</w:t>
      </w:r>
      <w:r w:rsidR="003D47F6">
        <w:t xml:space="preserve"> </w:t>
      </w:r>
      <w:r w:rsidR="006C7BB8">
        <w:t>This suggests the presence of volatility clustering.</w:t>
      </w:r>
    </w:p>
    <w:p w14:paraId="1354EF90" w14:textId="71356EA9" w:rsidR="00CB7398" w:rsidRDefault="00CB7398" w:rsidP="00D363AA">
      <w:pPr>
        <w:pStyle w:val="Heading1"/>
      </w:pPr>
      <w:r>
        <w:t>Conclusion</w:t>
      </w:r>
    </w:p>
    <w:p w14:paraId="388EC740" w14:textId="3876873F" w:rsidR="008034EF" w:rsidRDefault="001F7D35">
      <w:pPr>
        <w:widowControl/>
      </w:pPr>
      <w:r>
        <w:t xml:space="preserve">The results indicate </w:t>
      </w:r>
      <w:r w:rsidR="001317D0">
        <w:t>that</w:t>
      </w:r>
      <w:r w:rsidR="00F43540">
        <w:t>, on</w:t>
      </w:r>
      <w:r w:rsidR="003E07E9">
        <w:t xml:space="preserve"> average</w:t>
      </w:r>
      <w:r w:rsidR="00F43540">
        <w:t>,</w:t>
      </w:r>
      <w:r w:rsidR="003E07E9">
        <w:t xml:space="preserve"> </w:t>
      </w:r>
      <w:r>
        <w:t>a</w:t>
      </w:r>
      <w:r w:rsidR="003E07E9">
        <w:t xml:space="preserve"> seasonal</w:t>
      </w:r>
      <w:r>
        <w:t xml:space="preserve"> ARIMA </w:t>
      </w:r>
      <w:r w:rsidR="003E07E9">
        <w:t>is the best model for forecasting corn prices</w:t>
      </w:r>
      <w:r w:rsidR="00AC4FC2">
        <w:t>, followed by ARIMA-GARCH and ARIMA</w:t>
      </w:r>
      <w:r w:rsidR="00F43540">
        <w:t xml:space="preserve"> models</w:t>
      </w:r>
      <w:r w:rsidR="00AC4FC2">
        <w:t xml:space="preserve">. </w:t>
      </w:r>
      <w:r w:rsidR="00F43540">
        <w:t xml:space="preserve">However, </w:t>
      </w:r>
      <w:r w:rsidR="00EA32E3">
        <w:t xml:space="preserve">none of the models </w:t>
      </w:r>
      <w:r w:rsidR="00952F6D">
        <w:t xml:space="preserve">demonstrated </w:t>
      </w:r>
      <w:r w:rsidR="00EA32E3">
        <w:t xml:space="preserve">exceptional </w:t>
      </w:r>
      <w:r w:rsidR="00952F6D">
        <w:t xml:space="preserve">performance </w:t>
      </w:r>
      <w:r w:rsidR="00EA32E3">
        <w:t xml:space="preserve">with the best </w:t>
      </w:r>
      <w:r w:rsidR="00CC39E6">
        <w:t xml:space="preserve">average </w:t>
      </w:r>
      <w:r w:rsidR="00EA32E3">
        <w:t xml:space="preserve">RMSE </w:t>
      </w:r>
      <w:r w:rsidR="009A4253">
        <w:t xml:space="preserve">for an 8-month forecast </w:t>
      </w:r>
      <w:r w:rsidR="00EA32E3">
        <w:t xml:space="preserve">being </w:t>
      </w:r>
      <w:r w:rsidR="00CC39E6">
        <w:t xml:space="preserve">$31.48. </w:t>
      </w:r>
      <w:r w:rsidR="004B48B3">
        <w:t xml:space="preserve">At </w:t>
      </w:r>
      <w:r w:rsidR="00917814">
        <w:t>this</w:t>
      </w:r>
      <w:r w:rsidR="004B48B3">
        <w:t xml:space="preserve"> stage the models </w:t>
      </w:r>
      <w:r w:rsidR="00917814">
        <w:t>offer limited practical value</w:t>
      </w:r>
      <w:r w:rsidR="00117C48">
        <w:t xml:space="preserve"> for </w:t>
      </w:r>
      <w:r w:rsidR="00FB1303">
        <w:t>stakeholders</w:t>
      </w:r>
      <w:r w:rsidR="00117C48">
        <w:t xml:space="preserve"> given </w:t>
      </w:r>
      <w:r w:rsidR="0038707A">
        <w:t>their</w:t>
      </w:r>
      <w:r w:rsidR="00117C48">
        <w:t xml:space="preserve"> performance, though there is </w:t>
      </w:r>
      <w:r w:rsidR="0038707A">
        <w:t>potential for improvement through analysis of other models and variables</w:t>
      </w:r>
      <w:r w:rsidR="00FB1303">
        <w:t>.</w:t>
      </w:r>
    </w:p>
    <w:p w14:paraId="7A6A9362" w14:textId="21A46E57" w:rsidR="002325B5" w:rsidRDefault="003B672B">
      <w:pPr>
        <w:widowControl/>
      </w:pPr>
      <w:r w:rsidRPr="003B672B">
        <w:t>No variables</w:t>
      </w:r>
      <w:r>
        <w:t xml:space="preserve"> </w:t>
      </w:r>
      <w:r w:rsidRPr="003B672B">
        <w:t xml:space="preserve">were found </w:t>
      </w:r>
      <w:r w:rsidR="005F0FB5">
        <w:t xml:space="preserve">that </w:t>
      </w:r>
      <w:r w:rsidRPr="003B672B">
        <w:t xml:space="preserve">consistently </w:t>
      </w:r>
      <w:r w:rsidR="005F0FB5">
        <w:t xml:space="preserve">had </w:t>
      </w:r>
      <w:r w:rsidRPr="003B672B">
        <w:t>a relationship with corn prices</w:t>
      </w:r>
      <w:r w:rsidR="005F0FB5">
        <w:t>, but adding them</w:t>
      </w:r>
      <w:r w:rsidR="008A6880" w:rsidRPr="008A6880">
        <w:t xml:space="preserve"> </w:t>
      </w:r>
      <w:r w:rsidR="00E343A4">
        <w:t>showed potential</w:t>
      </w:r>
      <w:r w:rsidR="00314E25">
        <w:t>.</w:t>
      </w:r>
      <w:r w:rsidR="00E343A4">
        <w:t xml:space="preserve"> </w:t>
      </w:r>
      <w:r w:rsidR="00314E25">
        <w:t>D</w:t>
      </w:r>
      <w:r w:rsidR="00E343A4">
        <w:t>uring in sample tests</w:t>
      </w:r>
      <w:r w:rsidR="00314E25">
        <w:t xml:space="preserve"> when us</w:t>
      </w:r>
      <w:r w:rsidR="00CE4C62">
        <w:t>ing statically significant variables</w:t>
      </w:r>
      <w:r w:rsidR="00314E25">
        <w:t xml:space="preserve"> in an ARIM</w:t>
      </w:r>
      <w:r w:rsidR="00CE4C62">
        <w:t>A</w:t>
      </w:r>
      <w:r w:rsidR="00314E25">
        <w:t>X</w:t>
      </w:r>
      <w:r w:rsidR="00CE4C62">
        <w:t xml:space="preserve"> they achieved the</w:t>
      </w:r>
      <w:r w:rsidR="008034EF">
        <w:t xml:space="preserve"> lowest in sample error</w:t>
      </w:r>
      <w:r w:rsidR="006E07BF">
        <w:t>.</w:t>
      </w:r>
      <w:r>
        <w:t xml:space="preserve"> H</w:t>
      </w:r>
      <w:r w:rsidR="008A6880">
        <w:t>owever</w:t>
      </w:r>
      <w:r w:rsidR="006E07BF">
        <w:t xml:space="preserve">, there effectiveness was restricted </w:t>
      </w:r>
      <w:r w:rsidR="001105B8">
        <w:t>as</w:t>
      </w:r>
      <w:r w:rsidR="008A6880">
        <w:t xml:space="preserve"> they performed poorly out of sample</w:t>
      </w:r>
      <w:r w:rsidR="001105B8">
        <w:t xml:space="preserve">, partly due to </w:t>
      </w:r>
      <w:r w:rsidR="005514CC">
        <w:t>compounding errors. To forecast of corn price</w:t>
      </w:r>
      <w:r w:rsidR="001105B8">
        <w:t>s</w:t>
      </w:r>
      <w:r w:rsidR="005514CC">
        <w:t xml:space="preserve">, the </w:t>
      </w:r>
      <w:r w:rsidR="0036097A">
        <w:t>e</w:t>
      </w:r>
      <w:r w:rsidR="005514CC">
        <w:t>x</w:t>
      </w:r>
      <w:r w:rsidR="0036097A">
        <w:t>planatory</w:t>
      </w:r>
      <w:r w:rsidR="005514CC">
        <w:t xml:space="preserve"> variables themselves need to be forecast</w:t>
      </w:r>
      <w:r w:rsidR="0036097A">
        <w:t>,</w:t>
      </w:r>
      <w:r w:rsidR="003F46A7">
        <w:t xml:space="preserve"> </w:t>
      </w:r>
      <w:r w:rsidR="0036097A">
        <w:t xml:space="preserve">meaning that the </w:t>
      </w:r>
      <w:r w:rsidR="003F46A7">
        <w:t>RMSE</w:t>
      </w:r>
      <w:r w:rsidR="008E137E">
        <w:t xml:space="preserve"> of the corn price forecast </w:t>
      </w:r>
      <w:r w:rsidR="007660BF">
        <w:t xml:space="preserve">is </w:t>
      </w:r>
      <w:r w:rsidR="00D514F9">
        <w:t>influenced</w:t>
      </w:r>
      <w:r w:rsidR="007660BF">
        <w:t xml:space="preserve"> by the </w:t>
      </w:r>
      <w:r w:rsidR="008E137E">
        <w:t>RMSE of the variable forecast.</w:t>
      </w:r>
      <w:r w:rsidR="00375F55">
        <w:t xml:space="preserve"> </w:t>
      </w:r>
    </w:p>
    <w:p w14:paraId="121917BF" w14:textId="271814FF" w:rsidR="00933B03" w:rsidRDefault="00D514F9" w:rsidP="00DD4FC1">
      <w:pPr>
        <w:widowControl/>
      </w:pPr>
      <w:r>
        <w:t>For</w:t>
      </w:r>
      <w:r w:rsidR="00FE24E7">
        <w:t xml:space="preserve"> future research</w:t>
      </w:r>
      <w:r>
        <w:t xml:space="preserve">, it is recommended to </w:t>
      </w:r>
      <w:r w:rsidR="0091270D">
        <w:t>prioritise i</w:t>
      </w:r>
      <w:r w:rsidR="00FE24E7">
        <w:t xml:space="preserve">dentifying relationships with lagged </w:t>
      </w:r>
      <w:r w:rsidR="000F0FBB">
        <w:t>variables</w:t>
      </w:r>
      <w:r w:rsidR="0091270D">
        <w:t>.</w:t>
      </w:r>
      <w:r w:rsidR="006E4EAC">
        <w:t xml:space="preserve"> This approach reduces the reliance on forecasting of the explanatory variables</w:t>
      </w:r>
      <w:r w:rsidR="008C4270">
        <w:t>, potentially yielding better results.</w:t>
      </w:r>
      <w:r w:rsidR="007D7AFA">
        <w:t xml:space="preserve"> </w:t>
      </w:r>
      <w:r w:rsidR="008C4270">
        <w:t>Additionally</w:t>
      </w:r>
      <w:r w:rsidR="00BD03FA">
        <w:t xml:space="preserve">, focusing on </w:t>
      </w:r>
      <w:r w:rsidR="00463100">
        <w:t>macro</w:t>
      </w:r>
      <w:r w:rsidR="00F54FF4">
        <w:t>-scale</w:t>
      </w:r>
      <w:r w:rsidR="00DD2903">
        <w:t xml:space="preserve"> </w:t>
      </w:r>
      <w:r w:rsidR="00BD03FA">
        <w:t xml:space="preserve">variables may enhance the likelihood of finding </w:t>
      </w:r>
      <w:r w:rsidR="007D7AFA">
        <w:t>statistically</w:t>
      </w:r>
      <w:r w:rsidR="00BD03FA">
        <w:t xml:space="preserve"> significant </w:t>
      </w:r>
      <w:r w:rsidR="007D7AFA">
        <w:t>relationships. C</w:t>
      </w:r>
      <w:r w:rsidR="00B67A84">
        <w:t>ompa</w:t>
      </w:r>
      <w:r w:rsidR="0021137F">
        <w:t xml:space="preserve">nies such as </w:t>
      </w:r>
      <w:r w:rsidR="001F2CEF">
        <w:t xml:space="preserve">LSEG </w:t>
      </w:r>
      <w:r w:rsidR="0021137F">
        <w:t xml:space="preserve">offer agricultural </w:t>
      </w:r>
      <w:r w:rsidR="0001170D">
        <w:t>commodities</w:t>
      </w:r>
      <w:r w:rsidR="0021137F">
        <w:t xml:space="preserve"> data packages</w:t>
      </w:r>
      <w:r w:rsidR="0001170D">
        <w:t xml:space="preserve"> </w:t>
      </w:r>
      <w:r w:rsidR="00B846A3">
        <w:t>that contain</w:t>
      </w:r>
      <w:r w:rsidR="004B3010">
        <w:t xml:space="preserve"> </w:t>
      </w:r>
      <w:r w:rsidR="00450426">
        <w:t xml:space="preserve">high quality and relevant data, </w:t>
      </w:r>
      <w:r w:rsidR="00027F2D">
        <w:t xml:space="preserve">though a </w:t>
      </w:r>
      <w:r w:rsidR="00450426">
        <w:t xml:space="preserve">subscription </w:t>
      </w:r>
      <w:r w:rsidR="00027F2D">
        <w:t xml:space="preserve">is required </w:t>
      </w:r>
      <w:sdt>
        <w:sdtPr>
          <w:id w:val="-1478525108"/>
          <w:citation/>
        </w:sdtPr>
        <w:sdtEndPr/>
        <w:sdtContent>
          <w:r w:rsidR="00B67A84">
            <w:fldChar w:fldCharType="begin"/>
          </w:r>
          <w:r w:rsidR="00B67A84">
            <w:instrText xml:space="preserve"> CITATION LSE24 \l 5129 </w:instrText>
          </w:r>
          <w:r w:rsidR="00B67A84">
            <w:fldChar w:fldCharType="separate"/>
          </w:r>
          <w:r w:rsidR="00FA4F89">
            <w:rPr>
              <w:noProof/>
            </w:rPr>
            <w:t>(LSEG, 2024)</w:t>
          </w:r>
          <w:r w:rsidR="00B67A84">
            <w:fldChar w:fldCharType="end"/>
          </w:r>
        </w:sdtContent>
      </w:sdt>
      <w:r w:rsidR="00450426">
        <w:t xml:space="preserve">. </w:t>
      </w:r>
      <w:r w:rsidR="00027F2D">
        <w:t>These packages include</w:t>
      </w:r>
      <w:r w:rsidR="008E2717">
        <w:t xml:space="preserve"> weather and </w:t>
      </w:r>
      <w:r w:rsidR="00027F2D">
        <w:t>c</w:t>
      </w:r>
      <w:r w:rsidR="008E2717">
        <w:t xml:space="preserve">rop forecasting data which </w:t>
      </w:r>
      <w:r w:rsidR="003A3913">
        <w:t>result in better models as they capture a larger group than in this study</w:t>
      </w:r>
      <w:r w:rsidR="008E2717">
        <w:t xml:space="preserve">. Given corns many uses it is </w:t>
      </w:r>
      <w:r w:rsidR="00F52503">
        <w:t xml:space="preserve">a good candidate for </w:t>
      </w:r>
      <w:r w:rsidR="00DD2049">
        <w:t>a ridge machine learning mode</w:t>
      </w:r>
      <w:r w:rsidR="003A3913">
        <w:t xml:space="preserve">l. This </w:t>
      </w:r>
      <w:r w:rsidR="00407A07">
        <w:t xml:space="preserve">method could effectively handle a large number of correlated variables, which may lead to </w:t>
      </w:r>
      <w:r w:rsidR="00427511">
        <w:t>more accurate forecasts.</w:t>
      </w:r>
    </w:p>
    <w:p w14:paraId="54C01D27" w14:textId="77777777" w:rsidR="00705E3E" w:rsidRDefault="00705E3E" w:rsidP="00DD4FC1">
      <w:pPr>
        <w:widowControl/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110513444"/>
        <w:docPartObj>
          <w:docPartGallery w:val="Bibliographies"/>
          <w:docPartUnique/>
        </w:docPartObj>
      </w:sdtPr>
      <w:sdtEndPr/>
      <w:sdtContent>
        <w:p w14:paraId="4A60920D" w14:textId="480E8357" w:rsidR="00705E3E" w:rsidRPr="00705E3E" w:rsidRDefault="00DD4FC1" w:rsidP="00887BF5">
          <w:pPr>
            <w:pStyle w:val="Heading1"/>
            <w:jc w:val="left"/>
          </w:pPr>
          <w:r>
            <w:t>References</w:t>
          </w:r>
          <w:r w:rsidR="00705E3E">
            <w:br/>
          </w:r>
        </w:p>
        <w:sdt>
          <w:sdtPr>
            <w:id w:val="-573587230"/>
            <w:bibliography/>
          </w:sdtPr>
          <w:sdtEndPr/>
          <w:sdtContent>
            <w:p w14:paraId="16988132" w14:textId="77777777" w:rsidR="00FA4F89" w:rsidRDefault="00DD4FC1" w:rsidP="00FA4F89">
              <w:pPr>
                <w:pStyle w:val="Bibliography"/>
                <w:ind w:left="720" w:hanging="720"/>
                <w:jc w:val="left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A4F89">
                <w:rPr>
                  <w:noProof/>
                </w:rPr>
                <w:t xml:space="preserve">Activeloop. (2024, 10 16). </w:t>
              </w:r>
              <w:r w:rsidR="00FA4F89">
                <w:rPr>
                  <w:i/>
                  <w:iCs/>
                  <w:noProof/>
                </w:rPr>
                <w:t>Akaike Information Criterion (AIC)</w:t>
              </w:r>
              <w:r w:rsidR="00FA4F89">
                <w:rPr>
                  <w:noProof/>
                </w:rPr>
                <w:t>. Retrieved from Activeloop: https://www.activeloop.ai/resources/glossary/akaike-information-criterion-aic/</w:t>
              </w:r>
            </w:p>
            <w:p w14:paraId="73A11010" w14:textId="77777777" w:rsidR="00FA4F89" w:rsidRDefault="00FA4F89" w:rsidP="00FA4F89">
              <w:pPr>
                <w:pStyle w:val="Bibliography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Bayer. (2022, 03 08). </w:t>
              </w:r>
              <w:r>
                <w:rPr>
                  <w:i/>
                  <w:iCs/>
                  <w:noProof/>
                </w:rPr>
                <w:t>Balancing Fertilizer Needs for the Corn Crop</w:t>
              </w:r>
              <w:r>
                <w:rPr>
                  <w:noProof/>
                </w:rPr>
                <w:t>. Retrieved from Bayer: https://www.cropscience.bayer.us/articles/bayer/balancing-fertilizer-needs-corn</w:t>
              </w:r>
            </w:p>
            <w:p w14:paraId="04F218CC" w14:textId="77777777" w:rsidR="00FA4F89" w:rsidRDefault="00FA4F89" w:rsidP="00FA4F89">
              <w:pPr>
                <w:pStyle w:val="Bibliography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Caldara, D., &amp; Iacoviello, M. (2024, 10 16). </w:t>
              </w:r>
              <w:r>
                <w:rPr>
                  <w:i/>
                  <w:iCs/>
                  <w:noProof/>
                </w:rPr>
                <w:t>Overview and Paper</w:t>
              </w:r>
              <w:r>
                <w:rPr>
                  <w:noProof/>
                </w:rPr>
                <w:t>. Retrieved from matteoiacoviello: https://www.matteoiacoviello.com/gpr.htm</w:t>
              </w:r>
            </w:p>
            <w:p w14:paraId="56ADFBA3" w14:textId="77777777" w:rsidR="00FA4F89" w:rsidRDefault="00FA4F89" w:rsidP="00FA4F89">
              <w:pPr>
                <w:pStyle w:val="Bibliography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FRED. (2024, 10 16). </w:t>
              </w:r>
              <w:r>
                <w:rPr>
                  <w:i/>
                  <w:iCs/>
                  <w:noProof/>
                </w:rPr>
                <w:t>Global price of Corn</w:t>
              </w:r>
              <w:r>
                <w:rPr>
                  <w:noProof/>
                </w:rPr>
                <w:t>. Retrieved from FRED: https://fred.stlouisfed.org/series/PMAIZMTUSDM</w:t>
              </w:r>
            </w:p>
            <w:p w14:paraId="6B9B7886" w14:textId="77777777" w:rsidR="00FA4F89" w:rsidRDefault="00FA4F89" w:rsidP="00FA4F89">
              <w:pPr>
                <w:pStyle w:val="Bibliography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Hyndman, R. J., &amp; Athanasopoulos, G. (2024, 10 19). </w:t>
              </w:r>
              <w:r>
                <w:rPr>
                  <w:i/>
                  <w:iCs/>
                  <w:noProof/>
                </w:rPr>
                <w:t>ARIMA modelling in R</w:t>
              </w:r>
              <w:r>
                <w:rPr>
                  <w:noProof/>
                </w:rPr>
                <w:t>. Retrieved from Forecasting: Principles and Practice: https://otexts.com/fpp2/arima-r.html</w:t>
              </w:r>
            </w:p>
            <w:p w14:paraId="466BA47D" w14:textId="77777777" w:rsidR="00FA4F89" w:rsidRDefault="00FA4F89" w:rsidP="00FA4F89">
              <w:pPr>
                <w:pStyle w:val="Bibliography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Junxue, L., &amp; Xi, W. (2022). Corn Price Prediction in China's Futures Market. </w:t>
              </w:r>
              <w:r>
                <w:rPr>
                  <w:i/>
                  <w:iCs/>
                  <w:noProof/>
                </w:rPr>
                <w:t>Academic Journal of Business &amp; Management</w:t>
              </w:r>
              <w:r>
                <w:rPr>
                  <w:noProof/>
                </w:rPr>
                <w:t>.</w:t>
              </w:r>
            </w:p>
            <w:p w14:paraId="2A923A56" w14:textId="77777777" w:rsidR="00FA4F89" w:rsidRDefault="00FA4F89" w:rsidP="00FA4F89">
              <w:pPr>
                <w:pStyle w:val="Bibliography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LSEG. (2024, 10 21). </w:t>
              </w:r>
              <w:r>
                <w:rPr>
                  <w:i/>
                  <w:iCs/>
                  <w:noProof/>
                </w:rPr>
                <w:t>LSEG Data &amp; Analytics</w:t>
              </w:r>
              <w:r>
                <w:rPr>
                  <w:noProof/>
                </w:rPr>
                <w:t>. Retrieved from Commodities - Agriculture: https://www.lseg.com/en/data-analytics/financial-data/commodities-data/agricultural-commodities-data#overview</w:t>
              </w:r>
            </w:p>
            <w:p w14:paraId="46D4B06F" w14:textId="77777777" w:rsidR="00FA4F89" w:rsidRDefault="00FA4F89" w:rsidP="00FA4F89">
              <w:pPr>
                <w:pStyle w:val="Bibliography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NWS. (2024). </w:t>
              </w:r>
              <w:r>
                <w:rPr>
                  <w:i/>
                  <w:iCs/>
                  <w:noProof/>
                </w:rPr>
                <w:t>National Weather Service</w:t>
              </w:r>
              <w:r>
                <w:rPr>
                  <w:noProof/>
                </w:rPr>
                <w:t>. Retrieved from National Weather Service: https://www.weather.gov/wrh/Climate?wfo=dmx</w:t>
              </w:r>
            </w:p>
            <w:p w14:paraId="68817F31" w14:textId="77777777" w:rsidR="00FA4F89" w:rsidRDefault="00FA4F89" w:rsidP="00FA4F89">
              <w:pPr>
                <w:pStyle w:val="Bibliography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OECD. (2024). </w:t>
              </w:r>
              <w:r>
                <w:rPr>
                  <w:i/>
                  <w:iCs/>
                  <w:noProof/>
                </w:rPr>
                <w:t>International Trade: Ratio: Exports to Imports: Total for China</w:t>
              </w:r>
              <w:r>
                <w:rPr>
                  <w:noProof/>
                </w:rPr>
                <w:t>. Retrieved from OECD: https://fred.stlouisfed.org/series/XTEITT01CNM156N</w:t>
              </w:r>
            </w:p>
            <w:p w14:paraId="4AF97815" w14:textId="77777777" w:rsidR="00FA4F89" w:rsidRDefault="00FA4F89" w:rsidP="00FA4F89">
              <w:pPr>
                <w:pStyle w:val="Bibliography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Raksha, K., &amp; Yeong, N. C. (2024). Forecasting the Global Price of Corn: Unveiling Insights with SARIMA Modelling. </w:t>
              </w:r>
              <w:r>
                <w:rPr>
                  <w:i/>
                  <w:iCs/>
                  <w:noProof/>
                </w:rPr>
                <w:t>American Journal of Applied</w:t>
              </w:r>
              <w:r>
                <w:rPr>
                  <w:noProof/>
                </w:rPr>
                <w:t>, 124-135.</w:t>
              </w:r>
            </w:p>
            <w:p w14:paraId="5F808C14" w14:textId="77777777" w:rsidR="00FA4F89" w:rsidRDefault="00FA4F89" w:rsidP="00FA4F89">
              <w:pPr>
                <w:pStyle w:val="Bibliography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Shahbandeh, M. (2024, 8 20). </w:t>
              </w:r>
              <w:r>
                <w:rPr>
                  <w:i/>
                  <w:iCs/>
                  <w:noProof/>
                </w:rPr>
                <w:t>Import value of corn worldwide in 2023, by leading country</w:t>
              </w:r>
              <w:r>
                <w:rPr>
                  <w:noProof/>
                </w:rPr>
                <w:t>. Retrieved from Statista: https://www.statista.com/statistics/1167839/leading-global-corn-importers/</w:t>
              </w:r>
            </w:p>
            <w:p w14:paraId="618ABBEC" w14:textId="77777777" w:rsidR="00FA4F89" w:rsidRDefault="00FA4F89" w:rsidP="00FA4F89">
              <w:pPr>
                <w:pStyle w:val="Bibliography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USDA. (2021, 10 16). </w:t>
              </w:r>
              <w:r>
                <w:rPr>
                  <w:i/>
                  <w:iCs/>
                  <w:noProof/>
                </w:rPr>
                <w:t>Production - Corn</w:t>
              </w:r>
              <w:r>
                <w:rPr>
                  <w:noProof/>
                </w:rPr>
                <w:t>. Retrieved from USDA: https://fas.usda.gov/data/production/commodity/0440000</w:t>
              </w:r>
            </w:p>
            <w:p w14:paraId="225832B7" w14:textId="77777777" w:rsidR="00FA4F89" w:rsidRDefault="00FA4F89" w:rsidP="00FA4F89">
              <w:pPr>
                <w:pStyle w:val="Bibliography"/>
                <w:ind w:left="720" w:hanging="720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World Economic Forum. (2021, 6 2). </w:t>
              </w:r>
              <w:r>
                <w:rPr>
                  <w:i/>
                  <w:iCs/>
                  <w:noProof/>
                </w:rPr>
                <w:t>From feed to fuel: This is how corn is used around the world</w:t>
              </w:r>
              <w:r>
                <w:rPr>
                  <w:noProof/>
                </w:rPr>
                <w:t>. Retrieved from World Economic Forum: https://www.weforum.org/agenda/2021/06/corn-industries-sustainability-food-prices/</w:t>
              </w:r>
            </w:p>
            <w:p w14:paraId="1A030236" w14:textId="63637DBE" w:rsidR="00DD4FC1" w:rsidRDefault="00DD4FC1" w:rsidP="00FA4F89">
              <w:pPr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B4D67D0" w14:textId="2F9F6CAE" w:rsidR="00B568D6" w:rsidRDefault="00CB7398" w:rsidP="00F31107">
      <w:pPr>
        <w:pStyle w:val="Heading1"/>
      </w:pPr>
      <w:r>
        <w:t>Appendix</w:t>
      </w:r>
    </w:p>
    <w:p w14:paraId="4C4F650C" w14:textId="55681238" w:rsidR="00DD4FC1" w:rsidRPr="00DD4FC1" w:rsidRDefault="00996A80" w:rsidP="00DD4FC1">
      <w:r>
        <w:t xml:space="preserve">R code and data set were submitted to </w:t>
      </w:r>
      <w:r w:rsidR="003E3CB1">
        <w:t>Moodle</w:t>
      </w:r>
      <w:r>
        <w:t>.</w:t>
      </w:r>
    </w:p>
    <w:p w14:paraId="2841AC26" w14:textId="77777777" w:rsidR="007A3497" w:rsidRDefault="007A3497" w:rsidP="00F31107"/>
    <w:p w14:paraId="0414D316" w14:textId="77777777" w:rsidR="003B6D55" w:rsidRDefault="003B6D55" w:rsidP="00F31107"/>
    <w:sectPr w:rsidR="003B6D55" w:rsidSect="007C3D96">
      <w:footerReference w:type="default" r:id="rId17"/>
      <w:pgSz w:w="11906" w:h="16838"/>
      <w:pgMar w:top="1077" w:right="1077" w:bottom="1077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F33DC5" w14:textId="77777777" w:rsidR="00244B51" w:rsidRDefault="00244B51" w:rsidP="00CB7398">
      <w:pPr>
        <w:spacing w:after="0" w:line="240" w:lineRule="auto"/>
      </w:pPr>
      <w:r>
        <w:separator/>
      </w:r>
    </w:p>
  </w:endnote>
  <w:endnote w:type="continuationSeparator" w:id="0">
    <w:p w14:paraId="0EC0745B" w14:textId="77777777" w:rsidR="00244B51" w:rsidRDefault="00244B51" w:rsidP="00CB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2596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6B6EC" w14:textId="37FFB8CC" w:rsidR="00091C19" w:rsidRDefault="00091C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62443F" w14:textId="77777777" w:rsidR="00E314EF" w:rsidRDefault="00E31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B9D41" w14:textId="77777777" w:rsidR="00244B51" w:rsidRDefault="00244B51" w:rsidP="00CB7398">
      <w:pPr>
        <w:spacing w:after="0" w:line="240" w:lineRule="auto"/>
      </w:pPr>
      <w:r>
        <w:separator/>
      </w:r>
    </w:p>
  </w:footnote>
  <w:footnote w:type="continuationSeparator" w:id="0">
    <w:p w14:paraId="64D4E6E5" w14:textId="77777777" w:rsidR="00244B51" w:rsidRDefault="00244B51" w:rsidP="00CB7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D280B"/>
    <w:multiLevelType w:val="hybridMultilevel"/>
    <w:tmpl w:val="D7DC94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E4E"/>
    <w:multiLevelType w:val="hybridMultilevel"/>
    <w:tmpl w:val="B51EE6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42CFD"/>
    <w:multiLevelType w:val="hybridMultilevel"/>
    <w:tmpl w:val="611A94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B19C5"/>
    <w:multiLevelType w:val="hybridMultilevel"/>
    <w:tmpl w:val="83084C88"/>
    <w:lvl w:ilvl="0" w:tplc="A1F6E7C4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E017C"/>
    <w:multiLevelType w:val="multilevel"/>
    <w:tmpl w:val="E0CEC16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85E0FF0"/>
    <w:multiLevelType w:val="hybridMultilevel"/>
    <w:tmpl w:val="2BE4163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312201"/>
    <w:multiLevelType w:val="hybridMultilevel"/>
    <w:tmpl w:val="9626AF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A2F08"/>
    <w:multiLevelType w:val="hybridMultilevel"/>
    <w:tmpl w:val="285CBA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C7CB1"/>
    <w:multiLevelType w:val="hybridMultilevel"/>
    <w:tmpl w:val="D348FB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633A5"/>
    <w:multiLevelType w:val="hybridMultilevel"/>
    <w:tmpl w:val="DD5236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132C8"/>
    <w:multiLevelType w:val="hybridMultilevel"/>
    <w:tmpl w:val="C2F00A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A1392"/>
    <w:multiLevelType w:val="hybridMultilevel"/>
    <w:tmpl w:val="05BA1D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C58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A1467"/>
    <w:multiLevelType w:val="multilevel"/>
    <w:tmpl w:val="F0FCBE2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25016D0"/>
    <w:multiLevelType w:val="hybridMultilevel"/>
    <w:tmpl w:val="DDCC7F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A156F"/>
    <w:multiLevelType w:val="hybridMultilevel"/>
    <w:tmpl w:val="CA40B6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07C40"/>
    <w:multiLevelType w:val="multilevel"/>
    <w:tmpl w:val="D94A7F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184855691">
    <w:abstractNumId w:val="4"/>
  </w:num>
  <w:num w:numId="2" w16cid:durableId="839391907">
    <w:abstractNumId w:val="6"/>
  </w:num>
  <w:num w:numId="3" w16cid:durableId="315032590">
    <w:abstractNumId w:val="11"/>
  </w:num>
  <w:num w:numId="4" w16cid:durableId="740064368">
    <w:abstractNumId w:val="3"/>
  </w:num>
  <w:num w:numId="5" w16cid:durableId="134228658">
    <w:abstractNumId w:val="7"/>
  </w:num>
  <w:num w:numId="6" w16cid:durableId="522400568">
    <w:abstractNumId w:val="8"/>
  </w:num>
  <w:num w:numId="7" w16cid:durableId="2059354573">
    <w:abstractNumId w:val="2"/>
  </w:num>
  <w:num w:numId="8" w16cid:durableId="1494830268">
    <w:abstractNumId w:val="5"/>
  </w:num>
  <w:num w:numId="9" w16cid:durableId="1829445496">
    <w:abstractNumId w:val="0"/>
  </w:num>
  <w:num w:numId="10" w16cid:durableId="2005627111">
    <w:abstractNumId w:val="1"/>
  </w:num>
  <w:num w:numId="11" w16cid:durableId="1887522049">
    <w:abstractNumId w:val="13"/>
  </w:num>
  <w:num w:numId="12" w16cid:durableId="1901095531">
    <w:abstractNumId w:val="3"/>
    <w:lvlOverride w:ilvl="0">
      <w:startOverride w:val="1"/>
    </w:lvlOverride>
  </w:num>
  <w:num w:numId="13" w16cid:durableId="265504077">
    <w:abstractNumId w:val="14"/>
  </w:num>
  <w:num w:numId="14" w16cid:durableId="707292952">
    <w:abstractNumId w:val="10"/>
  </w:num>
  <w:num w:numId="15" w16cid:durableId="1415662751">
    <w:abstractNumId w:val="9"/>
  </w:num>
  <w:num w:numId="16" w16cid:durableId="1347947400">
    <w:abstractNumId w:val="3"/>
    <w:lvlOverride w:ilvl="0">
      <w:startOverride w:val="1"/>
    </w:lvlOverride>
  </w:num>
  <w:num w:numId="17" w16cid:durableId="1604219001">
    <w:abstractNumId w:val="15"/>
  </w:num>
  <w:num w:numId="18" w16cid:durableId="10398903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E8"/>
    <w:rsid w:val="00000EC7"/>
    <w:rsid w:val="00001A42"/>
    <w:rsid w:val="0000543D"/>
    <w:rsid w:val="000059F3"/>
    <w:rsid w:val="0001170D"/>
    <w:rsid w:val="000124CE"/>
    <w:rsid w:val="000125AD"/>
    <w:rsid w:val="000140FB"/>
    <w:rsid w:val="0001448F"/>
    <w:rsid w:val="00016DEC"/>
    <w:rsid w:val="000205AF"/>
    <w:rsid w:val="00027DC1"/>
    <w:rsid w:val="00027F2D"/>
    <w:rsid w:val="00030D73"/>
    <w:rsid w:val="00032974"/>
    <w:rsid w:val="00032A54"/>
    <w:rsid w:val="00033440"/>
    <w:rsid w:val="00035BF7"/>
    <w:rsid w:val="00035CFE"/>
    <w:rsid w:val="0003760D"/>
    <w:rsid w:val="00037B6E"/>
    <w:rsid w:val="000413A4"/>
    <w:rsid w:val="00041799"/>
    <w:rsid w:val="00042C73"/>
    <w:rsid w:val="00042D88"/>
    <w:rsid w:val="000435B5"/>
    <w:rsid w:val="0004387B"/>
    <w:rsid w:val="000443B7"/>
    <w:rsid w:val="00044C10"/>
    <w:rsid w:val="00044C9A"/>
    <w:rsid w:val="0005023B"/>
    <w:rsid w:val="00051303"/>
    <w:rsid w:val="000541B2"/>
    <w:rsid w:val="00054FEF"/>
    <w:rsid w:val="000559E9"/>
    <w:rsid w:val="000573B6"/>
    <w:rsid w:val="00057D60"/>
    <w:rsid w:val="0006006B"/>
    <w:rsid w:val="00061470"/>
    <w:rsid w:val="0006294B"/>
    <w:rsid w:val="00063B1D"/>
    <w:rsid w:val="000649F6"/>
    <w:rsid w:val="000658B5"/>
    <w:rsid w:val="00066054"/>
    <w:rsid w:val="00066EF2"/>
    <w:rsid w:val="00076B85"/>
    <w:rsid w:val="00080065"/>
    <w:rsid w:val="00086A62"/>
    <w:rsid w:val="00086B9F"/>
    <w:rsid w:val="00090F6D"/>
    <w:rsid w:val="00091C19"/>
    <w:rsid w:val="0009337C"/>
    <w:rsid w:val="00093B90"/>
    <w:rsid w:val="000A08F0"/>
    <w:rsid w:val="000A37D9"/>
    <w:rsid w:val="000B13D2"/>
    <w:rsid w:val="000B15FB"/>
    <w:rsid w:val="000B375D"/>
    <w:rsid w:val="000B395C"/>
    <w:rsid w:val="000B499D"/>
    <w:rsid w:val="000B4C0E"/>
    <w:rsid w:val="000B5F4C"/>
    <w:rsid w:val="000B6374"/>
    <w:rsid w:val="000B6442"/>
    <w:rsid w:val="000C16EA"/>
    <w:rsid w:val="000C3DFF"/>
    <w:rsid w:val="000C45E8"/>
    <w:rsid w:val="000C46C6"/>
    <w:rsid w:val="000C5894"/>
    <w:rsid w:val="000C7CB3"/>
    <w:rsid w:val="000D2AD3"/>
    <w:rsid w:val="000D3061"/>
    <w:rsid w:val="000D6BC9"/>
    <w:rsid w:val="000E555A"/>
    <w:rsid w:val="000E5DA0"/>
    <w:rsid w:val="000E642A"/>
    <w:rsid w:val="000E7789"/>
    <w:rsid w:val="000F0FBB"/>
    <w:rsid w:val="000F3507"/>
    <w:rsid w:val="000F6F04"/>
    <w:rsid w:val="000F70E0"/>
    <w:rsid w:val="00101A3E"/>
    <w:rsid w:val="00104AC3"/>
    <w:rsid w:val="00104DCE"/>
    <w:rsid w:val="00105986"/>
    <w:rsid w:val="00107C09"/>
    <w:rsid w:val="00110317"/>
    <w:rsid w:val="001105B8"/>
    <w:rsid w:val="001105F7"/>
    <w:rsid w:val="001120ED"/>
    <w:rsid w:val="001164E1"/>
    <w:rsid w:val="00116FFC"/>
    <w:rsid w:val="001173DC"/>
    <w:rsid w:val="00117C48"/>
    <w:rsid w:val="0012145E"/>
    <w:rsid w:val="001217BB"/>
    <w:rsid w:val="001220C2"/>
    <w:rsid w:val="00123CB7"/>
    <w:rsid w:val="00124096"/>
    <w:rsid w:val="001244BE"/>
    <w:rsid w:val="00124E82"/>
    <w:rsid w:val="00124FF5"/>
    <w:rsid w:val="001255C1"/>
    <w:rsid w:val="001257E5"/>
    <w:rsid w:val="00130B3E"/>
    <w:rsid w:val="001317D0"/>
    <w:rsid w:val="00133822"/>
    <w:rsid w:val="0013651C"/>
    <w:rsid w:val="00136BBE"/>
    <w:rsid w:val="00137E26"/>
    <w:rsid w:val="00140BBB"/>
    <w:rsid w:val="001414F2"/>
    <w:rsid w:val="00144439"/>
    <w:rsid w:val="00144F80"/>
    <w:rsid w:val="0014547F"/>
    <w:rsid w:val="00151A13"/>
    <w:rsid w:val="00152FD8"/>
    <w:rsid w:val="00156197"/>
    <w:rsid w:val="00157B74"/>
    <w:rsid w:val="00160B68"/>
    <w:rsid w:val="00161F53"/>
    <w:rsid w:val="0016207F"/>
    <w:rsid w:val="00162E39"/>
    <w:rsid w:val="00162E53"/>
    <w:rsid w:val="00165BF7"/>
    <w:rsid w:val="00165DA6"/>
    <w:rsid w:val="00166F25"/>
    <w:rsid w:val="00173D62"/>
    <w:rsid w:val="00174ED5"/>
    <w:rsid w:val="00175555"/>
    <w:rsid w:val="001772BA"/>
    <w:rsid w:val="0017730F"/>
    <w:rsid w:val="00180748"/>
    <w:rsid w:val="00181984"/>
    <w:rsid w:val="00181ADA"/>
    <w:rsid w:val="00182AE2"/>
    <w:rsid w:val="00184AF6"/>
    <w:rsid w:val="00185455"/>
    <w:rsid w:val="001859E5"/>
    <w:rsid w:val="001861D5"/>
    <w:rsid w:val="00186EFD"/>
    <w:rsid w:val="00192842"/>
    <w:rsid w:val="00192BA2"/>
    <w:rsid w:val="0019308F"/>
    <w:rsid w:val="0019443F"/>
    <w:rsid w:val="00196AC1"/>
    <w:rsid w:val="00196C40"/>
    <w:rsid w:val="001A107C"/>
    <w:rsid w:val="001A2D39"/>
    <w:rsid w:val="001A379C"/>
    <w:rsid w:val="001A37DE"/>
    <w:rsid w:val="001A511C"/>
    <w:rsid w:val="001A526F"/>
    <w:rsid w:val="001A58F1"/>
    <w:rsid w:val="001A747D"/>
    <w:rsid w:val="001B04B2"/>
    <w:rsid w:val="001B132A"/>
    <w:rsid w:val="001B389E"/>
    <w:rsid w:val="001B5684"/>
    <w:rsid w:val="001B5DAF"/>
    <w:rsid w:val="001B70A0"/>
    <w:rsid w:val="001B72AD"/>
    <w:rsid w:val="001B7337"/>
    <w:rsid w:val="001C6669"/>
    <w:rsid w:val="001D2DD3"/>
    <w:rsid w:val="001D2F5B"/>
    <w:rsid w:val="001D36E9"/>
    <w:rsid w:val="001D3FBB"/>
    <w:rsid w:val="001D5016"/>
    <w:rsid w:val="001D62A4"/>
    <w:rsid w:val="001D7AA2"/>
    <w:rsid w:val="001D7D9E"/>
    <w:rsid w:val="001E0383"/>
    <w:rsid w:val="001E0670"/>
    <w:rsid w:val="001E302F"/>
    <w:rsid w:val="001E66B0"/>
    <w:rsid w:val="001E7E58"/>
    <w:rsid w:val="001F0D57"/>
    <w:rsid w:val="001F2CEF"/>
    <w:rsid w:val="001F31F0"/>
    <w:rsid w:val="001F7D35"/>
    <w:rsid w:val="001F7DB5"/>
    <w:rsid w:val="002034D1"/>
    <w:rsid w:val="00204D47"/>
    <w:rsid w:val="002065BE"/>
    <w:rsid w:val="00210EC6"/>
    <w:rsid w:val="0021137F"/>
    <w:rsid w:val="00211430"/>
    <w:rsid w:val="00212894"/>
    <w:rsid w:val="00215363"/>
    <w:rsid w:val="0021750C"/>
    <w:rsid w:val="00223AC7"/>
    <w:rsid w:val="00225D60"/>
    <w:rsid w:val="00232545"/>
    <w:rsid w:val="002325B5"/>
    <w:rsid w:val="00233A35"/>
    <w:rsid w:val="00233EBD"/>
    <w:rsid w:val="00234AB9"/>
    <w:rsid w:val="00235F75"/>
    <w:rsid w:val="00240155"/>
    <w:rsid w:val="00244B51"/>
    <w:rsid w:val="00250E16"/>
    <w:rsid w:val="0025303E"/>
    <w:rsid w:val="002547C7"/>
    <w:rsid w:val="0025545A"/>
    <w:rsid w:val="0026052F"/>
    <w:rsid w:val="00260949"/>
    <w:rsid w:val="00260E97"/>
    <w:rsid w:val="00265EEC"/>
    <w:rsid w:val="00266293"/>
    <w:rsid w:val="0027078C"/>
    <w:rsid w:val="00271DC1"/>
    <w:rsid w:val="0028348B"/>
    <w:rsid w:val="0028515E"/>
    <w:rsid w:val="002856DA"/>
    <w:rsid w:val="00285823"/>
    <w:rsid w:val="00287D01"/>
    <w:rsid w:val="00287F27"/>
    <w:rsid w:val="00290DF3"/>
    <w:rsid w:val="00294154"/>
    <w:rsid w:val="00295F7A"/>
    <w:rsid w:val="002A5AF2"/>
    <w:rsid w:val="002B0424"/>
    <w:rsid w:val="002B50B6"/>
    <w:rsid w:val="002B6B07"/>
    <w:rsid w:val="002B7C55"/>
    <w:rsid w:val="002C017C"/>
    <w:rsid w:val="002C0619"/>
    <w:rsid w:val="002C530F"/>
    <w:rsid w:val="002C5CAF"/>
    <w:rsid w:val="002C6FAC"/>
    <w:rsid w:val="002D05A4"/>
    <w:rsid w:val="002D1149"/>
    <w:rsid w:val="002D1F89"/>
    <w:rsid w:val="002D349C"/>
    <w:rsid w:val="002D4747"/>
    <w:rsid w:val="002D5BA7"/>
    <w:rsid w:val="002E055B"/>
    <w:rsid w:val="002E384B"/>
    <w:rsid w:val="002F2006"/>
    <w:rsid w:val="002F341C"/>
    <w:rsid w:val="002F368D"/>
    <w:rsid w:val="002F4DAB"/>
    <w:rsid w:val="002F570B"/>
    <w:rsid w:val="003011AD"/>
    <w:rsid w:val="00301DA2"/>
    <w:rsid w:val="00304129"/>
    <w:rsid w:val="00304B81"/>
    <w:rsid w:val="00311161"/>
    <w:rsid w:val="00312A2A"/>
    <w:rsid w:val="00312F01"/>
    <w:rsid w:val="00314E25"/>
    <w:rsid w:val="0031779E"/>
    <w:rsid w:val="00322801"/>
    <w:rsid w:val="00325724"/>
    <w:rsid w:val="00327021"/>
    <w:rsid w:val="0033128E"/>
    <w:rsid w:val="00331371"/>
    <w:rsid w:val="00331792"/>
    <w:rsid w:val="00331DEF"/>
    <w:rsid w:val="00333B8F"/>
    <w:rsid w:val="00337BB0"/>
    <w:rsid w:val="0034075E"/>
    <w:rsid w:val="00341DC2"/>
    <w:rsid w:val="0034258A"/>
    <w:rsid w:val="0034387C"/>
    <w:rsid w:val="00344A01"/>
    <w:rsid w:val="00346547"/>
    <w:rsid w:val="00350590"/>
    <w:rsid w:val="00350BB9"/>
    <w:rsid w:val="00351695"/>
    <w:rsid w:val="003516B3"/>
    <w:rsid w:val="00355E5F"/>
    <w:rsid w:val="00357610"/>
    <w:rsid w:val="0036097A"/>
    <w:rsid w:val="00363FBE"/>
    <w:rsid w:val="0036671F"/>
    <w:rsid w:val="00367730"/>
    <w:rsid w:val="00372395"/>
    <w:rsid w:val="00373269"/>
    <w:rsid w:val="00375F55"/>
    <w:rsid w:val="00377341"/>
    <w:rsid w:val="00377AA2"/>
    <w:rsid w:val="0038131C"/>
    <w:rsid w:val="003817F7"/>
    <w:rsid w:val="00383A4B"/>
    <w:rsid w:val="00383ED6"/>
    <w:rsid w:val="00383F81"/>
    <w:rsid w:val="00385EA6"/>
    <w:rsid w:val="0038707A"/>
    <w:rsid w:val="003943B2"/>
    <w:rsid w:val="003971D1"/>
    <w:rsid w:val="003A3913"/>
    <w:rsid w:val="003A76DF"/>
    <w:rsid w:val="003B1324"/>
    <w:rsid w:val="003B35DB"/>
    <w:rsid w:val="003B55C7"/>
    <w:rsid w:val="003B5C41"/>
    <w:rsid w:val="003B672B"/>
    <w:rsid w:val="003B6B58"/>
    <w:rsid w:val="003B6D55"/>
    <w:rsid w:val="003B6DA2"/>
    <w:rsid w:val="003C0C83"/>
    <w:rsid w:val="003C213A"/>
    <w:rsid w:val="003C3834"/>
    <w:rsid w:val="003C4173"/>
    <w:rsid w:val="003C467C"/>
    <w:rsid w:val="003C638A"/>
    <w:rsid w:val="003D2A81"/>
    <w:rsid w:val="003D436E"/>
    <w:rsid w:val="003D4738"/>
    <w:rsid w:val="003D47F6"/>
    <w:rsid w:val="003D4A01"/>
    <w:rsid w:val="003D7549"/>
    <w:rsid w:val="003E07E9"/>
    <w:rsid w:val="003E34E3"/>
    <w:rsid w:val="003E3CB1"/>
    <w:rsid w:val="003E46B9"/>
    <w:rsid w:val="003F0EC2"/>
    <w:rsid w:val="003F155E"/>
    <w:rsid w:val="003F1573"/>
    <w:rsid w:val="003F46A7"/>
    <w:rsid w:val="003F487D"/>
    <w:rsid w:val="003F4D6D"/>
    <w:rsid w:val="003F7817"/>
    <w:rsid w:val="004010AA"/>
    <w:rsid w:val="00403284"/>
    <w:rsid w:val="0040411B"/>
    <w:rsid w:val="00404D76"/>
    <w:rsid w:val="00407A07"/>
    <w:rsid w:val="004100E3"/>
    <w:rsid w:val="00412278"/>
    <w:rsid w:val="004131F5"/>
    <w:rsid w:val="004135EC"/>
    <w:rsid w:val="00414D0F"/>
    <w:rsid w:val="00415A87"/>
    <w:rsid w:val="00416588"/>
    <w:rsid w:val="0041767F"/>
    <w:rsid w:val="00417DA2"/>
    <w:rsid w:val="0042072E"/>
    <w:rsid w:val="004209B6"/>
    <w:rsid w:val="00421C42"/>
    <w:rsid w:val="00422BA1"/>
    <w:rsid w:val="00422D76"/>
    <w:rsid w:val="00424742"/>
    <w:rsid w:val="00427511"/>
    <w:rsid w:val="00427D47"/>
    <w:rsid w:val="004303CA"/>
    <w:rsid w:val="00432C60"/>
    <w:rsid w:val="00441469"/>
    <w:rsid w:val="0044157B"/>
    <w:rsid w:val="004420A5"/>
    <w:rsid w:val="004427F3"/>
    <w:rsid w:val="004449C0"/>
    <w:rsid w:val="00450132"/>
    <w:rsid w:val="00450426"/>
    <w:rsid w:val="0045124A"/>
    <w:rsid w:val="004525A6"/>
    <w:rsid w:val="00452D6A"/>
    <w:rsid w:val="004543F1"/>
    <w:rsid w:val="004546E0"/>
    <w:rsid w:val="00454D1C"/>
    <w:rsid w:val="00454E90"/>
    <w:rsid w:val="0045531D"/>
    <w:rsid w:val="00455766"/>
    <w:rsid w:val="004565A0"/>
    <w:rsid w:val="004567AA"/>
    <w:rsid w:val="00457BCC"/>
    <w:rsid w:val="0046133C"/>
    <w:rsid w:val="0046257C"/>
    <w:rsid w:val="0046291A"/>
    <w:rsid w:val="00463100"/>
    <w:rsid w:val="004634E4"/>
    <w:rsid w:val="0046774C"/>
    <w:rsid w:val="00473CEB"/>
    <w:rsid w:val="004742DF"/>
    <w:rsid w:val="00475330"/>
    <w:rsid w:val="00475F04"/>
    <w:rsid w:val="00475FE9"/>
    <w:rsid w:val="004806F8"/>
    <w:rsid w:val="00481DE0"/>
    <w:rsid w:val="0048232D"/>
    <w:rsid w:val="00482F7F"/>
    <w:rsid w:val="00483152"/>
    <w:rsid w:val="00487ABF"/>
    <w:rsid w:val="004906B0"/>
    <w:rsid w:val="00490F1A"/>
    <w:rsid w:val="00491D36"/>
    <w:rsid w:val="00492EB8"/>
    <w:rsid w:val="0049315D"/>
    <w:rsid w:val="00493940"/>
    <w:rsid w:val="00493FD8"/>
    <w:rsid w:val="00495090"/>
    <w:rsid w:val="004950D5"/>
    <w:rsid w:val="00495A4A"/>
    <w:rsid w:val="004962C7"/>
    <w:rsid w:val="00497DDC"/>
    <w:rsid w:val="004A080C"/>
    <w:rsid w:val="004A166B"/>
    <w:rsid w:val="004A4357"/>
    <w:rsid w:val="004A4C33"/>
    <w:rsid w:val="004B0DD4"/>
    <w:rsid w:val="004B21CA"/>
    <w:rsid w:val="004B3010"/>
    <w:rsid w:val="004B3F5C"/>
    <w:rsid w:val="004B48B3"/>
    <w:rsid w:val="004B496C"/>
    <w:rsid w:val="004B52F0"/>
    <w:rsid w:val="004C15A5"/>
    <w:rsid w:val="004C255A"/>
    <w:rsid w:val="004C26A6"/>
    <w:rsid w:val="004C2B1B"/>
    <w:rsid w:val="004C64B4"/>
    <w:rsid w:val="004C6786"/>
    <w:rsid w:val="004C6D37"/>
    <w:rsid w:val="004D32A8"/>
    <w:rsid w:val="004D4794"/>
    <w:rsid w:val="004D511F"/>
    <w:rsid w:val="004D565E"/>
    <w:rsid w:val="004D6837"/>
    <w:rsid w:val="004E0F2E"/>
    <w:rsid w:val="004E15B8"/>
    <w:rsid w:val="004E227E"/>
    <w:rsid w:val="004E2CCA"/>
    <w:rsid w:val="004E4E14"/>
    <w:rsid w:val="004E59B5"/>
    <w:rsid w:val="004E5B65"/>
    <w:rsid w:val="004F0492"/>
    <w:rsid w:val="004F0B14"/>
    <w:rsid w:val="004F0E7D"/>
    <w:rsid w:val="00500731"/>
    <w:rsid w:val="0050779E"/>
    <w:rsid w:val="0051458C"/>
    <w:rsid w:val="005155F4"/>
    <w:rsid w:val="0051574F"/>
    <w:rsid w:val="00523C02"/>
    <w:rsid w:val="00524199"/>
    <w:rsid w:val="005251AC"/>
    <w:rsid w:val="0052534A"/>
    <w:rsid w:val="00526765"/>
    <w:rsid w:val="00531788"/>
    <w:rsid w:val="005319AE"/>
    <w:rsid w:val="00532A49"/>
    <w:rsid w:val="0053325C"/>
    <w:rsid w:val="005356C2"/>
    <w:rsid w:val="005360F5"/>
    <w:rsid w:val="00537580"/>
    <w:rsid w:val="005412A1"/>
    <w:rsid w:val="00541307"/>
    <w:rsid w:val="00541F09"/>
    <w:rsid w:val="005436AF"/>
    <w:rsid w:val="005437AF"/>
    <w:rsid w:val="00545811"/>
    <w:rsid w:val="00545C1A"/>
    <w:rsid w:val="005514CC"/>
    <w:rsid w:val="00552ABA"/>
    <w:rsid w:val="00553540"/>
    <w:rsid w:val="00554706"/>
    <w:rsid w:val="00557CF6"/>
    <w:rsid w:val="00562619"/>
    <w:rsid w:val="005644D5"/>
    <w:rsid w:val="00564B11"/>
    <w:rsid w:val="00567EB1"/>
    <w:rsid w:val="00571795"/>
    <w:rsid w:val="00572011"/>
    <w:rsid w:val="0057763F"/>
    <w:rsid w:val="005849F8"/>
    <w:rsid w:val="005859DC"/>
    <w:rsid w:val="005908AE"/>
    <w:rsid w:val="005909BC"/>
    <w:rsid w:val="005912DC"/>
    <w:rsid w:val="00591E41"/>
    <w:rsid w:val="00592E8E"/>
    <w:rsid w:val="0059782C"/>
    <w:rsid w:val="005A7DE0"/>
    <w:rsid w:val="005B4CC9"/>
    <w:rsid w:val="005B7223"/>
    <w:rsid w:val="005B74B8"/>
    <w:rsid w:val="005B78D3"/>
    <w:rsid w:val="005B7A89"/>
    <w:rsid w:val="005C12C4"/>
    <w:rsid w:val="005C181F"/>
    <w:rsid w:val="005C1986"/>
    <w:rsid w:val="005C1DE2"/>
    <w:rsid w:val="005C221F"/>
    <w:rsid w:val="005C2FD2"/>
    <w:rsid w:val="005C304D"/>
    <w:rsid w:val="005C51A3"/>
    <w:rsid w:val="005C6B88"/>
    <w:rsid w:val="005C7BCE"/>
    <w:rsid w:val="005D02E6"/>
    <w:rsid w:val="005D05B0"/>
    <w:rsid w:val="005E170D"/>
    <w:rsid w:val="005E2997"/>
    <w:rsid w:val="005E2C22"/>
    <w:rsid w:val="005E3FA3"/>
    <w:rsid w:val="005F0FB5"/>
    <w:rsid w:val="005F5FB9"/>
    <w:rsid w:val="005F7C79"/>
    <w:rsid w:val="00600C35"/>
    <w:rsid w:val="006017DF"/>
    <w:rsid w:val="00601AC7"/>
    <w:rsid w:val="006033DC"/>
    <w:rsid w:val="00610D33"/>
    <w:rsid w:val="00611339"/>
    <w:rsid w:val="00612657"/>
    <w:rsid w:val="00613113"/>
    <w:rsid w:val="00613452"/>
    <w:rsid w:val="006145E8"/>
    <w:rsid w:val="00614ECD"/>
    <w:rsid w:val="00617894"/>
    <w:rsid w:val="00617D5C"/>
    <w:rsid w:val="00620131"/>
    <w:rsid w:val="00620EA0"/>
    <w:rsid w:val="006226AD"/>
    <w:rsid w:val="0062339F"/>
    <w:rsid w:val="006252A5"/>
    <w:rsid w:val="006256B2"/>
    <w:rsid w:val="00626B83"/>
    <w:rsid w:val="006273F5"/>
    <w:rsid w:val="006279C7"/>
    <w:rsid w:val="006309F2"/>
    <w:rsid w:val="006339A0"/>
    <w:rsid w:val="00633DE0"/>
    <w:rsid w:val="00636906"/>
    <w:rsid w:val="006377B5"/>
    <w:rsid w:val="00640616"/>
    <w:rsid w:val="00641A5C"/>
    <w:rsid w:val="00644A63"/>
    <w:rsid w:val="00647D8A"/>
    <w:rsid w:val="006514DB"/>
    <w:rsid w:val="00652454"/>
    <w:rsid w:val="0065315B"/>
    <w:rsid w:val="0065678A"/>
    <w:rsid w:val="00661991"/>
    <w:rsid w:val="00665982"/>
    <w:rsid w:val="00665D41"/>
    <w:rsid w:val="00666894"/>
    <w:rsid w:val="006704E9"/>
    <w:rsid w:val="0067095E"/>
    <w:rsid w:val="00670F00"/>
    <w:rsid w:val="00671875"/>
    <w:rsid w:val="00672C71"/>
    <w:rsid w:val="00673292"/>
    <w:rsid w:val="0067408D"/>
    <w:rsid w:val="00674CCF"/>
    <w:rsid w:val="00674FCE"/>
    <w:rsid w:val="006755B7"/>
    <w:rsid w:val="0067587F"/>
    <w:rsid w:val="006758E0"/>
    <w:rsid w:val="00677D31"/>
    <w:rsid w:val="006841AE"/>
    <w:rsid w:val="00685DB9"/>
    <w:rsid w:val="006865D5"/>
    <w:rsid w:val="0068665A"/>
    <w:rsid w:val="00692814"/>
    <w:rsid w:val="00693425"/>
    <w:rsid w:val="00693FE1"/>
    <w:rsid w:val="00694730"/>
    <w:rsid w:val="00697D21"/>
    <w:rsid w:val="006A1332"/>
    <w:rsid w:val="006A186D"/>
    <w:rsid w:val="006A628A"/>
    <w:rsid w:val="006A7A5E"/>
    <w:rsid w:val="006B07AA"/>
    <w:rsid w:val="006B18B1"/>
    <w:rsid w:val="006B1A08"/>
    <w:rsid w:val="006B32E1"/>
    <w:rsid w:val="006B5A44"/>
    <w:rsid w:val="006B5B84"/>
    <w:rsid w:val="006B78F2"/>
    <w:rsid w:val="006C3985"/>
    <w:rsid w:val="006C4DC5"/>
    <w:rsid w:val="006C5B6E"/>
    <w:rsid w:val="006C6287"/>
    <w:rsid w:val="006C69E9"/>
    <w:rsid w:val="006C6CA2"/>
    <w:rsid w:val="006C7BB8"/>
    <w:rsid w:val="006D12EC"/>
    <w:rsid w:val="006D203C"/>
    <w:rsid w:val="006D44B4"/>
    <w:rsid w:val="006E07BF"/>
    <w:rsid w:val="006E0C77"/>
    <w:rsid w:val="006E0FAF"/>
    <w:rsid w:val="006E162A"/>
    <w:rsid w:val="006E4654"/>
    <w:rsid w:val="006E4EAC"/>
    <w:rsid w:val="006E4F02"/>
    <w:rsid w:val="006E54BD"/>
    <w:rsid w:val="006E664E"/>
    <w:rsid w:val="006E7BDA"/>
    <w:rsid w:val="006F09F1"/>
    <w:rsid w:val="006F30B7"/>
    <w:rsid w:val="006F45A0"/>
    <w:rsid w:val="006F4F96"/>
    <w:rsid w:val="006F5139"/>
    <w:rsid w:val="006F7409"/>
    <w:rsid w:val="00704731"/>
    <w:rsid w:val="00705CB0"/>
    <w:rsid w:val="00705E3E"/>
    <w:rsid w:val="00710864"/>
    <w:rsid w:val="00711498"/>
    <w:rsid w:val="007116FE"/>
    <w:rsid w:val="00712219"/>
    <w:rsid w:val="007174CC"/>
    <w:rsid w:val="00737072"/>
    <w:rsid w:val="007378ED"/>
    <w:rsid w:val="00742C3B"/>
    <w:rsid w:val="00750CEF"/>
    <w:rsid w:val="00750D73"/>
    <w:rsid w:val="00751975"/>
    <w:rsid w:val="00751DA8"/>
    <w:rsid w:val="00753C2D"/>
    <w:rsid w:val="00754405"/>
    <w:rsid w:val="007544DF"/>
    <w:rsid w:val="00757260"/>
    <w:rsid w:val="007574AD"/>
    <w:rsid w:val="0075784D"/>
    <w:rsid w:val="007601CA"/>
    <w:rsid w:val="00760D56"/>
    <w:rsid w:val="007614C2"/>
    <w:rsid w:val="007619F9"/>
    <w:rsid w:val="00764AAF"/>
    <w:rsid w:val="0076550A"/>
    <w:rsid w:val="007660BF"/>
    <w:rsid w:val="00766167"/>
    <w:rsid w:val="00767C41"/>
    <w:rsid w:val="00772179"/>
    <w:rsid w:val="0077337F"/>
    <w:rsid w:val="00773CC0"/>
    <w:rsid w:val="00775574"/>
    <w:rsid w:val="00777ECB"/>
    <w:rsid w:val="007810AF"/>
    <w:rsid w:val="00783F88"/>
    <w:rsid w:val="00785AAE"/>
    <w:rsid w:val="007872F2"/>
    <w:rsid w:val="00787D4A"/>
    <w:rsid w:val="007905AE"/>
    <w:rsid w:val="007956FF"/>
    <w:rsid w:val="007A3497"/>
    <w:rsid w:val="007A3A12"/>
    <w:rsid w:val="007A4E14"/>
    <w:rsid w:val="007B1352"/>
    <w:rsid w:val="007B17F3"/>
    <w:rsid w:val="007B3302"/>
    <w:rsid w:val="007B34A8"/>
    <w:rsid w:val="007B4CF1"/>
    <w:rsid w:val="007B712C"/>
    <w:rsid w:val="007B7309"/>
    <w:rsid w:val="007C08B6"/>
    <w:rsid w:val="007C093C"/>
    <w:rsid w:val="007C3D96"/>
    <w:rsid w:val="007C5293"/>
    <w:rsid w:val="007C52F8"/>
    <w:rsid w:val="007C5E29"/>
    <w:rsid w:val="007D0385"/>
    <w:rsid w:val="007D32C9"/>
    <w:rsid w:val="007D4F4A"/>
    <w:rsid w:val="007D7AFA"/>
    <w:rsid w:val="007E2DA4"/>
    <w:rsid w:val="007E2F41"/>
    <w:rsid w:val="007E6E53"/>
    <w:rsid w:val="007F51B3"/>
    <w:rsid w:val="0080152A"/>
    <w:rsid w:val="008034EF"/>
    <w:rsid w:val="00812033"/>
    <w:rsid w:val="00814601"/>
    <w:rsid w:val="0081502A"/>
    <w:rsid w:val="00815B8A"/>
    <w:rsid w:val="00815C0E"/>
    <w:rsid w:val="008161B4"/>
    <w:rsid w:val="0081670D"/>
    <w:rsid w:val="00817125"/>
    <w:rsid w:val="00820821"/>
    <w:rsid w:val="0082112D"/>
    <w:rsid w:val="00821215"/>
    <w:rsid w:val="00821DDB"/>
    <w:rsid w:val="00822B3E"/>
    <w:rsid w:val="00824C40"/>
    <w:rsid w:val="00825A26"/>
    <w:rsid w:val="00832297"/>
    <w:rsid w:val="00832F93"/>
    <w:rsid w:val="00833341"/>
    <w:rsid w:val="00834B24"/>
    <w:rsid w:val="008375A9"/>
    <w:rsid w:val="00840D71"/>
    <w:rsid w:val="00840D86"/>
    <w:rsid w:val="00841C31"/>
    <w:rsid w:val="0084271C"/>
    <w:rsid w:val="00844AF2"/>
    <w:rsid w:val="00846740"/>
    <w:rsid w:val="008520C4"/>
    <w:rsid w:val="00852BE9"/>
    <w:rsid w:val="00855404"/>
    <w:rsid w:val="00857F0D"/>
    <w:rsid w:val="008602EE"/>
    <w:rsid w:val="00860398"/>
    <w:rsid w:val="00865B0D"/>
    <w:rsid w:val="00865BE7"/>
    <w:rsid w:val="008712B7"/>
    <w:rsid w:val="008722D8"/>
    <w:rsid w:val="008740DF"/>
    <w:rsid w:val="00880D3A"/>
    <w:rsid w:val="00881B1B"/>
    <w:rsid w:val="008822AA"/>
    <w:rsid w:val="00882492"/>
    <w:rsid w:val="00885FF0"/>
    <w:rsid w:val="0088643B"/>
    <w:rsid w:val="00886CEF"/>
    <w:rsid w:val="00890C89"/>
    <w:rsid w:val="00890E45"/>
    <w:rsid w:val="00891533"/>
    <w:rsid w:val="00891754"/>
    <w:rsid w:val="00891CCD"/>
    <w:rsid w:val="00895CE8"/>
    <w:rsid w:val="008977AA"/>
    <w:rsid w:val="008A06C1"/>
    <w:rsid w:val="008A2436"/>
    <w:rsid w:val="008A44C2"/>
    <w:rsid w:val="008A5404"/>
    <w:rsid w:val="008A6646"/>
    <w:rsid w:val="008A6880"/>
    <w:rsid w:val="008B0017"/>
    <w:rsid w:val="008B0F99"/>
    <w:rsid w:val="008B1EE4"/>
    <w:rsid w:val="008B41D4"/>
    <w:rsid w:val="008B4EB2"/>
    <w:rsid w:val="008C04C7"/>
    <w:rsid w:val="008C17C6"/>
    <w:rsid w:val="008C20D7"/>
    <w:rsid w:val="008C20F9"/>
    <w:rsid w:val="008C2DDF"/>
    <w:rsid w:val="008C3439"/>
    <w:rsid w:val="008C34AE"/>
    <w:rsid w:val="008C404B"/>
    <w:rsid w:val="008C4270"/>
    <w:rsid w:val="008C70E7"/>
    <w:rsid w:val="008D2651"/>
    <w:rsid w:val="008D2F35"/>
    <w:rsid w:val="008D7678"/>
    <w:rsid w:val="008E137E"/>
    <w:rsid w:val="008E1B53"/>
    <w:rsid w:val="008E2717"/>
    <w:rsid w:val="008F1768"/>
    <w:rsid w:val="008F67E4"/>
    <w:rsid w:val="00900B15"/>
    <w:rsid w:val="00901C4A"/>
    <w:rsid w:val="00901CBD"/>
    <w:rsid w:val="0090363D"/>
    <w:rsid w:val="009047E7"/>
    <w:rsid w:val="00905D54"/>
    <w:rsid w:val="009064E9"/>
    <w:rsid w:val="009076E3"/>
    <w:rsid w:val="0091063C"/>
    <w:rsid w:val="00911B9E"/>
    <w:rsid w:val="0091270D"/>
    <w:rsid w:val="00916E19"/>
    <w:rsid w:val="00917814"/>
    <w:rsid w:val="00920872"/>
    <w:rsid w:val="009211D7"/>
    <w:rsid w:val="009217AC"/>
    <w:rsid w:val="00923AA2"/>
    <w:rsid w:val="00924D46"/>
    <w:rsid w:val="00924FA6"/>
    <w:rsid w:val="00925120"/>
    <w:rsid w:val="00930607"/>
    <w:rsid w:val="00931AE6"/>
    <w:rsid w:val="00931CDC"/>
    <w:rsid w:val="00931F84"/>
    <w:rsid w:val="00933B03"/>
    <w:rsid w:val="00933F10"/>
    <w:rsid w:val="00934CF1"/>
    <w:rsid w:val="00937232"/>
    <w:rsid w:val="00945439"/>
    <w:rsid w:val="0095156D"/>
    <w:rsid w:val="00951C72"/>
    <w:rsid w:val="0095229F"/>
    <w:rsid w:val="00952F6D"/>
    <w:rsid w:val="00953625"/>
    <w:rsid w:val="0095482A"/>
    <w:rsid w:val="00955166"/>
    <w:rsid w:val="00955601"/>
    <w:rsid w:val="00955A34"/>
    <w:rsid w:val="009612B0"/>
    <w:rsid w:val="00961484"/>
    <w:rsid w:val="00965F64"/>
    <w:rsid w:val="00966073"/>
    <w:rsid w:val="009663E3"/>
    <w:rsid w:val="009722D8"/>
    <w:rsid w:val="009727F9"/>
    <w:rsid w:val="00972DBF"/>
    <w:rsid w:val="00974538"/>
    <w:rsid w:val="009750D2"/>
    <w:rsid w:val="009752FF"/>
    <w:rsid w:val="00977923"/>
    <w:rsid w:val="009801CC"/>
    <w:rsid w:val="0098101D"/>
    <w:rsid w:val="00981643"/>
    <w:rsid w:val="00982C04"/>
    <w:rsid w:val="009832EF"/>
    <w:rsid w:val="00983F6C"/>
    <w:rsid w:val="0098462A"/>
    <w:rsid w:val="0098523B"/>
    <w:rsid w:val="00987B92"/>
    <w:rsid w:val="009933A0"/>
    <w:rsid w:val="00993908"/>
    <w:rsid w:val="00994436"/>
    <w:rsid w:val="009950E9"/>
    <w:rsid w:val="00996A80"/>
    <w:rsid w:val="00997060"/>
    <w:rsid w:val="009A0B04"/>
    <w:rsid w:val="009A4253"/>
    <w:rsid w:val="009A4AC7"/>
    <w:rsid w:val="009A5044"/>
    <w:rsid w:val="009B038E"/>
    <w:rsid w:val="009B0A13"/>
    <w:rsid w:val="009B233C"/>
    <w:rsid w:val="009B2BB1"/>
    <w:rsid w:val="009B4F1E"/>
    <w:rsid w:val="009B5B5B"/>
    <w:rsid w:val="009B709A"/>
    <w:rsid w:val="009B790E"/>
    <w:rsid w:val="009B7A0A"/>
    <w:rsid w:val="009C0D21"/>
    <w:rsid w:val="009C0FCD"/>
    <w:rsid w:val="009C2800"/>
    <w:rsid w:val="009C3461"/>
    <w:rsid w:val="009C34E5"/>
    <w:rsid w:val="009C375A"/>
    <w:rsid w:val="009C52A6"/>
    <w:rsid w:val="009D4F79"/>
    <w:rsid w:val="009D5D73"/>
    <w:rsid w:val="009D5F5C"/>
    <w:rsid w:val="009E0676"/>
    <w:rsid w:val="009E2EF4"/>
    <w:rsid w:val="009E3591"/>
    <w:rsid w:val="009E4945"/>
    <w:rsid w:val="009E595A"/>
    <w:rsid w:val="009E6C08"/>
    <w:rsid w:val="009E7496"/>
    <w:rsid w:val="009F3F30"/>
    <w:rsid w:val="009F4576"/>
    <w:rsid w:val="009F662D"/>
    <w:rsid w:val="00A023E8"/>
    <w:rsid w:val="00A02655"/>
    <w:rsid w:val="00A049C6"/>
    <w:rsid w:val="00A07E38"/>
    <w:rsid w:val="00A07FAD"/>
    <w:rsid w:val="00A118EE"/>
    <w:rsid w:val="00A129FA"/>
    <w:rsid w:val="00A1328B"/>
    <w:rsid w:val="00A133AD"/>
    <w:rsid w:val="00A1402D"/>
    <w:rsid w:val="00A157B5"/>
    <w:rsid w:val="00A17418"/>
    <w:rsid w:val="00A219CC"/>
    <w:rsid w:val="00A24506"/>
    <w:rsid w:val="00A2499D"/>
    <w:rsid w:val="00A259DC"/>
    <w:rsid w:val="00A30B13"/>
    <w:rsid w:val="00A318C5"/>
    <w:rsid w:val="00A32ECC"/>
    <w:rsid w:val="00A32EE1"/>
    <w:rsid w:val="00A32F4B"/>
    <w:rsid w:val="00A34CB2"/>
    <w:rsid w:val="00A361AC"/>
    <w:rsid w:val="00A362F7"/>
    <w:rsid w:val="00A3682E"/>
    <w:rsid w:val="00A37C07"/>
    <w:rsid w:val="00A4279D"/>
    <w:rsid w:val="00A42A1C"/>
    <w:rsid w:val="00A4366F"/>
    <w:rsid w:val="00A44CC6"/>
    <w:rsid w:val="00A4739D"/>
    <w:rsid w:val="00A54BFF"/>
    <w:rsid w:val="00A55C3D"/>
    <w:rsid w:val="00A566D3"/>
    <w:rsid w:val="00A62195"/>
    <w:rsid w:val="00A63840"/>
    <w:rsid w:val="00A6490A"/>
    <w:rsid w:val="00A6599B"/>
    <w:rsid w:val="00A670B0"/>
    <w:rsid w:val="00A70F4A"/>
    <w:rsid w:val="00A71650"/>
    <w:rsid w:val="00A7347C"/>
    <w:rsid w:val="00A74639"/>
    <w:rsid w:val="00A761FD"/>
    <w:rsid w:val="00A76FB0"/>
    <w:rsid w:val="00A7746E"/>
    <w:rsid w:val="00A810FD"/>
    <w:rsid w:val="00A82C0B"/>
    <w:rsid w:val="00A847F8"/>
    <w:rsid w:val="00A866C0"/>
    <w:rsid w:val="00A9109D"/>
    <w:rsid w:val="00A91882"/>
    <w:rsid w:val="00A91B12"/>
    <w:rsid w:val="00A91EC1"/>
    <w:rsid w:val="00A91EE2"/>
    <w:rsid w:val="00A93AE5"/>
    <w:rsid w:val="00A94672"/>
    <w:rsid w:val="00A9713D"/>
    <w:rsid w:val="00AA03B2"/>
    <w:rsid w:val="00AA2641"/>
    <w:rsid w:val="00AA37BC"/>
    <w:rsid w:val="00AA3910"/>
    <w:rsid w:val="00AA3DBF"/>
    <w:rsid w:val="00AB18A5"/>
    <w:rsid w:val="00AB2429"/>
    <w:rsid w:val="00AB2608"/>
    <w:rsid w:val="00AB2799"/>
    <w:rsid w:val="00AB2C91"/>
    <w:rsid w:val="00AB37C3"/>
    <w:rsid w:val="00AB5407"/>
    <w:rsid w:val="00AB5BA8"/>
    <w:rsid w:val="00AB715B"/>
    <w:rsid w:val="00AB7EFE"/>
    <w:rsid w:val="00AC2040"/>
    <w:rsid w:val="00AC33DF"/>
    <w:rsid w:val="00AC482A"/>
    <w:rsid w:val="00AC4FC2"/>
    <w:rsid w:val="00AC6FCE"/>
    <w:rsid w:val="00AD19B3"/>
    <w:rsid w:val="00AD223A"/>
    <w:rsid w:val="00AD2E69"/>
    <w:rsid w:val="00AD4306"/>
    <w:rsid w:val="00AD4E07"/>
    <w:rsid w:val="00AD5543"/>
    <w:rsid w:val="00AE1224"/>
    <w:rsid w:val="00AE35C5"/>
    <w:rsid w:val="00AE650B"/>
    <w:rsid w:val="00AE6B04"/>
    <w:rsid w:val="00AE7A67"/>
    <w:rsid w:val="00AF2F41"/>
    <w:rsid w:val="00AF32EE"/>
    <w:rsid w:val="00AF4B2F"/>
    <w:rsid w:val="00B00A8B"/>
    <w:rsid w:val="00B02366"/>
    <w:rsid w:val="00B05A78"/>
    <w:rsid w:val="00B13EAB"/>
    <w:rsid w:val="00B14000"/>
    <w:rsid w:val="00B146B0"/>
    <w:rsid w:val="00B22275"/>
    <w:rsid w:val="00B24C6B"/>
    <w:rsid w:val="00B263A6"/>
    <w:rsid w:val="00B303D7"/>
    <w:rsid w:val="00B3200B"/>
    <w:rsid w:val="00B32A4A"/>
    <w:rsid w:val="00B35CAD"/>
    <w:rsid w:val="00B42C3D"/>
    <w:rsid w:val="00B42F31"/>
    <w:rsid w:val="00B51E82"/>
    <w:rsid w:val="00B523FB"/>
    <w:rsid w:val="00B545C5"/>
    <w:rsid w:val="00B54E1D"/>
    <w:rsid w:val="00B558D3"/>
    <w:rsid w:val="00B568D6"/>
    <w:rsid w:val="00B5764A"/>
    <w:rsid w:val="00B61320"/>
    <w:rsid w:val="00B6270C"/>
    <w:rsid w:val="00B63A22"/>
    <w:rsid w:val="00B64328"/>
    <w:rsid w:val="00B67A84"/>
    <w:rsid w:val="00B70B6B"/>
    <w:rsid w:val="00B71BF7"/>
    <w:rsid w:val="00B71E54"/>
    <w:rsid w:val="00B75BFD"/>
    <w:rsid w:val="00B764A0"/>
    <w:rsid w:val="00B7680E"/>
    <w:rsid w:val="00B7713D"/>
    <w:rsid w:val="00B81BAD"/>
    <w:rsid w:val="00B83FA1"/>
    <w:rsid w:val="00B841CE"/>
    <w:rsid w:val="00B846A3"/>
    <w:rsid w:val="00B85ADC"/>
    <w:rsid w:val="00B86FC0"/>
    <w:rsid w:val="00B8730F"/>
    <w:rsid w:val="00B8760B"/>
    <w:rsid w:val="00B91D74"/>
    <w:rsid w:val="00B93AFB"/>
    <w:rsid w:val="00BA04A4"/>
    <w:rsid w:val="00BA1A9A"/>
    <w:rsid w:val="00BA32F8"/>
    <w:rsid w:val="00BA522E"/>
    <w:rsid w:val="00BA6418"/>
    <w:rsid w:val="00BA7309"/>
    <w:rsid w:val="00BB32BB"/>
    <w:rsid w:val="00BB42F0"/>
    <w:rsid w:val="00BC1C6B"/>
    <w:rsid w:val="00BC4944"/>
    <w:rsid w:val="00BC668C"/>
    <w:rsid w:val="00BC7B45"/>
    <w:rsid w:val="00BC7BAC"/>
    <w:rsid w:val="00BD020F"/>
    <w:rsid w:val="00BD03FA"/>
    <w:rsid w:val="00BD37D8"/>
    <w:rsid w:val="00BD6EE5"/>
    <w:rsid w:val="00BD6FD8"/>
    <w:rsid w:val="00BD7DCD"/>
    <w:rsid w:val="00BE153A"/>
    <w:rsid w:val="00BE25D8"/>
    <w:rsid w:val="00BE7379"/>
    <w:rsid w:val="00BF108B"/>
    <w:rsid w:val="00BF3BF1"/>
    <w:rsid w:val="00BF4509"/>
    <w:rsid w:val="00BF6E4D"/>
    <w:rsid w:val="00C0086F"/>
    <w:rsid w:val="00C020D6"/>
    <w:rsid w:val="00C02F70"/>
    <w:rsid w:val="00C07E26"/>
    <w:rsid w:val="00C07ED7"/>
    <w:rsid w:val="00C10179"/>
    <w:rsid w:val="00C1042F"/>
    <w:rsid w:val="00C10907"/>
    <w:rsid w:val="00C13F84"/>
    <w:rsid w:val="00C14246"/>
    <w:rsid w:val="00C154F3"/>
    <w:rsid w:val="00C205C7"/>
    <w:rsid w:val="00C2178C"/>
    <w:rsid w:val="00C23823"/>
    <w:rsid w:val="00C25068"/>
    <w:rsid w:val="00C25D62"/>
    <w:rsid w:val="00C270B0"/>
    <w:rsid w:val="00C2739C"/>
    <w:rsid w:val="00C277C0"/>
    <w:rsid w:val="00C34736"/>
    <w:rsid w:val="00C3520D"/>
    <w:rsid w:val="00C355F7"/>
    <w:rsid w:val="00C35DD4"/>
    <w:rsid w:val="00C36C32"/>
    <w:rsid w:val="00C41D2F"/>
    <w:rsid w:val="00C43967"/>
    <w:rsid w:val="00C504F4"/>
    <w:rsid w:val="00C53CF7"/>
    <w:rsid w:val="00C54F6F"/>
    <w:rsid w:val="00C56631"/>
    <w:rsid w:val="00C5702E"/>
    <w:rsid w:val="00C57572"/>
    <w:rsid w:val="00C5790F"/>
    <w:rsid w:val="00C61665"/>
    <w:rsid w:val="00C6166B"/>
    <w:rsid w:val="00C719CD"/>
    <w:rsid w:val="00C73449"/>
    <w:rsid w:val="00C8225C"/>
    <w:rsid w:val="00C82BC5"/>
    <w:rsid w:val="00C83080"/>
    <w:rsid w:val="00C835D9"/>
    <w:rsid w:val="00C83D9B"/>
    <w:rsid w:val="00C84FED"/>
    <w:rsid w:val="00C855BF"/>
    <w:rsid w:val="00C85D35"/>
    <w:rsid w:val="00C872CE"/>
    <w:rsid w:val="00C93C08"/>
    <w:rsid w:val="00C94A45"/>
    <w:rsid w:val="00C97092"/>
    <w:rsid w:val="00CA3FEA"/>
    <w:rsid w:val="00CA4B42"/>
    <w:rsid w:val="00CA56A6"/>
    <w:rsid w:val="00CA7B57"/>
    <w:rsid w:val="00CB5310"/>
    <w:rsid w:val="00CB71DC"/>
    <w:rsid w:val="00CB7398"/>
    <w:rsid w:val="00CC0B96"/>
    <w:rsid w:val="00CC2EB5"/>
    <w:rsid w:val="00CC3069"/>
    <w:rsid w:val="00CC39E6"/>
    <w:rsid w:val="00CC49D2"/>
    <w:rsid w:val="00CC5E9F"/>
    <w:rsid w:val="00CC7EA2"/>
    <w:rsid w:val="00CD2B2E"/>
    <w:rsid w:val="00CD38F6"/>
    <w:rsid w:val="00CD4D4E"/>
    <w:rsid w:val="00CD6B76"/>
    <w:rsid w:val="00CD7361"/>
    <w:rsid w:val="00CD7BF0"/>
    <w:rsid w:val="00CE0362"/>
    <w:rsid w:val="00CE0CEB"/>
    <w:rsid w:val="00CE15BF"/>
    <w:rsid w:val="00CE1763"/>
    <w:rsid w:val="00CE1FFC"/>
    <w:rsid w:val="00CE2D5D"/>
    <w:rsid w:val="00CE3D3D"/>
    <w:rsid w:val="00CE4C62"/>
    <w:rsid w:val="00CE5910"/>
    <w:rsid w:val="00CE6F5D"/>
    <w:rsid w:val="00CE72AB"/>
    <w:rsid w:val="00CF34C4"/>
    <w:rsid w:val="00D046D4"/>
    <w:rsid w:val="00D05A22"/>
    <w:rsid w:val="00D05C5E"/>
    <w:rsid w:val="00D10B80"/>
    <w:rsid w:val="00D11540"/>
    <w:rsid w:val="00D116B1"/>
    <w:rsid w:val="00D12804"/>
    <w:rsid w:val="00D14FCC"/>
    <w:rsid w:val="00D16888"/>
    <w:rsid w:val="00D16ED1"/>
    <w:rsid w:val="00D20B49"/>
    <w:rsid w:val="00D21E6A"/>
    <w:rsid w:val="00D22423"/>
    <w:rsid w:val="00D2326A"/>
    <w:rsid w:val="00D243E8"/>
    <w:rsid w:val="00D2452B"/>
    <w:rsid w:val="00D24B09"/>
    <w:rsid w:val="00D25C9C"/>
    <w:rsid w:val="00D27021"/>
    <w:rsid w:val="00D30B6D"/>
    <w:rsid w:val="00D30FB6"/>
    <w:rsid w:val="00D314F4"/>
    <w:rsid w:val="00D356BA"/>
    <w:rsid w:val="00D363AA"/>
    <w:rsid w:val="00D40447"/>
    <w:rsid w:val="00D40D29"/>
    <w:rsid w:val="00D4272B"/>
    <w:rsid w:val="00D428DE"/>
    <w:rsid w:val="00D45BFD"/>
    <w:rsid w:val="00D46406"/>
    <w:rsid w:val="00D514F9"/>
    <w:rsid w:val="00D5282A"/>
    <w:rsid w:val="00D52D75"/>
    <w:rsid w:val="00D53DDA"/>
    <w:rsid w:val="00D56657"/>
    <w:rsid w:val="00D61055"/>
    <w:rsid w:val="00D63647"/>
    <w:rsid w:val="00D656D5"/>
    <w:rsid w:val="00D66020"/>
    <w:rsid w:val="00D66158"/>
    <w:rsid w:val="00D6669E"/>
    <w:rsid w:val="00D66EA4"/>
    <w:rsid w:val="00D67044"/>
    <w:rsid w:val="00D67B67"/>
    <w:rsid w:val="00D721A5"/>
    <w:rsid w:val="00D73AAF"/>
    <w:rsid w:val="00D7577F"/>
    <w:rsid w:val="00D76D80"/>
    <w:rsid w:val="00D80377"/>
    <w:rsid w:val="00D80554"/>
    <w:rsid w:val="00D80C08"/>
    <w:rsid w:val="00D8131A"/>
    <w:rsid w:val="00D81CE8"/>
    <w:rsid w:val="00D81E35"/>
    <w:rsid w:val="00D820F9"/>
    <w:rsid w:val="00D83B02"/>
    <w:rsid w:val="00D83B54"/>
    <w:rsid w:val="00D841C5"/>
    <w:rsid w:val="00D843B6"/>
    <w:rsid w:val="00D84AD6"/>
    <w:rsid w:val="00D84E9A"/>
    <w:rsid w:val="00D851EB"/>
    <w:rsid w:val="00D857C9"/>
    <w:rsid w:val="00D860EF"/>
    <w:rsid w:val="00D86C51"/>
    <w:rsid w:val="00D874DE"/>
    <w:rsid w:val="00D900BB"/>
    <w:rsid w:val="00D90A95"/>
    <w:rsid w:val="00D91C3C"/>
    <w:rsid w:val="00D91E94"/>
    <w:rsid w:val="00D96A11"/>
    <w:rsid w:val="00D97355"/>
    <w:rsid w:val="00DB04D7"/>
    <w:rsid w:val="00DB1597"/>
    <w:rsid w:val="00DB1EDA"/>
    <w:rsid w:val="00DB358D"/>
    <w:rsid w:val="00DB65BB"/>
    <w:rsid w:val="00DB6897"/>
    <w:rsid w:val="00DC082B"/>
    <w:rsid w:val="00DC0BF1"/>
    <w:rsid w:val="00DC0C0F"/>
    <w:rsid w:val="00DC6A50"/>
    <w:rsid w:val="00DD2049"/>
    <w:rsid w:val="00DD2903"/>
    <w:rsid w:val="00DD4FC1"/>
    <w:rsid w:val="00DE320A"/>
    <w:rsid w:val="00DE3C2E"/>
    <w:rsid w:val="00DE52DC"/>
    <w:rsid w:val="00DE6814"/>
    <w:rsid w:val="00DE7B28"/>
    <w:rsid w:val="00DF15A9"/>
    <w:rsid w:val="00DF16D3"/>
    <w:rsid w:val="00DF34F1"/>
    <w:rsid w:val="00DF3E2C"/>
    <w:rsid w:val="00DF46F7"/>
    <w:rsid w:val="00DF4B94"/>
    <w:rsid w:val="00DF5166"/>
    <w:rsid w:val="00DF66A9"/>
    <w:rsid w:val="00E0079E"/>
    <w:rsid w:val="00E03F9C"/>
    <w:rsid w:val="00E040A0"/>
    <w:rsid w:val="00E11FD4"/>
    <w:rsid w:val="00E12A5B"/>
    <w:rsid w:val="00E15950"/>
    <w:rsid w:val="00E16C0D"/>
    <w:rsid w:val="00E20734"/>
    <w:rsid w:val="00E21200"/>
    <w:rsid w:val="00E2320D"/>
    <w:rsid w:val="00E25EB9"/>
    <w:rsid w:val="00E26E29"/>
    <w:rsid w:val="00E27186"/>
    <w:rsid w:val="00E314EF"/>
    <w:rsid w:val="00E32E7D"/>
    <w:rsid w:val="00E33399"/>
    <w:rsid w:val="00E334D5"/>
    <w:rsid w:val="00E343A4"/>
    <w:rsid w:val="00E35AE6"/>
    <w:rsid w:val="00E36F3A"/>
    <w:rsid w:val="00E41425"/>
    <w:rsid w:val="00E421A9"/>
    <w:rsid w:val="00E429F2"/>
    <w:rsid w:val="00E46B17"/>
    <w:rsid w:val="00E50A3F"/>
    <w:rsid w:val="00E552DD"/>
    <w:rsid w:val="00E61188"/>
    <w:rsid w:val="00E64633"/>
    <w:rsid w:val="00E64C01"/>
    <w:rsid w:val="00E657E0"/>
    <w:rsid w:val="00E72A17"/>
    <w:rsid w:val="00E73689"/>
    <w:rsid w:val="00E76ACF"/>
    <w:rsid w:val="00E77E3C"/>
    <w:rsid w:val="00E821A8"/>
    <w:rsid w:val="00E8239D"/>
    <w:rsid w:val="00E84A47"/>
    <w:rsid w:val="00E85F44"/>
    <w:rsid w:val="00E91EB1"/>
    <w:rsid w:val="00E9390A"/>
    <w:rsid w:val="00E975BC"/>
    <w:rsid w:val="00EA0EAA"/>
    <w:rsid w:val="00EA1265"/>
    <w:rsid w:val="00EA1E18"/>
    <w:rsid w:val="00EA32E3"/>
    <w:rsid w:val="00EA361B"/>
    <w:rsid w:val="00EA5317"/>
    <w:rsid w:val="00EA59BC"/>
    <w:rsid w:val="00EA6829"/>
    <w:rsid w:val="00EA7164"/>
    <w:rsid w:val="00EA7446"/>
    <w:rsid w:val="00EB0A31"/>
    <w:rsid w:val="00EB0EBF"/>
    <w:rsid w:val="00EB4D90"/>
    <w:rsid w:val="00EB5C88"/>
    <w:rsid w:val="00EB5D17"/>
    <w:rsid w:val="00EC0BC5"/>
    <w:rsid w:val="00EC28AC"/>
    <w:rsid w:val="00EC3745"/>
    <w:rsid w:val="00EC49BA"/>
    <w:rsid w:val="00EC5857"/>
    <w:rsid w:val="00ED0B99"/>
    <w:rsid w:val="00ED0E7A"/>
    <w:rsid w:val="00ED2C3B"/>
    <w:rsid w:val="00ED30F7"/>
    <w:rsid w:val="00ED4198"/>
    <w:rsid w:val="00ED54A6"/>
    <w:rsid w:val="00ED693C"/>
    <w:rsid w:val="00EE06C8"/>
    <w:rsid w:val="00EE486F"/>
    <w:rsid w:val="00EE555C"/>
    <w:rsid w:val="00EE6EA1"/>
    <w:rsid w:val="00EF19A5"/>
    <w:rsid w:val="00EF21D8"/>
    <w:rsid w:val="00EF524E"/>
    <w:rsid w:val="00EF5406"/>
    <w:rsid w:val="00EF6BF8"/>
    <w:rsid w:val="00F005FE"/>
    <w:rsid w:val="00F017F0"/>
    <w:rsid w:val="00F02E68"/>
    <w:rsid w:val="00F03297"/>
    <w:rsid w:val="00F04BEE"/>
    <w:rsid w:val="00F0597B"/>
    <w:rsid w:val="00F06E9D"/>
    <w:rsid w:val="00F0773C"/>
    <w:rsid w:val="00F10567"/>
    <w:rsid w:val="00F118C5"/>
    <w:rsid w:val="00F12954"/>
    <w:rsid w:val="00F162E7"/>
    <w:rsid w:val="00F202B0"/>
    <w:rsid w:val="00F20E1C"/>
    <w:rsid w:val="00F2236D"/>
    <w:rsid w:val="00F22C27"/>
    <w:rsid w:val="00F230F8"/>
    <w:rsid w:val="00F23F7F"/>
    <w:rsid w:val="00F24673"/>
    <w:rsid w:val="00F25C97"/>
    <w:rsid w:val="00F25E1A"/>
    <w:rsid w:val="00F2779E"/>
    <w:rsid w:val="00F31107"/>
    <w:rsid w:val="00F33F2E"/>
    <w:rsid w:val="00F3419E"/>
    <w:rsid w:val="00F356CB"/>
    <w:rsid w:val="00F357D3"/>
    <w:rsid w:val="00F35F56"/>
    <w:rsid w:val="00F36489"/>
    <w:rsid w:val="00F37248"/>
    <w:rsid w:val="00F37919"/>
    <w:rsid w:val="00F418A4"/>
    <w:rsid w:val="00F43524"/>
    <w:rsid w:val="00F43540"/>
    <w:rsid w:val="00F451E6"/>
    <w:rsid w:val="00F45EA0"/>
    <w:rsid w:val="00F45EC4"/>
    <w:rsid w:val="00F46FB8"/>
    <w:rsid w:val="00F47E56"/>
    <w:rsid w:val="00F51610"/>
    <w:rsid w:val="00F52441"/>
    <w:rsid w:val="00F52503"/>
    <w:rsid w:val="00F54431"/>
    <w:rsid w:val="00F54FF4"/>
    <w:rsid w:val="00F56172"/>
    <w:rsid w:val="00F56C6C"/>
    <w:rsid w:val="00F57154"/>
    <w:rsid w:val="00F60CA1"/>
    <w:rsid w:val="00F640B9"/>
    <w:rsid w:val="00F6448C"/>
    <w:rsid w:val="00F65C4F"/>
    <w:rsid w:val="00F66644"/>
    <w:rsid w:val="00F6695A"/>
    <w:rsid w:val="00F71FF0"/>
    <w:rsid w:val="00F72847"/>
    <w:rsid w:val="00F73853"/>
    <w:rsid w:val="00F838B5"/>
    <w:rsid w:val="00F862D5"/>
    <w:rsid w:val="00F926D1"/>
    <w:rsid w:val="00F9624A"/>
    <w:rsid w:val="00FA0891"/>
    <w:rsid w:val="00FA1884"/>
    <w:rsid w:val="00FA2F04"/>
    <w:rsid w:val="00FA4E86"/>
    <w:rsid w:val="00FA4F89"/>
    <w:rsid w:val="00FA5151"/>
    <w:rsid w:val="00FA60B8"/>
    <w:rsid w:val="00FA6487"/>
    <w:rsid w:val="00FA6C5A"/>
    <w:rsid w:val="00FA6D99"/>
    <w:rsid w:val="00FB10B8"/>
    <w:rsid w:val="00FB1303"/>
    <w:rsid w:val="00FB3869"/>
    <w:rsid w:val="00FB6DC7"/>
    <w:rsid w:val="00FB7541"/>
    <w:rsid w:val="00FC3168"/>
    <w:rsid w:val="00FC34BF"/>
    <w:rsid w:val="00FC3CF7"/>
    <w:rsid w:val="00FD0C19"/>
    <w:rsid w:val="00FD18D2"/>
    <w:rsid w:val="00FD1F17"/>
    <w:rsid w:val="00FD5259"/>
    <w:rsid w:val="00FE24E7"/>
    <w:rsid w:val="00FE3FC1"/>
    <w:rsid w:val="00FF07B5"/>
    <w:rsid w:val="00FF1684"/>
    <w:rsid w:val="00FF3D16"/>
    <w:rsid w:val="00FF5FAD"/>
    <w:rsid w:val="00FF61CE"/>
    <w:rsid w:val="00FF6F9C"/>
    <w:rsid w:val="00FF78B4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DB75"/>
  <w15:chartTrackingRefBased/>
  <w15:docId w15:val="{1339B17A-4173-4F78-B042-F2A813A3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EF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56FF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6FF"/>
    <w:rPr>
      <w:rFonts w:asciiTheme="majorHAnsi" w:eastAsiaTheme="majorEastAsia" w:hAnsiTheme="majorHAnsi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9F45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3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398"/>
  </w:style>
  <w:style w:type="paragraph" w:styleId="Footer">
    <w:name w:val="footer"/>
    <w:basedOn w:val="Normal"/>
    <w:link w:val="FooterChar"/>
    <w:uiPriority w:val="99"/>
    <w:unhideWhenUsed/>
    <w:rsid w:val="00CB73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398"/>
  </w:style>
  <w:style w:type="character" w:styleId="Hyperlink">
    <w:name w:val="Hyperlink"/>
    <w:basedOn w:val="DefaultParagraphFont"/>
    <w:uiPriority w:val="99"/>
    <w:unhideWhenUsed/>
    <w:rsid w:val="00821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21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44439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4E2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C28AC"/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1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1A5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325B5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D4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Wor21</b:Tag>
    <b:SourceType>InternetSite</b:SourceType>
    <b:Guid>{EB65C289-D92C-4655-8FE1-D9BECC1DC497}</b:Guid>
    <b:Author>
      <b:Author>
        <b:Corporate>World Economic Forum</b:Corporate>
      </b:Author>
    </b:Author>
    <b:Title>From feed to fuel: This is how corn is used around the world</b:Title>
    <b:InternetSiteTitle>World Economic Forum</b:InternetSiteTitle>
    <b:Year>2021</b:Year>
    <b:Month>6</b:Month>
    <b:Day>2</b:Day>
    <b:URL>https://www.weforum.org/agenda/2021/06/corn-industries-sustainability-food-prices/</b:URL>
    <b:RefOrder>1</b:RefOrder>
  </b:Source>
  <b:Source>
    <b:Tag>Sha24</b:Tag>
    <b:SourceType>InternetSite</b:SourceType>
    <b:Guid>{D1DFF9CC-7C0F-405E-A8B7-B63932851A81}</b:Guid>
    <b:Author>
      <b:Author>
        <b:NameList>
          <b:Person>
            <b:Last>Shahbandeh</b:Last>
            <b:First>M</b:First>
          </b:Person>
        </b:NameList>
      </b:Author>
    </b:Author>
    <b:Title>Import value of corn worldwide in 2023, by leading country</b:Title>
    <b:InternetSiteTitle>Statista</b:InternetSiteTitle>
    <b:Year>2024</b:Year>
    <b:Month>8</b:Month>
    <b:Day>20</b:Day>
    <b:URL>https://www.statista.com/statistics/1167839/leading-global-corn-importers/</b:URL>
    <b:RefOrder>3</b:RefOrder>
  </b:Source>
  <b:Source>
    <b:Tag>USD16</b:Tag>
    <b:SourceType>InternetSite</b:SourceType>
    <b:Guid>{E136236C-1192-4866-9786-2E8A37292F97}</b:Guid>
    <b:Author>
      <b:Author>
        <b:Corporate>USDA</b:Corporate>
      </b:Author>
    </b:Author>
    <b:Title>Production - Corn</b:Title>
    <b:InternetSiteTitle>USDA</b:InternetSiteTitle>
    <b:Year>2021</b:Year>
    <b:Month>10</b:Month>
    <b:Day>16</b:Day>
    <b:URL>https://fas.usda.gov/data/production/commodity/0440000</b:URL>
    <b:RefOrder>2</b:RefOrder>
  </b:Source>
  <b:Source>
    <b:Tag>FRE24</b:Tag>
    <b:SourceType>InternetSite</b:SourceType>
    <b:Guid>{7FDC77C3-B937-46B3-A7EE-59B09AC201ED}</b:Guid>
    <b:Author>
      <b:Author>
        <b:Corporate>FRED</b:Corporate>
      </b:Author>
    </b:Author>
    <b:Title>Global price of Corn</b:Title>
    <b:InternetSiteTitle>FRED</b:InternetSiteTitle>
    <b:Year>2024</b:Year>
    <b:Month>10</b:Month>
    <b:Day>16</b:Day>
    <b:URL>https://fred.stlouisfed.org/series/PMAIZMTUSDM</b:URL>
    <b:RefOrder>6</b:RefOrder>
  </b:Source>
  <b:Source>
    <b:Tag>Rak24</b:Tag>
    <b:SourceType>JournalArticle</b:SourceType>
    <b:Guid>{48764AE0-687D-40A8-95CC-51AB7B3A44B1}</b:Guid>
    <b:Title>Forecasting the Global Price of Corn: Unveiling Insights with SARIMA Modelling</b:Title>
    <b:Year>2024</b:Year>
    <b:JournalName>American Journal of Applied</b:JournalName>
    <b:Pages>124-135</b:Pages>
    <b:Author>
      <b:Author>
        <b:NameList>
          <b:Person>
            <b:Last>Raksha</b:Last>
            <b:First>Khadka</b:First>
          </b:Person>
          <b:Person>
            <b:Last>Yeong</b:Last>
            <b:First>Nain</b:First>
            <b:Middle>Chi</b:Middle>
          </b:Person>
        </b:NameList>
      </b:Author>
    </b:Author>
    <b:RefOrder>4</b:RefOrder>
  </b:Source>
  <b:Source>
    <b:Tag>Jun22</b:Tag>
    <b:SourceType>JournalArticle</b:SourceType>
    <b:Guid>{E6671775-59EE-46D8-98C1-54E81CE80B5F}</b:Guid>
    <b:Author>
      <b:Author>
        <b:NameList>
          <b:Person>
            <b:Last>Junxue</b:Last>
            <b:First>Lv</b:First>
          </b:Person>
          <b:Person>
            <b:Last>Xi</b:Last>
            <b:First>Wu</b:First>
          </b:Person>
        </b:NameList>
      </b:Author>
    </b:Author>
    <b:Title>Corn Price Prediction in China's Futures Market</b:Title>
    <b:JournalName>Academic Journal of Business &amp; Management</b:JournalName>
    <b:Year>2022</b:Year>
    <b:RefOrder>5</b:RefOrder>
  </b:Source>
  <b:Source>
    <b:Tag>Cal241</b:Tag>
    <b:SourceType>InternetSite</b:SourceType>
    <b:Guid>{92A878A5-C260-40C4-A36C-9A819D25190B}</b:Guid>
    <b:Title>Overview and Paper</b:Title>
    <b:Year>2024</b:Year>
    <b:Author>
      <b:Author>
        <b:NameList>
          <b:Person>
            <b:Last>Caldara</b:Last>
            <b:First>Dario</b:First>
          </b:Person>
          <b:Person>
            <b:Last>Iacoviello</b:Last>
            <b:First>Matteo</b:First>
          </b:Person>
        </b:NameList>
      </b:Author>
    </b:Author>
    <b:InternetSiteTitle>matteoiacoviello</b:InternetSiteTitle>
    <b:Month>10</b:Month>
    <b:Day>16</b:Day>
    <b:URL>https://www.matteoiacoviello.com/gpr.htm</b:URL>
    <b:RefOrder>7</b:RefOrder>
  </b:Source>
  <b:Source>
    <b:Tag>OEC</b:Tag>
    <b:SourceType>InternetSite</b:SourceType>
    <b:Guid>{609C577F-982A-46AB-B7F7-F68740A4229F}</b:Guid>
    <b:Author>
      <b:Author>
        <b:Corporate>OECD</b:Corporate>
      </b:Author>
    </b:Author>
    <b:Title>International Trade: Ratio: Exports to Imports: Total for China</b:Title>
    <b:InternetSiteTitle>OECD</b:InternetSiteTitle>
    <b:URL>https://fred.stlouisfed.org/series/XTEITT01CNM156N</b:URL>
    <b:Year>2024</b:Year>
    <b:RefOrder>13</b:RefOrder>
  </b:Source>
  <b:Source>
    <b:Tag>Bay22</b:Tag>
    <b:SourceType>InternetSite</b:SourceType>
    <b:Guid>{6C8526FF-45DE-4E41-B960-7315111D7BC8}</b:Guid>
    <b:Author>
      <b:Author>
        <b:Corporate>Bayer</b:Corporate>
      </b:Author>
    </b:Author>
    <b:Title>Balancing Fertilizer Needs for the Corn Crop</b:Title>
    <b:InternetSiteTitle>Bayer</b:InternetSiteTitle>
    <b:Year>2022</b:Year>
    <b:Month>03</b:Month>
    <b:Day>08</b:Day>
    <b:URL>https://www.cropscience.bayer.us/articles/bayer/balancing-fertilizer-needs-corn</b:URL>
    <b:RefOrder>8</b:RefOrder>
  </b:Source>
  <b:Source>
    <b:Tag>NWS24</b:Tag>
    <b:SourceType>InternetSite</b:SourceType>
    <b:Guid>{EF0E0169-850A-4667-8D62-47061550BE33}</b:Guid>
    <b:Author>
      <b:Author>
        <b:Corporate>NWS</b:Corporate>
      </b:Author>
    </b:Author>
    <b:Title>National Weather Service</b:Title>
    <b:InternetSiteTitle>National Weather Service</b:InternetSiteTitle>
    <b:Year>2024</b:Year>
    <b:URL>https://www.weather.gov/wrh/Climate?wfo=dmx</b:URL>
    <b:RefOrder>9</b:RefOrder>
  </b:Source>
  <b:Source>
    <b:Tag>Aka24</b:Tag>
    <b:SourceType>InternetSite</b:SourceType>
    <b:Guid>{114993AE-4D6D-4D24-AA75-48603D299467}</b:Guid>
    <b:Title>Akaike Information Criterion (AIC)</b:Title>
    <b:InternetSiteTitle>Activeloop</b:InternetSiteTitle>
    <b:Year>2024</b:Year>
    <b:Month>10</b:Month>
    <b:Day>16</b:Day>
    <b:URL>https://www.activeloop.ai/resources/glossary/akaike-information-criterion-aic/</b:URL>
    <b:Author>
      <b:Author>
        <b:Corporate>Activeloop</b:Corporate>
      </b:Author>
    </b:Author>
    <b:RefOrder>11</b:RefOrder>
  </b:Source>
  <b:Source>
    <b:Tag>Hyn24</b:Tag>
    <b:SourceType>InternetSite</b:SourceType>
    <b:Guid>{6125A741-6B74-4269-B085-0E9640CACBE0}</b:Guid>
    <b:Author>
      <b:Author>
        <b:NameList>
          <b:Person>
            <b:Last>Hyndman</b:Last>
            <b:First>Rob</b:First>
            <b:Middle>J</b:Middle>
          </b:Person>
          <b:Person>
            <b:Last>Athanasopoulos</b:Last>
            <b:First>George</b:First>
          </b:Person>
        </b:NameList>
      </b:Author>
    </b:Author>
    <b:Title>ARIMA modelling in R</b:Title>
    <b:InternetSiteTitle>Forecasting: Principles and Practice</b:InternetSiteTitle>
    <b:Year>2024</b:Year>
    <b:Month>10</b:Month>
    <b:Day>19</b:Day>
    <b:URL>https://otexts.com/fpp2/arima-r.html</b:URL>
    <b:RefOrder>10</b:RefOrder>
  </b:Source>
  <b:Source>
    <b:Tag>LSE24</b:Tag>
    <b:SourceType>InternetSite</b:SourceType>
    <b:Guid>{A73CFFB0-5199-423A-BFBB-3C952E3BFBD9}</b:Guid>
    <b:Author>
      <b:Author>
        <b:Corporate>LSEG</b:Corporate>
      </b:Author>
    </b:Author>
    <b:Title>LSEG Data &amp; Analytics</b:Title>
    <b:InternetSiteTitle>Commodities - Agriculture</b:InternetSiteTitle>
    <b:Year>2024</b:Year>
    <b:Month>10</b:Month>
    <b:Day>21</b:Day>
    <b:URL>https://www.lseg.com/en/data-analytics/financial-data/commodities-data/agricultural-commodities-data#overview</b:URL>
    <b:RefOrder>12</b:RefOrder>
  </b:Source>
</b:Sources>
</file>

<file path=customXml/itemProps1.xml><?xml version="1.0" encoding="utf-8"?>
<ds:datastoreItem xmlns:ds="http://schemas.openxmlformats.org/officeDocument/2006/customXml" ds:itemID="{D392659C-F4CE-4AD6-99D3-8F4DEF80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3218</TotalTime>
  <Pages>10</Pages>
  <Words>3378</Words>
  <Characters>19255</Characters>
  <Application>Microsoft Office Word</Application>
  <DocSecurity>0</DocSecurity>
  <Lines>160</Lines>
  <Paragraphs>45</Paragraphs>
  <ScaleCrop>false</ScaleCrop>
  <Company/>
  <LinksUpToDate>false</LinksUpToDate>
  <CharactersWithSpaces>22588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Barr</dc:creator>
  <cp:keywords/>
  <dc:description/>
  <cp:lastModifiedBy>Callum Barr</cp:lastModifiedBy>
  <cp:revision>1330</cp:revision>
  <dcterms:created xsi:type="dcterms:W3CDTF">2024-09-27T06:57:00Z</dcterms:created>
  <dcterms:modified xsi:type="dcterms:W3CDTF">2025-01-06T20:15:00Z</dcterms:modified>
</cp:coreProperties>
</file>