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PENGELOLAAN PENDUKUNG LAYANAN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SOP-LPSE-BLK-14-002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Mengatur tata cara pengelolaan hubungan dengan pihak ketiga sebagai pendukung layanan LPSE Kabupaten Bulukumba.</w:t>
      </w:r>
    </w:p>
    <w:p/>
    <w:p>
      <w:pPr>
        <w:pStyle w:val="Heading2"/>
      </w:pPr>
      <w:r>
        <w:t>2. PROSEDUR</w:t>
      </w:r>
    </w:p>
    <w:p/>
    <w:p>
      <w:pPr>
        <w:pStyle w:val="Heading3"/>
      </w:pPr>
      <w:r>
        <w:t>2.1 Seleksi Pendukung Layanan</w:t>
      </w:r>
    </w:p>
    <w:p>
      <w:r>
        <w:t>1. Identifikasi kebutuhan layanan yang memerlukan pihak ketiga</w:t>
      </w:r>
    </w:p>
    <w:p>
      <w:r>
        <w:t>2. Lakukan seleksi penyedia berdasarkan kompetensi dan rekam jejak</w:t>
      </w:r>
    </w:p>
    <w:p>
      <w:r>
        <w:t>3. Pastikan penyedia memiliki kemampuan memenuhi kebutuhan LPSE</w:t>
      </w:r>
    </w:p>
    <w:p/>
    <w:p>
      <w:pPr>
        <w:pStyle w:val="Heading3"/>
      </w:pPr>
      <w:r>
        <w:t>2.2 Perjanjian Kontrak/SLA</w:t>
      </w:r>
    </w:p>
    <w:p>
      <w:r>
        <w:t>1. Setiap pendukung layanan wajib memiliki kontrak/SLA tertulis</w:t>
      </w:r>
    </w:p>
    <w:p>
      <w:r>
        <w:t>2. Kontrak/SLA memuat minimal:</w:t>
      </w:r>
    </w:p>
    <w:p>
      <w:pPr>
        <w:pStyle w:val="ListBullet"/>
      </w:pPr>
      <w:r>
        <w:t>Ruang lingkup layanan</w:t>
      </w:r>
    </w:p>
    <w:p>
      <w:pPr>
        <w:pStyle w:val="ListBullet"/>
      </w:pPr>
      <w:r>
        <w:t>Tingkat layanan yang disepakati (uptime, response time, dll)</w:t>
      </w:r>
    </w:p>
    <w:p>
      <w:pPr>
        <w:pStyle w:val="ListBullet"/>
      </w:pPr>
      <w:r>
        <w:t>Ketentuan keamanan informasi</w:t>
      </w:r>
    </w:p>
    <w:p>
      <w:pPr>
        <w:pStyle w:val="ListBullet"/>
      </w:pPr>
      <w:r>
        <w:t>Prosedur penanganan insiden</w:t>
      </w:r>
    </w:p>
    <w:p>
      <w:pPr>
        <w:pStyle w:val="ListBullet"/>
      </w:pPr>
      <w:r>
        <w:t>Sanksi jika SLA tidak terpenuhi</w:t>
      </w:r>
    </w:p>
    <w:p>
      <w:r>
        <w:t>3. Kontrak/SLA ditandatangani oleh Kepala LPSE dan perwakilan pihak ketiga</w:t>
      </w:r>
    </w:p>
    <w:p/>
    <w:p>
      <w:pPr>
        <w:pStyle w:val="Heading3"/>
      </w:pPr>
      <w:r>
        <w:t>2.3 Pengelolaan Kontrak</w:t>
      </w:r>
    </w:p>
    <w:p>
      <w:r>
        <w:t>1. Kepala LPSE memastikan kontrak/SLA selalu dalam kondisi aktif</w:t>
      </w:r>
    </w:p>
    <w:p>
      <w:r>
        <w:t>2. Perpanjangan kontrak dilakukan minimal 1 bulan sebelum masa berlaku habis</w:t>
      </w:r>
    </w:p>
    <w:p>
      <w:r>
        <w:t>3. Perubahan kontrak harus mendapat persetujuan kedua belah pihak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