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2"/>
        </w:rPr>
        <w:t>AL LAITH SITE SERVICES · Workshop Stock Control · A3 Executive One-Pager</w:t>
      </w:r>
    </w:p>
    <w:p>
      <w:r>
        <w:rPr>
          <w:i/>
          <w:color w:val="555555"/>
          <w:sz w:val="18"/>
        </w:rPr>
        <w:t>COEEx OS · 26 May 2026 · Owner Calo · Sponsor Vincent Nibbering · Sign-off John Maddern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225"/>
        <w:gridCol w:w="11225"/>
      </w:tblGrid>
      <w:tr>
        <w:tc>
          <w:tcPr>
            <w:tcW w:type="dxa" w:w="10772"/>
            <w:shd w:val="clear" w:color="auto" w:fill="1F3864"/>
            <w:vAlign w:val="top"/>
          </w:tcPr>
          <w:p>
            <w:r/>
            <w:r>
              <w:rPr>
                <w:b/>
                <w:color w:val="FFFFFF"/>
                <w:sz w:val="22"/>
              </w:rPr>
              <w:t>1 · BACKGROUND</w:t>
            </w:r>
          </w:p>
          <w:p>
            <w:r>
              <w:rPr>
                <w:rFonts w:ascii="Arial" w:hAnsi="Arial"/>
                <w:sz w:val="18"/>
              </w:rPr>
              <w:t>500+ rental assets (cabins, ablutions, golf buggies, utility vehicles, flatpacks).</w:t>
            </w:r>
          </w:p>
          <w:p>
            <w:r>
              <w:rPr>
                <w:rFonts w:ascii="Arial" w:hAnsi="Arial"/>
                <w:sz w:val="18"/>
              </w:rPr>
              <w:t>Workshop store has no transactional record, no worker-facing tool, no ERP automation.</w:t>
            </w:r>
          </w:p>
          <w:p>
            <w:r>
              <w:rPr>
                <w:rFonts w:ascii="Arial" w:hAnsi="Arial"/>
                <w:sz w:val="18"/>
              </w:rPr>
              <w:t>30–45 min nightly manual ERP batch (Calo) on days with 20+ issuances.</w:t>
            </w:r>
          </w:p>
          <w:p>
            <w:r>
              <w:rPr>
                <w:rFonts w:ascii="Arial" w:hAnsi="Arial"/>
                <w:sz w:val="18"/>
              </w:rPr>
              <w:t>Single SC (Calo) — no backup; weekend cover undecided.</w:t>
            </w:r>
          </w:p>
          <w:p>
            <w:r>
              <w:rPr>
                <w:rFonts w:ascii="Arial" w:hAnsi="Arial"/>
                <w:sz w:val="18"/>
              </w:rPr>
              <w:t>10–12 wk AppSheet build planned (DX Team). Pre-launch programme (A–F) in flight.</w:t>
            </w:r>
          </w:p>
        </w:tc>
        <w:tc>
          <w:tcPr>
            <w:tcW w:type="dxa" w:w="10772"/>
            <w:shd w:val="clear" w:color="auto" w:fill="1F3864"/>
            <w:vAlign w:val="top"/>
          </w:tcPr>
          <w:p>
            <w:r/>
            <w:r>
              <w:rPr>
                <w:b/>
                <w:color w:val="FFFFFF"/>
                <w:sz w:val="22"/>
              </w:rPr>
              <w:t>2 · CURRENT CONDITION</w:t>
            </w:r>
          </w:p>
          <w:p>
            <w:r>
              <w:rPr>
                <w:rFonts w:ascii="Arial" w:hAnsi="Arial"/>
                <w:sz w:val="18"/>
              </w:rPr>
              <w:t>100% of parts issued without digital record (PRD §17).</w:t>
            </w:r>
          </w:p>
          <w:p>
            <w:r>
              <w:rPr>
                <w:rFonts w:ascii="Arial" w:hAnsi="Arial"/>
                <w:sz w:val="18"/>
              </w:rPr>
              <w:t>0% ERP auto-update; 30–45 min daily manual batch.</w:t>
            </w:r>
          </w:p>
          <w:p>
            <w:r>
              <w:rPr>
                <w:rFonts w:ascii="Arial" w:hAnsi="Arial"/>
                <w:sz w:val="18"/>
              </w:rPr>
              <w:t>0% low-stock prevention (no monitoring exists).</w:t>
            </w:r>
          </w:p>
          <w:p>
            <w:r>
              <w:rPr>
                <w:rFonts w:ascii="Arial" w:hAnsi="Arial"/>
                <w:sz w:val="18"/>
              </w:rPr>
              <w:t>Stock Controller utilisation unknown — model predicts 0.67 at 30 req/d, unstable above 32 req/d.</w:t>
            </w:r>
          </w:p>
          <w:p>
            <w:r>
              <w:rPr>
                <w:rFonts w:ascii="Arial" w:hAnsi="Arial"/>
                <w:sz w:val="18"/>
              </w:rPr>
              <w:t>Q1 (ERP integration approach) UNRESOLVED — blocking DX build start.</w:t>
            </w:r>
          </w:p>
          <w:p>
            <w:r>
              <w:rPr>
                <w:rFonts w:ascii="Arial" w:hAnsi="Arial"/>
                <w:sz w:val="18"/>
              </w:rPr>
              <w:t>Phase A 45% · Phase B 35% · Phase C 20% · App Build 0% · Labeling 30%.</w:t>
            </w:r>
          </w:p>
        </w:tc>
      </w:tr>
      <w:tr>
        <w:tc>
          <w:tcPr>
            <w:tcW w:type="dxa" w:w="10772"/>
            <w:shd w:val="clear" w:color="auto" w:fill="1F3864"/>
            <w:vAlign w:val="top"/>
          </w:tcPr>
          <w:p>
            <w:r/>
            <w:r>
              <w:rPr>
                <w:b/>
                <w:color w:val="FFFFFF"/>
                <w:sz w:val="22"/>
              </w:rPr>
              <w:t>3 · TARGET CONDITION (Go-live + 14d)</w:t>
            </w:r>
          </w:p>
          <w:p>
            <w:r>
              <w:rPr>
                <w:rFonts w:ascii="Arial" w:hAnsi="Arial"/>
                <w:sz w:val="18"/>
              </w:rPr>
              <w:t>100% issues logged with worker / asset / job / timestamp.</w:t>
            </w:r>
          </w:p>
          <w:p>
            <w:r>
              <w:rPr>
                <w:rFonts w:ascii="Arial" w:hAnsi="Arial"/>
                <w:sz w:val="18"/>
              </w:rPr>
              <w:t>≥99.5% ERP sync; &lt;60 sec sync latency.</w:t>
            </w:r>
          </w:p>
          <w:p>
            <w:r>
              <w:rPr>
                <w:rFonts w:ascii="Arial" w:hAnsi="Arial"/>
                <w:sz w:val="18"/>
              </w:rPr>
              <w:t>100% reorder alerts ahead of stockouts.</w:t>
            </w:r>
          </w:p>
          <w:p>
            <w:r>
              <w:rPr>
                <w:rFonts w:ascii="Arial" w:hAnsi="Arial"/>
                <w:sz w:val="18"/>
              </w:rPr>
              <w:t>Median cycle time ≤30 min · P95 ≤60 min.</w:t>
            </w:r>
          </w:p>
          <w:p>
            <w:r>
              <w:rPr>
                <w:rFonts w:ascii="Arial" w:hAnsi="Arial"/>
                <w:sz w:val="18"/>
              </w:rPr>
              <w:t>Inventory accuracy ≥95% at first monthly count.</w:t>
            </w:r>
          </w:p>
          <w:p>
            <w:r>
              <w:rPr>
                <w:rFonts w:ascii="Arial" w:hAnsi="Arial"/>
                <w:sz w:val="18"/>
              </w:rPr>
              <w:t>Cross-trained backup-SC handling ≥1 shift/wk.</w:t>
            </w:r>
          </w:p>
          <w:p>
            <w:r>
              <w:rPr>
                <w:rFonts w:ascii="Arial" w:hAnsi="Arial"/>
                <w:sz w:val="18"/>
              </w:rPr>
              <w:t>14-point time-and-motion telemetry live (zero worker friction).</w:t>
            </w:r>
          </w:p>
        </w:tc>
        <w:tc>
          <w:tcPr>
            <w:tcW w:type="dxa" w:w="10772"/>
            <w:shd w:val="clear" w:color="auto" w:fill="1F3864"/>
            <w:vAlign w:val="top"/>
          </w:tcPr>
          <w:p>
            <w:r/>
            <w:r>
              <w:rPr>
                <w:b/>
                <w:color w:val="FFFFFF"/>
                <w:sz w:val="22"/>
              </w:rPr>
              <w:t>4 · ANALYSIS — Root causes (5-Whys + Fishbone)</w:t>
            </w:r>
          </w:p>
          <w:p>
            <w:r>
              <w:rPr>
                <w:rFonts w:ascii="Arial" w:hAnsi="Arial"/>
                <w:sz w:val="18"/>
              </w:rPr>
              <w:t>RC-1 · No closed-loop transaction system — historic culture; no one owned a worker-facing layer.</w:t>
            </w:r>
          </w:p>
          <w:p>
            <w:r>
              <w:rPr>
                <w:rFonts w:ascii="Arial" w:hAnsi="Arial"/>
                <w:sz w:val="18"/>
              </w:rPr>
              <w:t>RC-2 · Worker ↔ ERP UX gap — e-Resource is an accounting tool, never adapted for the yard.</w:t>
            </w:r>
          </w:p>
          <w:p>
            <w:r>
              <w:rPr>
                <w:rFonts w:ascii="Arial" w:hAnsi="Arial"/>
                <w:sz w:val="18"/>
              </w:rPr>
              <w:t>RC-3 · Single Stock Controller bottleneck — backup deferred to go-live; pull it forward.</w:t>
            </w:r>
          </w:p>
          <w:p>
            <w:r>
              <w:rPr>
                <w:rFonts w:ascii="Arial" w:hAnsi="Arial"/>
                <w:sz w:val="18"/>
              </w:rPr>
              <w:t>Top waste (TIMWOODS Pareto): Phantom Inventory · Worker Waiting · Worker Transport · Manual ERP Overprocessing.</w:t>
            </w:r>
          </w:p>
        </w:tc>
      </w:tr>
      <w:tr>
        <w:tc>
          <w:tcPr>
            <w:tcW w:type="dxa" w:w="10772"/>
            <w:shd w:val="clear" w:color="auto" w:fill="1F3864"/>
            <w:vAlign w:val="top"/>
          </w:tcPr>
          <w:p>
            <w:r/>
            <w:r>
              <w:rPr>
                <w:b/>
                <w:color w:val="FFFFFF"/>
                <w:sz w:val="22"/>
              </w:rPr>
              <w:t>5 · COUNTERMEASURES (top 5 by Leverage × Feasibility × TTV)</w:t>
            </w:r>
          </w:p>
          <w:p>
            <w:r>
              <w:rPr>
                <w:rFonts w:ascii="Arial" w:hAnsi="Arial"/>
                <w:sz w:val="18"/>
              </w:rPr>
              <w:t>R1 · Force Q1 (ERP integration) decision NOW — Sponsor: Vincent.</w:t>
            </w:r>
          </w:p>
          <w:p>
            <w:r>
              <w:rPr>
                <w:rFonts w:ascii="Arial" w:hAnsi="Arial"/>
                <w:sz w:val="18"/>
              </w:rPr>
              <w:t>R3 · Embed 14-point time-and-motion telemetry in AppSheet (zero worker overhead; free measurement).</w:t>
            </w:r>
          </w:p>
          <w:p>
            <w:r>
              <w:rPr>
                <w:rFonts w:ascii="Arial" w:hAnsi="Arial"/>
                <w:sz w:val="18"/>
              </w:rPr>
              <w:t>R4 · Two-person verify on every catalog item code before import (Calo + Thakur).</w:t>
            </w:r>
          </w:p>
          <w:p>
            <w:r>
              <w:rPr>
                <w:rFonts w:ascii="Arial" w:hAnsi="Arial"/>
                <w:sz w:val="18"/>
              </w:rPr>
              <w:t>R14 · Lock category → ERP section mapping (Buggy Parts vs SS Workshop Store) — Calo + IT.</w:t>
            </w:r>
          </w:p>
          <w:p>
            <w:r>
              <w:rPr>
                <w:rFonts w:ascii="Arial" w:hAnsi="Arial"/>
                <w:sz w:val="18"/>
              </w:rPr>
              <w:t>R2 · Provision backup-SC role + cross-train one person (Ops Lead).</w:t>
            </w:r>
          </w:p>
          <w:p>
            <w:r>
              <w:rPr>
                <w:rFonts w:ascii="Arial" w:hAnsi="Arial"/>
                <w:sz w:val="18"/>
              </w:rPr>
              <w:t>Supporting: 5-min ERP sync watchdog + SMS · catalog synonyms + 'Show all' · batch photography (1 day = 100 items) · stockout AED-impact capture · returns photo-evidence above AED threshold.</w:t>
            </w:r>
          </w:p>
        </w:tc>
        <w:tc>
          <w:tcPr>
            <w:tcW w:type="dxa" w:w="10772"/>
            <w:shd w:val="clear" w:color="auto" w:fill="1F3864"/>
            <w:vAlign w:val="top"/>
          </w:tcPr>
          <w:p>
            <w:r/>
            <w:r>
              <w:rPr>
                <w:b/>
                <w:color w:val="FFFFFF"/>
                <w:sz w:val="22"/>
              </w:rPr>
              <w:t>6 · PLAN — 14-week timeline</w:t>
            </w:r>
          </w:p>
          <w:p>
            <w:r>
              <w:rPr>
                <w:rFonts w:ascii="Arial" w:hAnsi="Arial"/>
                <w:sz w:val="18"/>
              </w:rPr>
              <w:t>W0 · Q1 decision meeting (60 min). Backup-SC role defined. Inspector calibration day.</w:t>
            </w:r>
          </w:p>
          <w:p>
            <w:r>
              <w:rPr>
                <w:rFonts w:ascii="Arial" w:hAnsi="Arial"/>
                <w:sz w:val="18"/>
              </w:rPr>
              <w:t>W1–2 · Batch photography (1 day = 100 items). Phase C catalog crash priority.</w:t>
            </w:r>
          </w:p>
          <w:p>
            <w:r>
              <w:rPr>
                <w:rFonts w:ascii="Arial" w:hAnsi="Arial"/>
                <w:sz w:val="18"/>
              </w:rPr>
              <w:t>W2–10 · DX build runs parallel with Phase C. Two-person item-code verify.</w:t>
            </w:r>
          </w:p>
          <w:p>
            <w:r>
              <w:rPr>
                <w:rFonts w:ascii="Arial" w:hAnsi="Arial"/>
                <w:sz w:val="18"/>
              </w:rPr>
              <w:t>W10 · UAT (scripted by Calo): stress 100 req/d, watchdog, offline queue, SMS escalation.</w:t>
            </w:r>
          </w:p>
          <w:p>
            <w:r>
              <w:rPr>
                <w:rFonts w:ascii="Arial" w:hAnsi="Arial"/>
                <w:sz w:val="18"/>
              </w:rPr>
              <w:t>W11 · Phase F final stock take + TM-14 baseline (30 manually-timed issuances).</w:t>
            </w:r>
          </w:p>
          <w:p>
            <w:r>
              <w:rPr>
                <w:rFonts w:ascii="Arial" w:hAnsi="Arial"/>
                <w:sz w:val="18"/>
              </w:rPr>
              <w:t>W12 · Go-live + 2-wk parallel run. Backup-SC covers 1 shift.</w:t>
            </w:r>
          </w:p>
          <w:p>
            <w:r>
              <w:rPr>
                <w:rFonts w:ascii="Arial" w:hAnsi="Arial"/>
                <w:sz w:val="18"/>
              </w:rPr>
              <w:t>W14 · Hard-stop ceremony — SC's ERP write access removed; manual batch dead.</w:t>
            </w:r>
          </w:p>
          <w:p>
            <w:r>
              <w:rPr>
                <w:rFonts w:ascii="Arial" w:hAnsi="Arial"/>
                <w:sz w:val="18"/>
              </w:rPr>
              <w:t>W16 · 30-day review · TM-14 pre-vs-post A/B published to Vincent + John.</w:t>
            </w:r>
          </w:p>
        </w:tc>
      </w:tr>
      <w:tr>
        <w:tc>
          <w:tcPr>
            <w:tcW w:type="dxa" w:w="10772"/>
            <w:shd w:val="clear" w:color="auto" w:fill="1F3864"/>
            <w:vAlign w:val="top"/>
          </w:tcPr>
          <w:p>
            <w:r/>
            <w:r>
              <w:rPr>
                <w:b/>
                <w:color w:val="FFFFFF"/>
                <w:sz w:val="22"/>
              </w:rPr>
              <w:t>7 · MEASUREMENT (16 KPIs, RAG)</w:t>
            </w:r>
          </w:p>
          <w:p>
            <w:r>
              <w:rPr>
                <w:rFonts w:ascii="Arial" w:hAnsi="Arial"/>
                <w:sz w:val="18"/>
              </w:rPr>
              <w:t>Operational scorecard in Workshop_Stock_FullSystem_Diagnostic.xlsx (KPI sheet).</w:t>
            </w:r>
          </w:p>
          <w:p>
            <w:r>
              <w:rPr>
                <w:rFonts w:ascii="Arial" w:hAnsi="Arial"/>
                <w:sz w:val="18"/>
              </w:rPr>
              <w:t>Daily: queue, ERP sync, KPI scan.</w:t>
            </w:r>
          </w:p>
          <w:p>
            <w:r>
              <w:rPr>
                <w:rFonts w:ascii="Arial" w:hAnsi="Arial"/>
                <w:sz w:val="18"/>
              </w:rPr>
              <w:t>Weekly: scorecard review, P95 RCA, low-stock audit, returns spot-audit, wins broadcast.</w:t>
            </w:r>
          </w:p>
          <w:p>
            <w:r>
              <w:rPr>
                <w:rFonts w:ascii="Arial" w:hAnsi="Arial"/>
                <w:sz w:val="18"/>
              </w:rPr>
              <w:t>Monthly: full stock count, FMEA review.</w:t>
            </w:r>
          </w:p>
          <w:p>
            <w:r>
              <w:rPr>
                <w:rFonts w:ascii="Arial" w:hAnsi="Arial"/>
                <w:sz w:val="18"/>
              </w:rPr>
              <w:t>Quarterly: catalog hygiene, SOP review.</w:t>
            </w:r>
          </w:p>
          <w:p>
            <w:r>
              <w:rPr>
                <w:rFonts w:ascii="Arial" w:hAnsi="Arial"/>
                <w:sz w:val="18"/>
              </w:rPr>
              <w:t>Annual: capacity model refresh, control plan review.</w:t>
            </w:r>
          </w:p>
        </w:tc>
        <w:tc>
          <w:tcPr>
            <w:tcW w:type="dxa" w:w="10772"/>
            <w:shd w:val="clear" w:color="auto" w:fill="1F3864"/>
            <w:vAlign w:val="top"/>
          </w:tcPr>
          <w:p>
            <w:r/>
            <w:r>
              <w:rPr>
                <w:b/>
                <w:color w:val="FFFFFF"/>
                <w:sz w:val="22"/>
              </w:rPr>
              <w:t>8 · FOLLOW-UP / RISKS</w:t>
            </w:r>
          </w:p>
          <w:p>
            <w:r>
              <w:rPr>
                <w:rFonts w:ascii="Arial" w:hAnsi="Arial"/>
                <w:sz w:val="18"/>
              </w:rPr>
              <w:t>Top 5 RPN (FMEA): Worker non-adoption · SC SPOF · ERP sync silent fail · Q1 unresolved · catalog item-code errors.</w:t>
            </w:r>
          </w:p>
          <w:p>
            <w:r>
              <w:rPr>
                <w:rFonts w:ascii="Arial" w:hAnsi="Arial"/>
                <w:sz w:val="18"/>
              </w:rPr>
              <w:t>Each carries a named owner, success metric, and reaction plan in the FMEA sheet.</w:t>
            </w:r>
          </w:p>
          <w:p>
            <w:r>
              <w:rPr>
                <w:rFonts w:ascii="Arial" w:hAnsi="Arial"/>
                <w:sz w:val="18"/>
              </w:rPr>
              <w:t>Hard-stop at W14: avoids parallel-system drift.</w:t>
            </w:r>
          </w:p>
          <w:p>
            <w:r>
              <w:rPr>
                <w:rFonts w:ascii="Arial" w:hAnsi="Arial"/>
                <w:sz w:val="18"/>
              </w:rPr>
              <w:t>30-day review (W16) reopens the FMEA + KPI baseline.</w:t>
            </w:r>
          </w:p>
          <w:p>
            <w:r>
              <w:rPr>
                <w:rFonts w:ascii="Arial" w:hAnsi="Arial"/>
                <w:sz w:val="18"/>
              </w:rPr>
              <w:t>Companion files: Diagnostic.xlsx · Process_Maps.html · Diagnostic_Report.docx</w:t>
            </w:r>
          </w:p>
        </w:tc>
      </w:tr>
    </w:tbl>
    <w:sectPr w:rsidR="00FC693F" w:rsidRPr="0006063C" w:rsidSect="00034616">
      <w:pgSz w:w="23811" w:h="16838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