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F3864"/>
          <w:sz w:val="44"/>
        </w:rPr>
        <w:t>AL LAITH SITE SERVICES</w:t>
      </w:r>
    </w:p>
    <w:p>
      <w:r>
        <w:rPr>
          <w:rFonts w:ascii="Arial" w:hAnsi="Arial"/>
          <w:b/>
          <w:color w:val="1F3864"/>
          <w:sz w:val="32"/>
        </w:rPr>
        <w:t>Workshop Stock Control</w:t>
      </w:r>
    </w:p>
    <w:p>
      <w:r>
        <w:rPr>
          <w:rFonts w:ascii="Arial" w:hAnsi="Arial"/>
          <w:b w:val="0"/>
          <w:i/>
          <w:color w:val="555555"/>
          <w:sz w:val="21"/>
        </w:rPr>
        <w:t>COEEx OS — Full-System Operational Diagnosis (21-step)</w:t>
      </w:r>
    </w:p>
    <w:p>
      <w:r>
        <w:rPr>
          <w:rFonts w:ascii="Arial" w:hAnsi="Arial"/>
          <w:b w:val="0"/>
          <w:i w:val="0"/>
          <w:color w:val="555555"/>
          <w:sz w:val="21"/>
        </w:rPr>
        <w:t>Owner: Calo (Site Services Ops) · Sponsor: Vincent Nibbering · Sign-off: John Maddern</w:t>
      </w:r>
    </w:p>
    <w:p>
      <w:r>
        <w:rPr>
          <w:rFonts w:ascii="Arial" w:hAnsi="Arial"/>
          <w:b w:val="0"/>
          <w:i/>
          <w:color w:val="8B949E"/>
          <w:sz w:val="21"/>
        </w:rPr>
        <w:t>Generated: 26 May 2026 · Inputs: PRD v1.1, SOPs v1.0, Process Doc v1.2, Milestone Tracker 5/13/26</w:t>
      </w:r>
    </w:p>
    <w:p>
      <w:pPr>
        <w:pBdr>
          <w:bottom w:val="single" w:sz="8" w:color="BFBFBF"/>
        </w:pBdr>
      </w:pPr>
    </w:p>
    <w:p>
      <w:r>
        <w:rPr>
          <w:rFonts w:ascii="Arial" w:hAnsi="Arial"/>
          <w:b w:val="0"/>
          <w:i/>
          <w:sz w:val="21"/>
        </w:rPr>
        <w:t>This report runs the full 21-step COEEx OS diagnostic on the Workshop Stock Control project. It treats the existing PRD/SOPs/Process docs as ground truth, then layers an operational-excellence lens: waste, bottlenecks, root causes, throughput economics, FMEA, and an embedded time-and-motion measurement architecture that lives inside the AppSheet build (no clipboard, no overhead).</w:t>
      </w:r>
    </w:p>
    <w:p>
      <w:r>
        <w:rPr>
          <w:rFonts w:ascii="Arial" w:hAnsi="Arial"/>
          <w:b/>
          <w:i w:val="0"/>
          <w:sz w:val="21"/>
        </w:rPr>
        <w:t>Companion files:</w:t>
      </w:r>
    </w:p>
    <w:p>
      <w:pPr>
        <w:pStyle w:val="ListBullet"/>
        <w:ind w:left="340"/>
      </w:pPr>
      <w:r>
        <w:rPr>
          <w:rFonts w:ascii="Arial" w:hAnsi="Arial"/>
          <w:sz w:val="21"/>
        </w:rPr>
        <w:t>Workshop_Stock_FullSystem_Diagnostic.xlsx — KPI scorecard, FMEA, throughput economics, capacity model, decision matrix, waste Pareto, time-motion design, control plan, implementation plan</w:t>
      </w:r>
    </w:p>
    <w:p>
      <w:pPr>
        <w:pStyle w:val="ListBullet"/>
        <w:ind w:left="340"/>
      </w:pPr>
      <w:r>
        <w:rPr>
          <w:rFonts w:ascii="Arial" w:hAnsi="Arial"/>
          <w:sz w:val="21"/>
        </w:rPr>
        <w:t>Workshop_Stock_Process_Maps.html — current-state VSM, fishbone, future-state VSM, time-motion overlay, sample spaghetti diagram</w:t>
      </w:r>
    </w:p>
    <w:p>
      <w:pPr>
        <w:pStyle w:val="ListBullet"/>
        <w:ind w:left="340"/>
      </w:pPr>
      <w:r>
        <w:rPr>
          <w:rFonts w:ascii="Arial" w:hAnsi="Arial"/>
          <w:sz w:val="21"/>
        </w:rPr>
        <w:t>Workshop_Stock_Exec_OnePager.docx — A3 summary for Vincent / John</w:t>
      </w:r>
    </w:p>
    <w:p>
      <w:r>
        <w:br w:type="page"/>
      </w:r>
    </w:p>
    <w:p>
      <w:r>
        <w:rPr>
          <w:rFonts w:ascii="Arial" w:hAnsi="Arial"/>
          <w:b/>
          <w:color w:val="1F3864"/>
          <w:sz w:val="32"/>
        </w:rPr>
        <w:t>Steps 1–6 · Scope, Objective, Data, Constraints, Skills, Tools</w:t>
      </w:r>
    </w:p>
    <w:p>
      <w:r>
        <w:rPr>
          <w:rFonts w:ascii="Arial" w:hAnsi="Arial"/>
          <w:b/>
          <w:color w:val="2E74B5"/>
          <w:sz w:val="26"/>
        </w:rPr>
        <w:t>Step 1 — Observation (mental Gemba walk)</w:t>
      </w:r>
    </w:p>
    <w:p>
      <w:r>
        <w:rPr>
          <w:rFonts w:ascii="Arial" w:hAnsi="Arial"/>
          <w:b w:val="0"/>
          <w:i w:val="0"/>
          <w:sz w:val="21"/>
        </w:rPr>
        <w:t>Workshop sits adjacent to a 500+ asset yard (cabins, ablution units, golf buggies, utility vehicles, flatpacks). Pre-launch the workshop store has no access controls, no transactional record, and no automated link to the e-Resource ERP. Field workers ad-hoc walk to the workshop, ask the Stock Controller (Calo, single person) verbally, take parts, return to their job. e-Resource is updated end-of-day by Calo in a 30–45 minute manual batch when issuances exceed twenty. Two inspectors (Calo, Thakur) are PDI-ing every asset in parallel — generating the parts-demand list that will populate the catalog and the reorder thresholds. The AppSheet app build (10–12 weeks, DX Team) has not started because the ERP integration approach (Q1) is unresolved. Pre-launch programme is live: Phase A (asset clearout) and Phase B (yard PDI) are in progress; Phases C–F and labeling are early/pending; Calo is the only person on the critical path for most pre-launch tasks.</w:t>
      </w:r>
    </w:p>
    <w:p>
      <w:r>
        <w:rPr>
          <w:rFonts w:ascii="Arial" w:hAnsi="Arial"/>
          <w:b/>
          <w:color w:val="2E74B5"/>
          <w:sz w:val="26"/>
        </w:rPr>
        <w:t>Step 2 — Objective (SMART)</w:t>
      </w:r>
    </w:p>
    <w:p>
      <w:r>
        <w:rPr>
          <w:rFonts w:ascii="Arial" w:hAnsi="Arial"/>
          <w:b w:val="0"/>
          <w:i w:val="0"/>
          <w:sz w:val="21"/>
        </w:rPr>
        <w:t>By 1 September 2026 (Week 14 from project start), Al Laith Site Services will operate a closed-loop digital workshop stock system in which (a) 100% of issued parts are logged in real time with worker, asset, job and timestamp; (b) e-Resource inventory updates within 60 seconds of each issuance with ≥ 99.5% sync success; (c) median request cycle time ≤ 30 min and P95 ≤ 60 min; (d) inventory accuracy ≥ 95% at first monthly count; (e) low-stock alerts trigger before 100% of stockouts; (f) field-worker training to competency ≤ 15 minutes — supported by an embedded time-and-motion measurement layer that quantifies pre-vs-post productivity for management sign-off.</w:t>
      </w:r>
    </w:p>
    <w:p>
      <w:r>
        <w:rPr>
          <w:rFonts w:ascii="Arial" w:hAnsi="Arial"/>
          <w:b/>
          <w:color w:val="2E74B5"/>
          <w:sz w:val="26"/>
        </w:rPr>
        <w:t>Step 3 — Baseline data</w:t>
      </w:r>
    </w:p>
    <w:p>
      <w:r>
        <w:rPr>
          <w:rFonts w:ascii="Arial" w:hAnsi="Arial"/>
          <w:b w:val="0"/>
          <w:i w:val="0"/>
          <w:sz w:val="21"/>
        </w:rPr>
        <w:t>See Baseline tab of the diagnostic workbook for full table. Highlights:</w:t>
      </w:r>
    </w:p>
    <w:tbl>
      <w:tblPr>
        <w:tblStyle w:val="LightGrid-Accent1"/>
        <w:tblW w:type="auto" w:w="0"/>
        <w:tblLook w:firstColumn="1" w:firstRow="1" w:lastColumn="0" w:lastRow="0" w:noHBand="0" w:noVBand="1" w:val="04A0"/>
      </w:tblPr>
      <w:tblGrid>
        <w:gridCol w:w="2493"/>
        <w:gridCol w:w="2493"/>
        <w:gridCol w:w="2493"/>
        <w:gridCol w:w="2493"/>
      </w:tblGrid>
      <w:tr>
        <w:tc>
          <w:tcPr>
            <w:tcW w:type="dxa" w:w="3118"/>
            <w:shd w:val="clear" w:color="auto" w:fill="1F3864"/>
            <w:vAlign w:val="center"/>
          </w:tcPr>
          <w:p>
            <w:r/>
            <w:r>
              <w:rPr>
                <w:rFonts w:ascii="Arial" w:hAnsi="Arial"/>
                <w:b/>
                <w:color w:val="FFFFFF"/>
                <w:sz w:val="20"/>
              </w:rPr>
              <w:t>Metric</w:t>
            </w:r>
          </w:p>
        </w:tc>
        <w:tc>
          <w:tcPr>
            <w:tcW w:type="dxa" w:w="1984"/>
            <w:shd w:val="clear" w:color="auto" w:fill="1F3864"/>
            <w:vAlign w:val="center"/>
          </w:tcPr>
          <w:p>
            <w:r/>
            <w:r>
              <w:rPr>
                <w:rFonts w:ascii="Arial" w:hAnsi="Arial"/>
                <w:b/>
                <w:color w:val="FFFFFF"/>
                <w:sz w:val="20"/>
              </w:rPr>
              <w:t>Pre-launch</w:t>
            </w:r>
          </w:p>
        </w:tc>
        <w:tc>
          <w:tcPr>
            <w:tcW w:type="dxa" w:w="1984"/>
            <w:shd w:val="clear" w:color="auto" w:fill="1F3864"/>
            <w:vAlign w:val="center"/>
          </w:tcPr>
          <w:p>
            <w:r/>
            <w:r>
              <w:rPr>
                <w:rFonts w:ascii="Arial" w:hAnsi="Arial"/>
                <w:b/>
                <w:color w:val="FFFFFF"/>
                <w:sz w:val="20"/>
              </w:rPr>
              <w:t>Target post-launch</w:t>
            </w:r>
          </w:p>
        </w:tc>
        <w:tc>
          <w:tcPr>
            <w:tcW w:type="dxa" w:w="1984"/>
            <w:shd w:val="clear" w:color="auto" w:fill="1F3864"/>
            <w:vAlign w:val="center"/>
          </w:tcPr>
          <w:p>
            <w:r/>
            <w:r>
              <w:rPr>
                <w:rFonts w:ascii="Arial" w:hAnsi="Arial"/>
                <w:b/>
                <w:color w:val="FFFFFF"/>
                <w:sz w:val="20"/>
              </w:rPr>
              <w:t>Source</w:t>
            </w:r>
          </w:p>
        </w:tc>
      </w:tr>
      <w:tr>
        <w:tc>
          <w:tcPr>
            <w:tcW w:type="dxa" w:w="3118"/>
            <w:vAlign w:val="top"/>
          </w:tcPr>
          <w:p>
            <w:r/>
            <w:r>
              <w:rPr>
                <w:rFonts w:ascii="Arial" w:hAnsi="Arial"/>
                <w:sz w:val="19"/>
              </w:rPr>
              <w:t>Parts issued with no digital record</w:t>
            </w:r>
          </w:p>
        </w:tc>
        <w:tc>
          <w:tcPr>
            <w:tcW w:type="dxa" w:w="1984"/>
            <w:vAlign w:val="top"/>
          </w:tcPr>
          <w:p>
            <w:r/>
            <w:r>
              <w:rPr>
                <w:rFonts w:ascii="Arial" w:hAnsi="Arial"/>
                <w:sz w:val="19"/>
              </w:rPr>
              <w:t>100%</w:t>
            </w:r>
          </w:p>
        </w:tc>
        <w:tc>
          <w:tcPr>
            <w:tcW w:type="dxa" w:w="1984"/>
            <w:vAlign w:val="top"/>
          </w:tcPr>
          <w:p>
            <w:r/>
            <w:r>
              <w:rPr>
                <w:rFonts w:ascii="Arial" w:hAnsi="Arial"/>
                <w:sz w:val="19"/>
              </w:rPr>
              <w:t>0%</w:t>
            </w:r>
          </w:p>
        </w:tc>
        <w:tc>
          <w:tcPr>
            <w:tcW w:type="dxa" w:w="1984"/>
            <w:vAlign w:val="top"/>
          </w:tcPr>
          <w:p>
            <w:r/>
            <w:r>
              <w:rPr>
                <w:rFonts w:ascii="Arial" w:hAnsi="Arial"/>
                <w:sz w:val="19"/>
              </w:rPr>
              <w:t>PRD §17</w:t>
            </w:r>
          </w:p>
        </w:tc>
      </w:tr>
      <w:tr>
        <w:tc>
          <w:tcPr>
            <w:tcW w:type="dxa" w:w="3118"/>
            <w:vAlign w:val="top"/>
          </w:tcPr>
          <w:p>
            <w:r/>
            <w:r>
              <w:rPr>
                <w:rFonts w:ascii="Arial" w:hAnsi="Arial"/>
                <w:sz w:val="19"/>
              </w:rPr>
              <w:t>Time: request → SC notified</w:t>
            </w:r>
          </w:p>
        </w:tc>
        <w:tc>
          <w:tcPr>
            <w:tcW w:type="dxa" w:w="1984"/>
            <w:vAlign w:val="top"/>
          </w:tcPr>
          <w:p>
            <w:r/>
            <w:r>
              <w:rPr>
                <w:rFonts w:ascii="Arial" w:hAnsi="Arial"/>
                <w:sz w:val="19"/>
              </w:rPr>
              <w:t>N/A (verbal)</w:t>
            </w:r>
          </w:p>
        </w:tc>
        <w:tc>
          <w:tcPr>
            <w:tcW w:type="dxa" w:w="1984"/>
            <w:vAlign w:val="top"/>
          </w:tcPr>
          <w:p>
            <w:r/>
            <w:r>
              <w:rPr>
                <w:rFonts w:ascii="Arial" w:hAnsi="Arial"/>
                <w:sz w:val="19"/>
              </w:rPr>
              <w:t>&lt; 2 min</w:t>
            </w:r>
          </w:p>
        </w:tc>
        <w:tc>
          <w:tcPr>
            <w:tcW w:type="dxa" w:w="1984"/>
            <w:vAlign w:val="top"/>
          </w:tcPr>
          <w:p>
            <w:r/>
            <w:r>
              <w:rPr>
                <w:rFonts w:ascii="Arial" w:hAnsi="Arial"/>
                <w:sz w:val="19"/>
              </w:rPr>
              <w:t>PRD §17</w:t>
            </w:r>
          </w:p>
        </w:tc>
      </w:tr>
      <w:tr>
        <w:tc>
          <w:tcPr>
            <w:tcW w:type="dxa" w:w="3118"/>
            <w:vAlign w:val="top"/>
          </w:tcPr>
          <w:p>
            <w:r/>
            <w:r>
              <w:rPr>
                <w:rFonts w:ascii="Arial" w:hAnsi="Arial"/>
                <w:sz w:val="19"/>
              </w:rPr>
              <w:t>Manual ERP batch time/day @20+</w:t>
            </w:r>
          </w:p>
        </w:tc>
        <w:tc>
          <w:tcPr>
            <w:tcW w:type="dxa" w:w="1984"/>
            <w:vAlign w:val="top"/>
          </w:tcPr>
          <w:p>
            <w:r/>
            <w:r>
              <w:rPr>
                <w:rFonts w:ascii="Arial" w:hAnsi="Arial"/>
                <w:sz w:val="19"/>
              </w:rPr>
              <w:t>30–45 min</w:t>
            </w:r>
          </w:p>
        </w:tc>
        <w:tc>
          <w:tcPr>
            <w:tcW w:type="dxa" w:w="1984"/>
            <w:vAlign w:val="top"/>
          </w:tcPr>
          <w:p>
            <w:r/>
            <w:r>
              <w:rPr>
                <w:rFonts w:ascii="Arial" w:hAnsi="Arial"/>
                <w:sz w:val="19"/>
              </w:rPr>
              <w:t>0</w:t>
            </w:r>
          </w:p>
        </w:tc>
        <w:tc>
          <w:tcPr>
            <w:tcW w:type="dxa" w:w="1984"/>
            <w:vAlign w:val="top"/>
          </w:tcPr>
          <w:p>
            <w:r/>
            <w:r>
              <w:rPr>
                <w:rFonts w:ascii="Arial" w:hAnsi="Arial"/>
                <w:sz w:val="19"/>
              </w:rPr>
              <w:t>Process Doc</w:t>
            </w:r>
          </w:p>
        </w:tc>
      </w:tr>
      <w:tr>
        <w:tc>
          <w:tcPr>
            <w:tcW w:type="dxa" w:w="3118"/>
            <w:vAlign w:val="top"/>
          </w:tcPr>
          <w:p>
            <w:r/>
            <w:r>
              <w:rPr>
                <w:rFonts w:ascii="Arial" w:hAnsi="Arial"/>
                <w:sz w:val="19"/>
              </w:rPr>
              <w:t>ERP auto-update</w:t>
            </w:r>
          </w:p>
        </w:tc>
        <w:tc>
          <w:tcPr>
            <w:tcW w:type="dxa" w:w="1984"/>
            <w:vAlign w:val="top"/>
          </w:tcPr>
          <w:p>
            <w:r/>
            <w:r>
              <w:rPr>
                <w:rFonts w:ascii="Arial" w:hAnsi="Arial"/>
                <w:sz w:val="19"/>
              </w:rPr>
              <w:t>0%</w:t>
            </w:r>
          </w:p>
        </w:tc>
        <w:tc>
          <w:tcPr>
            <w:tcW w:type="dxa" w:w="1984"/>
            <w:vAlign w:val="top"/>
          </w:tcPr>
          <w:p>
            <w:r/>
            <w:r>
              <w:rPr>
                <w:rFonts w:ascii="Arial" w:hAnsi="Arial"/>
                <w:sz w:val="19"/>
              </w:rPr>
              <w:t>100%</w:t>
            </w:r>
          </w:p>
        </w:tc>
        <w:tc>
          <w:tcPr>
            <w:tcW w:type="dxa" w:w="1984"/>
            <w:vAlign w:val="top"/>
          </w:tcPr>
          <w:p>
            <w:r/>
            <w:r>
              <w:rPr>
                <w:rFonts w:ascii="Arial" w:hAnsi="Arial"/>
                <w:sz w:val="19"/>
              </w:rPr>
              <w:t>PRD §17</w:t>
            </w:r>
          </w:p>
        </w:tc>
      </w:tr>
      <w:tr>
        <w:tc>
          <w:tcPr>
            <w:tcW w:type="dxa" w:w="3118"/>
            <w:vAlign w:val="top"/>
          </w:tcPr>
          <w:p>
            <w:r/>
            <w:r>
              <w:rPr>
                <w:rFonts w:ascii="Arial" w:hAnsi="Arial"/>
                <w:sz w:val="19"/>
              </w:rPr>
              <w:t>Low-stock alerts before stockout</w:t>
            </w:r>
          </w:p>
        </w:tc>
        <w:tc>
          <w:tcPr>
            <w:tcW w:type="dxa" w:w="1984"/>
            <w:vAlign w:val="top"/>
          </w:tcPr>
          <w:p>
            <w:r/>
            <w:r>
              <w:rPr>
                <w:rFonts w:ascii="Arial" w:hAnsi="Arial"/>
                <w:sz w:val="19"/>
              </w:rPr>
              <w:t>0% (no monitoring)</w:t>
            </w:r>
          </w:p>
        </w:tc>
        <w:tc>
          <w:tcPr>
            <w:tcW w:type="dxa" w:w="1984"/>
            <w:vAlign w:val="top"/>
          </w:tcPr>
          <w:p>
            <w:r/>
            <w:r>
              <w:rPr>
                <w:rFonts w:ascii="Arial" w:hAnsi="Arial"/>
                <w:sz w:val="19"/>
              </w:rPr>
              <w:t>100%</w:t>
            </w:r>
          </w:p>
        </w:tc>
        <w:tc>
          <w:tcPr>
            <w:tcW w:type="dxa" w:w="1984"/>
            <w:vAlign w:val="top"/>
          </w:tcPr>
          <w:p>
            <w:r/>
            <w:r>
              <w:rPr>
                <w:rFonts w:ascii="Arial" w:hAnsi="Arial"/>
                <w:sz w:val="19"/>
              </w:rPr>
              <w:t>PRD §17</w:t>
            </w:r>
          </w:p>
        </w:tc>
      </w:tr>
      <w:tr>
        <w:tc>
          <w:tcPr>
            <w:tcW w:type="dxa" w:w="3118"/>
            <w:vAlign w:val="top"/>
          </w:tcPr>
          <w:p>
            <w:r/>
            <w:r>
              <w:rPr>
                <w:rFonts w:ascii="Arial" w:hAnsi="Arial"/>
                <w:sz w:val="19"/>
              </w:rPr>
              <w:t>Stock Controller headcount</w:t>
            </w:r>
          </w:p>
        </w:tc>
        <w:tc>
          <w:tcPr>
            <w:tcW w:type="dxa" w:w="1984"/>
            <w:vAlign w:val="top"/>
          </w:tcPr>
          <w:p>
            <w:r/>
            <w:r>
              <w:rPr>
                <w:rFonts w:ascii="Arial" w:hAnsi="Arial"/>
                <w:sz w:val="19"/>
              </w:rPr>
              <w:t>1</w:t>
            </w:r>
          </w:p>
        </w:tc>
        <w:tc>
          <w:tcPr>
            <w:tcW w:type="dxa" w:w="1984"/>
            <w:vAlign w:val="top"/>
          </w:tcPr>
          <w:p>
            <w:r/>
            <w:r>
              <w:rPr>
                <w:rFonts w:ascii="Arial" w:hAnsi="Arial"/>
                <w:sz w:val="19"/>
              </w:rPr>
              <w:t>1 (+1 cross-trained backup)</w:t>
            </w:r>
          </w:p>
        </w:tc>
        <w:tc>
          <w:tcPr>
            <w:tcW w:type="dxa" w:w="1984"/>
            <w:vAlign w:val="top"/>
          </w:tcPr>
          <w:p>
            <w:r/>
            <w:r>
              <w:rPr>
                <w:rFonts w:ascii="Arial" w:hAnsi="Arial"/>
                <w:sz w:val="19"/>
              </w:rPr>
              <w:t>SOPs</w:t>
            </w:r>
          </w:p>
        </w:tc>
      </w:tr>
      <w:tr>
        <w:tc>
          <w:tcPr>
            <w:tcW w:type="dxa" w:w="3118"/>
            <w:vAlign w:val="top"/>
          </w:tcPr>
          <w:p>
            <w:r/>
            <w:r>
              <w:rPr>
                <w:rFonts w:ascii="Arial" w:hAnsi="Arial"/>
                <w:sz w:val="19"/>
              </w:rPr>
              <w:t>Catalog SKUs</w:t>
            </w:r>
          </w:p>
        </w:tc>
        <w:tc>
          <w:tcPr>
            <w:tcW w:type="dxa" w:w="1984"/>
            <w:vAlign w:val="top"/>
          </w:tcPr>
          <w:p>
            <w:r/>
            <w:r>
              <w:rPr>
                <w:rFonts w:ascii="Arial" w:hAnsi="Arial"/>
                <w:sz w:val="19"/>
              </w:rPr>
              <w:t>Unknown</w:t>
            </w:r>
          </w:p>
        </w:tc>
        <w:tc>
          <w:tcPr>
            <w:tcW w:type="dxa" w:w="1984"/>
            <w:vAlign w:val="top"/>
          </w:tcPr>
          <w:p>
            <w:r/>
            <w:r>
              <w:rPr>
                <w:rFonts w:ascii="Arial" w:hAnsi="Arial"/>
                <w:sz w:val="19"/>
              </w:rPr>
              <w:t>100–500 with photos</w:t>
            </w:r>
          </w:p>
        </w:tc>
        <w:tc>
          <w:tcPr>
            <w:tcW w:type="dxa" w:w="1984"/>
            <w:vAlign w:val="top"/>
          </w:tcPr>
          <w:p>
            <w:r/>
            <w:r>
              <w:rPr>
                <w:rFonts w:ascii="Arial" w:hAnsi="Arial"/>
                <w:sz w:val="19"/>
              </w:rPr>
              <w:t>Process §C</w:t>
            </w:r>
          </w:p>
        </w:tc>
      </w:tr>
      <w:tr>
        <w:tc>
          <w:tcPr>
            <w:tcW w:type="dxa" w:w="3118"/>
            <w:vAlign w:val="top"/>
          </w:tcPr>
          <w:p>
            <w:r/>
            <w:r>
              <w:rPr>
                <w:rFonts w:ascii="Arial" w:hAnsi="Arial"/>
                <w:sz w:val="19"/>
              </w:rPr>
              <w:t>Pre-launch programme duration</w:t>
            </w:r>
          </w:p>
        </w:tc>
        <w:tc>
          <w:tcPr>
            <w:tcW w:type="dxa" w:w="1984"/>
            <w:vAlign w:val="top"/>
          </w:tcPr>
          <w:p>
            <w:r/>
            <w:r>
              <w:rPr>
                <w:rFonts w:ascii="Arial" w:hAnsi="Arial"/>
                <w:sz w:val="19"/>
              </w:rPr>
              <w:t>—</w:t>
            </w:r>
          </w:p>
        </w:tc>
        <w:tc>
          <w:tcPr>
            <w:tcW w:type="dxa" w:w="1984"/>
            <w:vAlign w:val="top"/>
          </w:tcPr>
          <w:p>
            <w:r/>
            <w:r>
              <w:rPr>
                <w:rFonts w:ascii="Arial" w:hAnsi="Arial"/>
                <w:sz w:val="19"/>
              </w:rPr>
              <w:t>8–12 wks</w:t>
            </w:r>
          </w:p>
        </w:tc>
        <w:tc>
          <w:tcPr>
            <w:tcW w:type="dxa" w:w="1984"/>
            <w:vAlign w:val="top"/>
          </w:tcPr>
          <w:p>
            <w:r/>
            <w:r>
              <w:rPr>
                <w:rFonts w:ascii="Arial" w:hAnsi="Arial"/>
                <w:sz w:val="19"/>
              </w:rPr>
              <w:t>Tracker</w:t>
            </w:r>
          </w:p>
        </w:tc>
      </w:tr>
      <w:tr>
        <w:tc>
          <w:tcPr>
            <w:tcW w:type="dxa" w:w="3118"/>
            <w:vAlign w:val="top"/>
          </w:tcPr>
          <w:p>
            <w:r/>
            <w:r>
              <w:rPr>
                <w:rFonts w:ascii="Arial" w:hAnsi="Arial"/>
                <w:sz w:val="19"/>
              </w:rPr>
              <w:t>App build duration</w:t>
            </w:r>
          </w:p>
        </w:tc>
        <w:tc>
          <w:tcPr>
            <w:tcW w:type="dxa" w:w="1984"/>
            <w:vAlign w:val="top"/>
          </w:tcPr>
          <w:p>
            <w:r/>
            <w:r>
              <w:rPr>
                <w:rFonts w:ascii="Arial" w:hAnsi="Arial"/>
                <w:sz w:val="19"/>
              </w:rPr>
              <w:t>—</w:t>
            </w:r>
          </w:p>
        </w:tc>
        <w:tc>
          <w:tcPr>
            <w:tcW w:type="dxa" w:w="1984"/>
            <w:vAlign w:val="top"/>
          </w:tcPr>
          <w:p>
            <w:r/>
            <w:r>
              <w:rPr>
                <w:rFonts w:ascii="Arial" w:hAnsi="Arial"/>
                <w:sz w:val="19"/>
              </w:rPr>
              <w:t>10–12 wks</w:t>
            </w:r>
          </w:p>
        </w:tc>
        <w:tc>
          <w:tcPr>
            <w:tcW w:type="dxa" w:w="1984"/>
            <w:vAlign w:val="top"/>
          </w:tcPr>
          <w:p>
            <w:r/>
            <w:r>
              <w:rPr>
                <w:rFonts w:ascii="Arial" w:hAnsi="Arial"/>
                <w:sz w:val="19"/>
              </w:rPr>
              <w:t>PRD §12</w:t>
            </w:r>
          </w:p>
        </w:tc>
      </w:tr>
    </w:tbl>
    <w:p>
      <w:r>
        <w:rPr>
          <w:rFonts w:ascii="Arial" w:hAnsi="Arial"/>
          <w:b/>
          <w:color w:val="2E74B5"/>
          <w:sz w:val="26"/>
        </w:rPr>
        <w:t>Step 4 — Constraints</w:t>
      </w:r>
    </w:p>
    <w:p>
      <w:r>
        <w:rPr>
          <w:rFonts w:ascii="Arial" w:hAnsi="Arial"/>
          <w:b w:val="0"/>
          <w:i w:val="0"/>
          <w:sz w:val="21"/>
        </w:rPr>
        <w:t>Mapped on the future-state diagram (Process Maps file, §3). Three binding constraints stand out:</w:t>
      </w:r>
    </w:p>
    <w:p>
      <w:pPr>
        <w:pStyle w:val="ListBullet"/>
        <w:ind w:left="340"/>
      </w:pPr>
      <w:r>
        <w:rPr>
          <w:rFonts w:ascii="Arial" w:hAnsi="Arial"/>
          <w:sz w:val="21"/>
        </w:rPr>
        <w:t>C1 — Stock Controller capacity. A single Calo is on the critical path for inspection, cataloguing, photography, labelling, app UAT, ERP coordination AND day-to-day SC duties. M/M/1 model on the Capacity sheet shows the workshop becomes unstable above ~32 requests/day at 12-minute service time.</w:t>
      </w:r>
    </w:p>
    <w:p>
      <w:pPr>
        <w:pStyle w:val="ListBullet"/>
        <w:ind w:left="340"/>
      </w:pPr>
      <w:r>
        <w:rPr>
          <w:rFonts w:ascii="Arial" w:hAnsi="Arial"/>
          <w:sz w:val="21"/>
        </w:rPr>
        <w:t>C2 — ERP integration decision (Q1). The PRD itself instructs 'Do not start the DX build until Q1 is resolved.' Every downstream day until this is settled compounds against the 10–12 wk build window.</w:t>
      </w:r>
    </w:p>
    <w:p>
      <w:pPr>
        <w:pStyle w:val="ListBullet"/>
        <w:ind w:left="340"/>
      </w:pPr>
      <w:r>
        <w:rPr>
          <w:rFonts w:ascii="Arial" w:hAnsi="Arial"/>
          <w:sz w:val="21"/>
        </w:rPr>
        <w:t>C3 — Catalog data quality. Wrong item codes at import would silently corrupt every subsequent ERP write. Cataloguing is single-person manual today.</w:t>
      </w:r>
    </w:p>
    <w:p>
      <w:r>
        <w:rPr>
          <w:rFonts w:ascii="Arial" w:hAnsi="Arial"/>
          <w:b/>
          <w:color w:val="2E74B5"/>
          <w:sz w:val="26"/>
        </w:rPr>
        <w:t>Step 5 — Skill manifest (COEEx OS skills invoked)</w:t>
      </w:r>
    </w:p>
    <w:p>
      <w:pPr>
        <w:pStyle w:val="ListBullet"/>
        <w:ind w:left="340"/>
      </w:pPr>
      <w:r>
        <w:rPr>
          <w:rFonts w:ascii="Arial" w:hAnsi="Arial"/>
          <w:sz w:val="21"/>
        </w:rPr>
        <w:t>diagnostics/operational-diagnosis-protocol · tools/tool-selection-protocol</w:t>
      </w:r>
    </w:p>
    <w:p>
      <w:pPr>
        <w:pStyle w:val="ListBullet"/>
        <w:ind w:left="340"/>
      </w:pPr>
      <w:r>
        <w:rPr>
          <w:rFonts w:ascii="Arial" w:hAnsi="Arial"/>
          <w:sz w:val="21"/>
        </w:rPr>
        <w:t>gemba-walk · smart-goals · demand-analysis · kpi-dashboard</w:t>
      </w:r>
    </w:p>
    <w:p>
      <w:pPr>
        <w:pStyle w:val="ListBullet"/>
        <w:ind w:left="340"/>
      </w:pPr>
      <w:r>
        <w:rPr>
          <w:rFonts w:ascii="Arial" w:hAnsi="Arial"/>
          <w:sz w:val="21"/>
        </w:rPr>
        <w:t>theory-of-constraints · bottleneck-analysis · queueing-theory-littles-law</w:t>
      </w:r>
    </w:p>
    <w:p>
      <w:pPr>
        <w:pStyle w:val="ListBullet"/>
        <w:ind w:left="340"/>
      </w:pPr>
      <w:r>
        <w:rPr>
          <w:rFonts w:ascii="Arial" w:hAnsi="Arial"/>
          <w:sz w:val="21"/>
        </w:rPr>
        <w:t>value-stream-mapping · process-mapping · timwoods-waste-identification</w:t>
      </w:r>
    </w:p>
    <w:p>
      <w:pPr>
        <w:pStyle w:val="ListBullet"/>
        <w:ind w:left="340"/>
      </w:pPr>
      <w:r>
        <w:rPr>
          <w:rFonts w:ascii="Arial" w:hAnsi="Arial"/>
          <w:sz w:val="21"/>
        </w:rPr>
        <w:t>root-cause-5-whys · fishbone-ishikawa · human-factors-analysis · respect-for-people-principle</w:t>
      </w:r>
    </w:p>
    <w:p>
      <w:pPr>
        <w:pStyle w:val="ListBullet"/>
        <w:ind w:left="340"/>
      </w:pPr>
      <w:r>
        <w:rPr>
          <w:rFonts w:ascii="Arial" w:hAnsi="Arial"/>
          <w:sz w:val="21"/>
        </w:rPr>
        <w:t>economic-throughput-accounting · decision-theory · risk-assessment · fmea</w:t>
      </w:r>
    </w:p>
    <w:p>
      <w:pPr>
        <w:pStyle w:val="ListBullet"/>
        <w:ind w:left="340"/>
      </w:pPr>
      <w:r>
        <w:rPr>
          <w:rFonts w:ascii="Arial" w:hAnsi="Arial"/>
          <w:sz w:val="21"/>
        </w:rPr>
        <w:t>sop-generator-tool-aware · figma-component-library (rendered as SVG) · gsheets-tool-intel (rendered as XLSX)</w:t>
      </w:r>
    </w:p>
    <w:p>
      <w:pPr>
        <w:pStyle w:val="ListBullet"/>
        <w:ind w:left="340"/>
      </w:pPr>
      <w:r>
        <w:rPr>
          <w:rFonts w:ascii="Arial" w:hAnsi="Arial"/>
          <w:sz w:val="21"/>
        </w:rPr>
        <w:t>kpi-builder-tool-aware · automation-opportunity-analysis · kotter-8-steps · adkar · project-charter</w:t>
      </w:r>
    </w:p>
    <w:p>
      <w:pPr>
        <w:pStyle w:val="ListBullet"/>
        <w:ind w:left="340"/>
      </w:pPr>
      <w:r>
        <w:rPr>
          <w:rFonts w:ascii="Arial" w:hAnsi="Arial"/>
          <w:sz w:val="21"/>
        </w:rPr>
        <w:t>control-plan · operational-scorecard · executive-report-tool-aware · a3-problem-solving</w:t>
      </w:r>
    </w:p>
    <w:p>
      <w:r>
        <w:rPr>
          <w:rFonts w:ascii="Arial" w:hAnsi="Arial"/>
          <w:b/>
          <w:color w:val="2E74B5"/>
          <w:sz w:val="26"/>
        </w:rPr>
        <w:t>Step 6 — Tool assignment per deliverable</w:t>
      </w:r>
    </w:p>
    <w:tbl>
      <w:tblPr>
        <w:tblStyle w:val="LightGrid-Accent1"/>
        <w:tblW w:type="auto" w:w="0"/>
        <w:tblLook w:firstColumn="1" w:firstRow="1" w:lastColumn="0" w:lastRow="0" w:noHBand="0" w:noVBand="1" w:val="04A0"/>
      </w:tblPr>
      <w:tblGrid>
        <w:gridCol w:w="3324"/>
        <w:gridCol w:w="3324"/>
        <w:gridCol w:w="3324"/>
      </w:tblGrid>
      <w:tr>
        <w:tc>
          <w:tcPr>
            <w:tcW w:type="dxa" w:w="4819"/>
            <w:shd w:val="clear" w:color="auto" w:fill="1F3864"/>
            <w:vAlign w:val="center"/>
          </w:tcPr>
          <w:p>
            <w:r/>
            <w:r>
              <w:rPr>
                <w:rFonts w:ascii="Arial" w:hAnsi="Arial"/>
                <w:b/>
                <w:color w:val="FFFFFF"/>
                <w:sz w:val="20"/>
              </w:rPr>
              <w:t>Deliverable</w:t>
            </w:r>
          </w:p>
        </w:tc>
        <w:tc>
          <w:tcPr>
            <w:tcW w:type="dxa" w:w="1984"/>
            <w:shd w:val="clear" w:color="auto" w:fill="1F3864"/>
            <w:vAlign w:val="center"/>
          </w:tcPr>
          <w:p>
            <w:r/>
            <w:r>
              <w:rPr>
                <w:rFonts w:ascii="Arial" w:hAnsi="Arial"/>
                <w:b/>
                <w:color w:val="FFFFFF"/>
                <w:sz w:val="20"/>
              </w:rPr>
              <w:t>Tool</w:t>
            </w:r>
          </w:p>
        </w:tc>
        <w:tc>
          <w:tcPr>
            <w:tcW w:type="dxa" w:w="3118"/>
            <w:shd w:val="clear" w:color="auto" w:fill="1F3864"/>
            <w:vAlign w:val="center"/>
          </w:tcPr>
          <w:p>
            <w:r/>
            <w:r>
              <w:rPr>
                <w:rFonts w:ascii="Arial" w:hAnsi="Arial"/>
                <w:b/>
                <w:color w:val="FFFFFF"/>
                <w:sz w:val="20"/>
              </w:rPr>
              <w:t>File</w:t>
            </w:r>
          </w:p>
        </w:tc>
      </w:tr>
      <w:tr>
        <w:tc>
          <w:tcPr>
            <w:tcW w:type="dxa" w:w="4819"/>
            <w:vAlign w:val="top"/>
          </w:tcPr>
          <w:p>
            <w:r/>
            <w:r>
              <w:rPr>
                <w:rFonts w:ascii="Arial" w:hAnsi="Arial"/>
                <w:sz w:val="19"/>
              </w:rPr>
              <w:t>KPI scorecard, FMEA, capacity, decision, waste pareto, time-motion design, control plan, implementation plan</w:t>
            </w:r>
          </w:p>
        </w:tc>
        <w:tc>
          <w:tcPr>
            <w:tcW w:type="dxa" w:w="1984"/>
            <w:vAlign w:val="top"/>
          </w:tcPr>
          <w:p>
            <w:r/>
            <w:r>
              <w:rPr>
                <w:rFonts w:ascii="Arial" w:hAnsi="Arial"/>
                <w:sz w:val="19"/>
              </w:rPr>
              <w:t>Excel (xlsx)</w:t>
            </w:r>
          </w:p>
        </w:tc>
        <w:tc>
          <w:tcPr>
            <w:tcW w:type="dxa" w:w="3118"/>
            <w:vAlign w:val="top"/>
          </w:tcPr>
          <w:p>
            <w:r/>
            <w:r>
              <w:rPr>
                <w:rFonts w:ascii="Arial" w:hAnsi="Arial"/>
                <w:sz w:val="19"/>
              </w:rPr>
              <w:t>Workshop_Stock_FullSystem_Diagnostic.xlsx</w:t>
            </w:r>
          </w:p>
        </w:tc>
      </w:tr>
      <w:tr>
        <w:tc>
          <w:tcPr>
            <w:tcW w:type="dxa" w:w="4819"/>
            <w:vAlign w:val="top"/>
          </w:tcPr>
          <w:p>
            <w:r/>
            <w:r>
              <w:rPr>
                <w:rFonts w:ascii="Arial" w:hAnsi="Arial"/>
                <w:sz w:val="19"/>
              </w:rPr>
              <w:t>Current-state VSM, fishbone, future-state VSM, time-motion overlay, spaghetti diagram</w:t>
            </w:r>
          </w:p>
        </w:tc>
        <w:tc>
          <w:tcPr>
            <w:tcW w:type="dxa" w:w="1984"/>
            <w:vAlign w:val="top"/>
          </w:tcPr>
          <w:p>
            <w:r/>
            <w:r>
              <w:rPr>
                <w:rFonts w:ascii="Arial" w:hAnsi="Arial"/>
                <w:sz w:val="19"/>
              </w:rPr>
              <w:t>HTML/SVG</w:t>
            </w:r>
          </w:p>
        </w:tc>
        <w:tc>
          <w:tcPr>
            <w:tcW w:type="dxa" w:w="3118"/>
            <w:vAlign w:val="top"/>
          </w:tcPr>
          <w:p>
            <w:r/>
            <w:r>
              <w:rPr>
                <w:rFonts w:ascii="Arial" w:hAnsi="Arial"/>
                <w:sz w:val="19"/>
              </w:rPr>
              <w:t>Workshop_Stock_Process_Maps.html</w:t>
            </w:r>
          </w:p>
        </w:tc>
      </w:tr>
      <w:tr>
        <w:tc>
          <w:tcPr>
            <w:tcW w:type="dxa" w:w="4819"/>
            <w:vAlign w:val="top"/>
          </w:tcPr>
          <w:p>
            <w:r/>
            <w:r>
              <w:rPr>
                <w:rFonts w:ascii="Arial" w:hAnsi="Arial"/>
                <w:sz w:val="19"/>
              </w:rPr>
              <w:t>Full diagnostic narrative + recommendations</w:t>
            </w:r>
          </w:p>
        </w:tc>
        <w:tc>
          <w:tcPr>
            <w:tcW w:type="dxa" w:w="1984"/>
            <w:vAlign w:val="top"/>
          </w:tcPr>
          <w:p>
            <w:r/>
            <w:r>
              <w:rPr>
                <w:rFonts w:ascii="Arial" w:hAnsi="Arial"/>
                <w:sz w:val="19"/>
              </w:rPr>
              <w:t>Word (docx)</w:t>
            </w:r>
          </w:p>
        </w:tc>
        <w:tc>
          <w:tcPr>
            <w:tcW w:type="dxa" w:w="3118"/>
            <w:vAlign w:val="top"/>
          </w:tcPr>
          <w:p>
            <w:r/>
            <w:r>
              <w:rPr>
                <w:rFonts w:ascii="Arial" w:hAnsi="Arial"/>
                <w:sz w:val="19"/>
              </w:rPr>
              <w:t>this file</w:t>
            </w:r>
          </w:p>
        </w:tc>
      </w:tr>
      <w:tr>
        <w:tc>
          <w:tcPr>
            <w:tcW w:type="dxa" w:w="4819"/>
            <w:vAlign w:val="top"/>
          </w:tcPr>
          <w:p>
            <w:r/>
            <w:r>
              <w:rPr>
                <w:rFonts w:ascii="Arial" w:hAnsi="Arial"/>
                <w:sz w:val="19"/>
              </w:rPr>
              <w:t>A3 executive one-pager</w:t>
            </w:r>
          </w:p>
        </w:tc>
        <w:tc>
          <w:tcPr>
            <w:tcW w:type="dxa" w:w="1984"/>
            <w:vAlign w:val="top"/>
          </w:tcPr>
          <w:p>
            <w:r/>
            <w:r>
              <w:rPr>
                <w:rFonts w:ascii="Arial" w:hAnsi="Arial"/>
                <w:sz w:val="19"/>
              </w:rPr>
              <w:t>Word (docx)</w:t>
            </w:r>
          </w:p>
        </w:tc>
        <w:tc>
          <w:tcPr>
            <w:tcW w:type="dxa" w:w="3118"/>
            <w:vAlign w:val="top"/>
          </w:tcPr>
          <w:p>
            <w:r/>
            <w:r>
              <w:rPr>
                <w:rFonts w:ascii="Arial" w:hAnsi="Arial"/>
                <w:sz w:val="19"/>
              </w:rPr>
              <w:t>Workshop_Stock_Exec_OnePager.docx</w:t>
            </w:r>
          </w:p>
        </w:tc>
      </w:tr>
    </w:tbl>
    <w:p>
      <w:r>
        <w:rPr>
          <w:rFonts w:ascii="Arial" w:hAnsi="Arial"/>
          <w:b w:val="0"/>
          <w:i/>
          <w:color w:val="555555"/>
          <w:sz w:val="21"/>
        </w:rPr>
        <w:t>Note: production-grade tools (Google Docs, Sheets, Figma, Power BI) are listed in the protocol; this engagement delivers in offline-portable Office formats per the user's environment. All artefacts can be uploaded to Google Drive without re-formatting.</w:t>
      </w:r>
    </w:p>
    <w:p>
      <w:r>
        <w:br w:type="page"/>
      </w:r>
    </w:p>
    <w:p>
      <w:r>
        <w:rPr>
          <w:rFonts w:ascii="Arial" w:hAnsi="Arial"/>
          <w:b/>
          <w:color w:val="1F3864"/>
          <w:sz w:val="32"/>
        </w:rPr>
        <w:t>Steps 7–10 · Process Map, Waste, Bottlenecks, Root Cause</w:t>
      </w:r>
    </w:p>
    <w:p>
      <w:r>
        <w:rPr>
          <w:rFonts w:ascii="Arial" w:hAnsi="Arial"/>
          <w:b/>
          <w:color w:val="2E74B5"/>
          <w:sz w:val="26"/>
        </w:rPr>
        <w:t>Step 7 — Process map (current state)</w:t>
      </w:r>
    </w:p>
    <w:p>
      <w:r>
        <w:rPr>
          <w:rFonts w:ascii="Arial" w:hAnsi="Arial"/>
          <w:b w:val="0"/>
          <w:i w:val="0"/>
          <w:sz w:val="21"/>
        </w:rPr>
        <w:t>See Workshop_Stock_Process_Maps.html §1 for the full SVG. In summary: today the value stream is a sequence of unmeasured verbal handoffs across three swimlanes (Field Worker / Stock Controller / ERP). The ERP swimlane is fed not by transactional events but by a single end-of-day manual batch — the dominant red node on the map.</w:t>
      </w:r>
    </w:p>
    <w:p>
      <w:r>
        <w:rPr>
          <w:rFonts w:ascii="Arial" w:hAnsi="Arial"/>
          <w:b/>
          <w:color w:val="2E74B5"/>
          <w:sz w:val="26"/>
        </w:rPr>
        <w:t>Step 8 — Waste audit (TIMWOODS) + Pareto</w:t>
      </w:r>
    </w:p>
    <w:p>
      <w:r>
        <w:rPr>
          <w:rFonts w:ascii="Arial" w:hAnsi="Arial"/>
          <w:b w:val="0"/>
          <w:i w:val="0"/>
          <w:sz w:val="21"/>
        </w:rPr>
        <w:t>Full table in WastePareto sheet. Top three waste sources by Severity × Frequency:</w:t>
      </w:r>
    </w:p>
    <w:tbl>
      <w:tblPr>
        <w:tblStyle w:val="LightGrid-Accent1"/>
        <w:tblW w:type="auto" w:w="0"/>
        <w:tblLook w:firstColumn="1" w:firstRow="1" w:lastColumn="0" w:lastRow="0" w:noHBand="0" w:noVBand="1" w:val="04A0"/>
      </w:tblPr>
      <w:tblGrid>
        <w:gridCol w:w="2493"/>
        <w:gridCol w:w="2493"/>
        <w:gridCol w:w="2493"/>
        <w:gridCol w:w="2493"/>
      </w:tblGrid>
      <w:tr>
        <w:tc>
          <w:tcPr>
            <w:tcW w:type="dxa" w:w="850"/>
            <w:shd w:val="clear" w:color="auto" w:fill="1F3864"/>
            <w:vAlign w:val="center"/>
          </w:tcPr>
          <w:p>
            <w:r/>
            <w:r>
              <w:rPr>
                <w:rFonts w:ascii="Arial" w:hAnsi="Arial"/>
                <w:b/>
                <w:color w:val="FFFFFF"/>
                <w:sz w:val="20"/>
              </w:rPr>
              <w:t>Rank</w:t>
            </w:r>
          </w:p>
        </w:tc>
        <w:tc>
          <w:tcPr>
            <w:tcW w:type="dxa" w:w="1417"/>
            <w:shd w:val="clear" w:color="auto" w:fill="1F3864"/>
            <w:vAlign w:val="center"/>
          </w:tcPr>
          <w:p>
            <w:r/>
            <w:r>
              <w:rPr>
                <w:rFonts w:ascii="Arial" w:hAnsi="Arial"/>
                <w:b/>
                <w:color w:val="FFFFFF"/>
                <w:sz w:val="20"/>
              </w:rPr>
              <w:t>TIMWOODS</w:t>
            </w:r>
          </w:p>
        </w:tc>
        <w:tc>
          <w:tcPr>
            <w:tcW w:type="dxa" w:w="5386"/>
            <w:shd w:val="clear" w:color="auto" w:fill="1F3864"/>
            <w:vAlign w:val="center"/>
          </w:tcPr>
          <w:p>
            <w:r/>
            <w:r>
              <w:rPr>
                <w:rFonts w:ascii="Arial" w:hAnsi="Arial"/>
                <w:b/>
                <w:color w:val="FFFFFF"/>
                <w:sz w:val="20"/>
              </w:rPr>
              <w:t>Observation</w:t>
            </w:r>
          </w:p>
        </w:tc>
        <w:tc>
          <w:tcPr>
            <w:tcW w:type="dxa" w:w="850"/>
            <w:shd w:val="clear" w:color="auto" w:fill="1F3864"/>
            <w:vAlign w:val="center"/>
          </w:tcPr>
          <w:p>
            <w:r/>
            <w:r>
              <w:rPr>
                <w:rFonts w:ascii="Arial" w:hAnsi="Arial"/>
                <w:b/>
                <w:color w:val="FFFFFF"/>
                <w:sz w:val="20"/>
              </w:rPr>
              <w:t>Score</w:t>
            </w:r>
          </w:p>
        </w:tc>
      </w:tr>
      <w:tr>
        <w:tc>
          <w:tcPr>
            <w:tcW w:type="dxa" w:w="850"/>
            <w:vAlign w:val="top"/>
          </w:tcPr>
          <w:p>
            <w:r/>
            <w:r>
              <w:rPr>
                <w:rFonts w:ascii="Arial" w:hAnsi="Arial"/>
                <w:sz w:val="19"/>
              </w:rPr>
              <w:t>1</w:t>
            </w:r>
          </w:p>
        </w:tc>
        <w:tc>
          <w:tcPr>
            <w:tcW w:type="dxa" w:w="1417"/>
            <w:vAlign w:val="top"/>
          </w:tcPr>
          <w:p>
            <w:r/>
            <w:r>
              <w:rPr>
                <w:rFonts w:ascii="Arial" w:hAnsi="Arial"/>
                <w:sz w:val="19"/>
              </w:rPr>
              <w:t>Inventory</w:t>
            </w:r>
          </w:p>
        </w:tc>
        <w:tc>
          <w:tcPr>
            <w:tcW w:type="dxa" w:w="5386"/>
            <w:vAlign w:val="top"/>
          </w:tcPr>
          <w:p>
            <w:r/>
            <w:r>
              <w:rPr>
                <w:rFonts w:ascii="Arial" w:hAnsi="Arial"/>
                <w:sz w:val="19"/>
              </w:rPr>
              <w:t>Phantom/legacy stock in e-resource books; obsolete items not yet cleared</w:t>
            </w:r>
          </w:p>
        </w:tc>
        <w:tc>
          <w:tcPr>
            <w:tcW w:type="dxa" w:w="850"/>
            <w:vAlign w:val="top"/>
          </w:tcPr>
          <w:p>
            <w:r/>
            <w:r>
              <w:rPr>
                <w:rFonts w:ascii="Arial" w:hAnsi="Arial"/>
                <w:sz w:val="19"/>
              </w:rPr>
              <w:t>80</w:t>
            </w:r>
          </w:p>
        </w:tc>
      </w:tr>
      <w:tr>
        <w:tc>
          <w:tcPr>
            <w:tcW w:type="dxa" w:w="850"/>
            <w:vAlign w:val="top"/>
          </w:tcPr>
          <w:p>
            <w:r/>
            <w:r>
              <w:rPr>
                <w:rFonts w:ascii="Arial" w:hAnsi="Arial"/>
                <w:sz w:val="19"/>
              </w:rPr>
              <w:t>2</w:t>
            </w:r>
          </w:p>
        </w:tc>
        <w:tc>
          <w:tcPr>
            <w:tcW w:type="dxa" w:w="1417"/>
            <w:vAlign w:val="top"/>
          </w:tcPr>
          <w:p>
            <w:r/>
            <w:r>
              <w:rPr>
                <w:rFonts w:ascii="Arial" w:hAnsi="Arial"/>
                <w:sz w:val="19"/>
              </w:rPr>
              <w:t>Waiting</w:t>
            </w:r>
          </w:p>
        </w:tc>
        <w:tc>
          <w:tcPr>
            <w:tcW w:type="dxa" w:w="5386"/>
            <w:vAlign w:val="top"/>
          </w:tcPr>
          <w:p>
            <w:r/>
            <w:r>
              <w:rPr>
                <w:rFonts w:ascii="Arial" w:hAnsi="Arial"/>
                <w:sz w:val="19"/>
              </w:rPr>
              <w:t>Workers waiting at workshop door for SC with no in-app status visibility</w:t>
            </w:r>
          </w:p>
        </w:tc>
        <w:tc>
          <w:tcPr>
            <w:tcW w:type="dxa" w:w="850"/>
            <w:vAlign w:val="top"/>
          </w:tcPr>
          <w:p>
            <w:r/>
            <w:r>
              <w:rPr>
                <w:rFonts w:ascii="Arial" w:hAnsi="Arial"/>
                <w:sz w:val="19"/>
              </w:rPr>
              <w:t>63</w:t>
            </w:r>
          </w:p>
        </w:tc>
      </w:tr>
      <w:tr>
        <w:tc>
          <w:tcPr>
            <w:tcW w:type="dxa" w:w="850"/>
            <w:vAlign w:val="top"/>
          </w:tcPr>
          <w:p>
            <w:r/>
            <w:r>
              <w:rPr>
                <w:rFonts w:ascii="Arial" w:hAnsi="Arial"/>
                <w:sz w:val="19"/>
              </w:rPr>
              <w:t>3</w:t>
            </w:r>
          </w:p>
        </w:tc>
        <w:tc>
          <w:tcPr>
            <w:tcW w:type="dxa" w:w="1417"/>
            <w:vAlign w:val="top"/>
          </w:tcPr>
          <w:p>
            <w:r/>
            <w:r>
              <w:rPr>
                <w:rFonts w:ascii="Arial" w:hAnsi="Arial"/>
                <w:sz w:val="19"/>
              </w:rPr>
              <w:t>Transport</w:t>
            </w:r>
          </w:p>
        </w:tc>
        <w:tc>
          <w:tcPr>
            <w:tcW w:type="dxa" w:w="5386"/>
            <w:vAlign w:val="top"/>
          </w:tcPr>
          <w:p>
            <w:r/>
            <w:r>
              <w:rPr>
                <w:rFonts w:ascii="Arial" w:hAnsi="Arial"/>
                <w:sz w:val="19"/>
              </w:rPr>
              <w:t>Workers walking yard ↔ workshop multiple trips per defect</w:t>
            </w:r>
          </w:p>
        </w:tc>
        <w:tc>
          <w:tcPr>
            <w:tcW w:type="dxa" w:w="850"/>
            <w:vAlign w:val="top"/>
          </w:tcPr>
          <w:p>
            <w:r/>
            <w:r>
              <w:rPr>
                <w:rFonts w:ascii="Arial" w:hAnsi="Arial"/>
                <w:sz w:val="19"/>
              </w:rPr>
              <w:t>56</w:t>
            </w:r>
          </w:p>
        </w:tc>
      </w:tr>
      <w:tr>
        <w:tc>
          <w:tcPr>
            <w:tcW w:type="dxa" w:w="850"/>
            <w:vAlign w:val="top"/>
          </w:tcPr>
          <w:p>
            <w:r/>
            <w:r>
              <w:rPr>
                <w:rFonts w:ascii="Arial" w:hAnsi="Arial"/>
                <w:sz w:val="19"/>
              </w:rPr>
              <w:t>4</w:t>
            </w:r>
          </w:p>
        </w:tc>
        <w:tc>
          <w:tcPr>
            <w:tcW w:type="dxa" w:w="1417"/>
            <w:vAlign w:val="top"/>
          </w:tcPr>
          <w:p>
            <w:r/>
            <w:r>
              <w:rPr>
                <w:rFonts w:ascii="Arial" w:hAnsi="Arial"/>
                <w:sz w:val="19"/>
              </w:rPr>
              <w:t>Overprocessing</w:t>
            </w:r>
          </w:p>
        </w:tc>
        <w:tc>
          <w:tcPr>
            <w:tcW w:type="dxa" w:w="5386"/>
            <w:vAlign w:val="top"/>
          </w:tcPr>
          <w:p>
            <w:r/>
            <w:r>
              <w:rPr>
                <w:rFonts w:ascii="Arial" w:hAnsi="Arial"/>
                <w:sz w:val="19"/>
              </w:rPr>
              <w:t>Daily 30–45 min manual ERP batch update</w:t>
            </w:r>
          </w:p>
        </w:tc>
        <w:tc>
          <w:tcPr>
            <w:tcW w:type="dxa" w:w="850"/>
            <w:vAlign w:val="top"/>
          </w:tcPr>
          <w:p>
            <w:r/>
            <w:r>
              <w:rPr>
                <w:rFonts w:ascii="Arial" w:hAnsi="Arial"/>
                <w:sz w:val="19"/>
              </w:rPr>
              <w:t>40</w:t>
            </w:r>
          </w:p>
        </w:tc>
      </w:tr>
      <w:tr>
        <w:tc>
          <w:tcPr>
            <w:tcW w:type="dxa" w:w="850"/>
            <w:vAlign w:val="top"/>
          </w:tcPr>
          <w:p>
            <w:r/>
            <w:r>
              <w:rPr>
                <w:rFonts w:ascii="Arial" w:hAnsi="Arial"/>
                <w:sz w:val="19"/>
              </w:rPr>
              <w:t>5</w:t>
            </w:r>
          </w:p>
        </w:tc>
        <w:tc>
          <w:tcPr>
            <w:tcW w:type="dxa" w:w="1417"/>
            <w:vAlign w:val="top"/>
          </w:tcPr>
          <w:p>
            <w:r/>
            <w:r>
              <w:rPr>
                <w:rFonts w:ascii="Arial" w:hAnsi="Arial"/>
                <w:sz w:val="19"/>
              </w:rPr>
              <w:t>Motion</w:t>
            </w:r>
          </w:p>
        </w:tc>
        <w:tc>
          <w:tcPr>
            <w:tcW w:type="dxa" w:w="5386"/>
            <w:vAlign w:val="top"/>
          </w:tcPr>
          <w:p>
            <w:r/>
            <w:r>
              <w:rPr>
                <w:rFonts w:ascii="Arial" w:hAnsi="Arial"/>
                <w:sz w:val="19"/>
              </w:rPr>
              <w:t>SC walking shelf-by-shelf with no pre-staged pick batching</w:t>
            </w:r>
          </w:p>
        </w:tc>
        <w:tc>
          <w:tcPr>
            <w:tcW w:type="dxa" w:w="850"/>
            <w:vAlign w:val="top"/>
          </w:tcPr>
          <w:p>
            <w:r/>
            <w:r>
              <w:rPr>
                <w:rFonts w:ascii="Arial" w:hAnsi="Arial"/>
                <w:sz w:val="19"/>
              </w:rPr>
              <w:t>40</w:t>
            </w:r>
          </w:p>
        </w:tc>
      </w:tr>
      <w:tr>
        <w:tc>
          <w:tcPr>
            <w:tcW w:type="dxa" w:w="850"/>
            <w:vAlign w:val="top"/>
          </w:tcPr>
          <w:p>
            <w:r/>
            <w:r>
              <w:rPr>
                <w:rFonts w:ascii="Arial" w:hAnsi="Arial"/>
                <w:sz w:val="19"/>
              </w:rPr>
              <w:t>6</w:t>
            </w:r>
          </w:p>
        </w:tc>
        <w:tc>
          <w:tcPr>
            <w:tcW w:type="dxa" w:w="1417"/>
            <w:vAlign w:val="top"/>
          </w:tcPr>
          <w:p>
            <w:r/>
            <w:r>
              <w:rPr>
                <w:rFonts w:ascii="Arial" w:hAnsi="Arial"/>
                <w:sz w:val="19"/>
              </w:rPr>
              <w:t>Defects</w:t>
            </w:r>
          </w:p>
        </w:tc>
        <w:tc>
          <w:tcPr>
            <w:tcW w:type="dxa" w:w="5386"/>
            <w:vAlign w:val="top"/>
          </w:tcPr>
          <w:p>
            <w:r/>
            <w:r>
              <w:rPr>
                <w:rFonts w:ascii="Arial" w:hAnsi="Arial"/>
                <w:sz w:val="19"/>
              </w:rPr>
              <w:t>Wrong parts from informal names → rework</w:t>
            </w:r>
          </w:p>
        </w:tc>
        <w:tc>
          <w:tcPr>
            <w:tcW w:type="dxa" w:w="850"/>
            <w:vAlign w:val="top"/>
          </w:tcPr>
          <w:p>
            <w:r/>
            <w:r>
              <w:rPr>
                <w:rFonts w:ascii="Arial" w:hAnsi="Arial"/>
                <w:sz w:val="19"/>
              </w:rPr>
              <w:t>35</w:t>
            </w:r>
          </w:p>
        </w:tc>
      </w:tr>
      <w:tr>
        <w:tc>
          <w:tcPr>
            <w:tcW w:type="dxa" w:w="850"/>
            <w:vAlign w:val="top"/>
          </w:tcPr>
          <w:p>
            <w:r/>
            <w:r>
              <w:rPr>
                <w:rFonts w:ascii="Arial" w:hAnsi="Arial"/>
                <w:sz w:val="19"/>
              </w:rPr>
              <w:t>7</w:t>
            </w:r>
          </w:p>
        </w:tc>
        <w:tc>
          <w:tcPr>
            <w:tcW w:type="dxa" w:w="1417"/>
            <w:vAlign w:val="top"/>
          </w:tcPr>
          <w:p>
            <w:r/>
            <w:r>
              <w:rPr>
                <w:rFonts w:ascii="Arial" w:hAnsi="Arial"/>
                <w:sz w:val="19"/>
              </w:rPr>
              <w:t>Skills (under-used)</w:t>
            </w:r>
          </w:p>
        </w:tc>
        <w:tc>
          <w:tcPr>
            <w:tcW w:type="dxa" w:w="5386"/>
            <w:vAlign w:val="top"/>
          </w:tcPr>
          <w:p>
            <w:r/>
            <w:r>
              <w:rPr>
                <w:rFonts w:ascii="Arial" w:hAnsi="Arial"/>
                <w:sz w:val="19"/>
              </w:rPr>
              <w:t>SC spends ~8 hrs/week on ERP entry the bot will eliminate</w:t>
            </w:r>
          </w:p>
        </w:tc>
        <w:tc>
          <w:tcPr>
            <w:tcW w:type="dxa" w:w="850"/>
            <w:vAlign w:val="top"/>
          </w:tcPr>
          <w:p>
            <w:r/>
            <w:r>
              <w:rPr>
                <w:rFonts w:ascii="Arial" w:hAnsi="Arial"/>
                <w:sz w:val="19"/>
              </w:rPr>
              <w:t>30</w:t>
            </w:r>
          </w:p>
        </w:tc>
      </w:tr>
      <w:tr>
        <w:tc>
          <w:tcPr>
            <w:tcW w:type="dxa" w:w="850"/>
            <w:vAlign w:val="top"/>
          </w:tcPr>
          <w:p>
            <w:r/>
            <w:r>
              <w:rPr>
                <w:rFonts w:ascii="Arial" w:hAnsi="Arial"/>
                <w:sz w:val="19"/>
              </w:rPr>
              <w:t>8</w:t>
            </w:r>
          </w:p>
        </w:tc>
        <w:tc>
          <w:tcPr>
            <w:tcW w:type="dxa" w:w="1417"/>
            <w:vAlign w:val="top"/>
          </w:tcPr>
          <w:p>
            <w:r/>
            <w:r>
              <w:rPr>
                <w:rFonts w:ascii="Arial" w:hAnsi="Arial"/>
                <w:sz w:val="19"/>
              </w:rPr>
              <w:t>Overproduction</w:t>
            </w:r>
          </w:p>
        </w:tc>
        <w:tc>
          <w:tcPr>
            <w:tcW w:type="dxa" w:w="5386"/>
            <w:vAlign w:val="top"/>
          </w:tcPr>
          <w:p>
            <w:r/>
            <w:r>
              <w:rPr>
                <w:rFonts w:ascii="Arial" w:hAnsi="Arial"/>
                <w:sz w:val="19"/>
              </w:rPr>
              <w:t>Workers requesting 'extra to be safe' → returns</w:t>
            </w:r>
          </w:p>
        </w:tc>
        <w:tc>
          <w:tcPr>
            <w:tcW w:type="dxa" w:w="850"/>
            <w:vAlign w:val="top"/>
          </w:tcPr>
          <w:p>
            <w:r/>
            <w:r>
              <w:rPr>
                <w:rFonts w:ascii="Arial" w:hAnsi="Arial"/>
                <w:sz w:val="19"/>
              </w:rPr>
              <w:t>16</w:t>
            </w:r>
          </w:p>
        </w:tc>
      </w:tr>
    </w:tbl>
    <w:p>
      <w:r>
        <w:rPr>
          <w:rFonts w:ascii="Arial" w:hAnsi="Arial"/>
          <w:b/>
          <w:color w:val="2E74B5"/>
          <w:sz w:val="26"/>
        </w:rPr>
        <w:t>Step 9 — Bottleneck location &amp; classification</w:t>
      </w:r>
    </w:p>
    <w:p>
      <w:r>
        <w:rPr>
          <w:rFonts w:ascii="Arial" w:hAnsi="Arial"/>
          <w:b w:val="0"/>
          <w:i w:val="0"/>
          <w:sz w:val="21"/>
        </w:rPr>
        <w:t>Two bottlenecks, in priority order:</w:t>
      </w:r>
    </w:p>
    <w:p>
      <w:pPr>
        <w:pStyle w:val="ListBullet"/>
        <w:ind w:left="340"/>
      </w:pPr>
      <w:r>
        <w:rPr>
          <w:rFonts w:ascii="Arial" w:hAnsi="Arial"/>
          <w:sz w:val="21"/>
        </w:rPr>
        <w:t>Primary bottleneck (constraint of constraints): the Stock Controller — Calo. Capacity sheet M/M/1 model shows λ=30 req/day, μ=5 req/hour at 12 min service ⇒ ρ ≈ 0.67, W ≈ 36 min, Wq ≈ 24 min. At 50 req/day (PRD NFR ceiling) ρ jumps to 1.11 — UNSTABLE; queue diverges. Action: stop being clever — bring a cross-trained backup-SC online before crossing 32 req/day, and design the app so the SC can work remote (already in PRD).</w:t>
      </w:r>
    </w:p>
    <w:p>
      <w:pPr>
        <w:pStyle w:val="ListBullet"/>
        <w:ind w:left="340"/>
      </w:pPr>
      <w:r>
        <w:rPr>
          <w:rFonts w:ascii="Arial" w:hAnsi="Arial"/>
          <w:sz w:val="21"/>
        </w:rPr>
        <w:t>Secondary bottleneck (pre-launch only): the ERP integration decision (Q1). It blocks DX Team mobilisation. Classified as a policy/decision bottleneck, not a capacity one — 1 meeting can break it. Cost of delay = entire 10–12 wk app build pushes right.</w:t>
      </w:r>
    </w:p>
    <w:p>
      <w:r>
        <w:rPr>
          <w:rFonts w:ascii="Arial" w:hAnsi="Arial"/>
          <w:b/>
          <w:color w:val="2E74B5"/>
          <w:sz w:val="26"/>
        </w:rPr>
        <w:t>Step 10 — Root cause analysis (5-Whys + Fishbone)</w:t>
      </w:r>
    </w:p>
    <w:p>
      <w:r>
        <w:rPr>
          <w:rFonts w:ascii="Arial" w:hAnsi="Arial"/>
          <w:b w:val="0"/>
          <w:i w:val="0"/>
          <w:sz w:val="21"/>
        </w:rPr>
        <w:t>Fishbone in Process Maps §2 covers six bones (People, Process, Materials/Data, Technology, Measurement, Environment). Verified root causes via 5-Whys:</w:t>
      </w:r>
    </w:p>
    <w:p>
      <w:r>
        <w:rPr>
          <w:rFonts w:ascii="Arial" w:hAnsi="Arial"/>
          <w:b/>
          <w:i w:val="0"/>
          <w:sz w:val="21"/>
        </w:rPr>
        <w:t>RC-1 · No closed-loop transaction system.</w:t>
      </w:r>
    </w:p>
    <w:p>
      <w:pPr>
        <w:pStyle w:val="ListBullet"/>
        <w:ind w:left="340"/>
      </w:pPr>
      <w:r>
        <w:rPr>
          <w:rFonts w:ascii="Arial" w:hAnsi="Arial"/>
          <w:sz w:val="21"/>
        </w:rPr>
        <w:t>Why parts go missing? No transaction record.</w:t>
      </w:r>
    </w:p>
    <w:p>
      <w:pPr>
        <w:pStyle w:val="ListBullet"/>
        <w:ind w:left="340"/>
      </w:pPr>
      <w:r>
        <w:rPr>
          <w:rFonts w:ascii="Arial" w:hAnsi="Arial"/>
          <w:sz w:val="21"/>
        </w:rPr>
        <w:t>Why no record? No system requires it.</w:t>
      </w:r>
    </w:p>
    <w:p>
      <w:pPr>
        <w:pStyle w:val="ListBullet"/>
        <w:ind w:left="340"/>
      </w:pPr>
      <w:r>
        <w:rPr>
          <w:rFonts w:ascii="Arial" w:hAnsi="Arial"/>
          <w:sz w:val="21"/>
        </w:rPr>
        <w:t>Why no system? Historic culture + no field-friendly UX into the existing ERP.</w:t>
      </w:r>
    </w:p>
    <w:p>
      <w:pPr>
        <w:pStyle w:val="ListBullet"/>
        <w:ind w:left="340"/>
      </w:pPr>
      <w:r>
        <w:rPr>
          <w:rFonts w:ascii="Arial" w:hAnsi="Arial"/>
          <w:sz w:val="21"/>
        </w:rPr>
        <w:t>Why no field-friendly UX? Workers were never expected to use e-Resource — it's an accounting system.</w:t>
      </w:r>
    </w:p>
    <w:p>
      <w:pPr>
        <w:pStyle w:val="ListBullet"/>
        <w:ind w:left="340"/>
      </w:pPr>
      <w:r>
        <w:rPr>
          <w:rFonts w:ascii="Arial" w:hAnsi="Arial"/>
          <w:sz w:val="21"/>
        </w:rPr>
        <w:t>Why never expected? No-one architected a worker-facing layer. ✓ Root cause.</w:t>
      </w:r>
    </w:p>
    <w:p>
      <w:r>
        <w:rPr>
          <w:rFonts w:ascii="Arial" w:hAnsi="Arial"/>
          <w:b/>
          <w:i w:val="0"/>
          <w:sz w:val="21"/>
        </w:rPr>
        <w:t>RC-2 · Worker ↔ ERP usability gap.</w:t>
      </w:r>
    </w:p>
    <w:p>
      <w:pPr>
        <w:pStyle w:val="ListBullet"/>
        <w:ind w:left="340"/>
      </w:pPr>
      <w:r>
        <w:rPr>
          <w:rFonts w:ascii="Arial" w:hAnsi="Arial"/>
          <w:sz w:val="21"/>
        </w:rPr>
        <w:t>Why workers don't log? UI complex, in English, desktop-oriented.</w:t>
      </w:r>
    </w:p>
    <w:p>
      <w:pPr>
        <w:pStyle w:val="ListBullet"/>
        <w:ind w:left="340"/>
      </w:pPr>
      <w:r>
        <w:rPr>
          <w:rFonts w:ascii="Arial" w:hAnsi="Arial"/>
          <w:sz w:val="21"/>
        </w:rPr>
        <w:t>Why? ERP is generic, not mobile-/bilingual-/photo-driven.</w:t>
      </w:r>
    </w:p>
    <w:p>
      <w:pPr>
        <w:pStyle w:val="ListBullet"/>
        <w:ind w:left="340"/>
      </w:pPr>
      <w:r>
        <w:rPr>
          <w:rFonts w:ascii="Arial" w:hAnsi="Arial"/>
          <w:sz w:val="21"/>
        </w:rPr>
        <w:t>Why never adapted? No requirement was raised; no one owned the worker layer.</w:t>
      </w:r>
    </w:p>
    <w:p>
      <w:pPr>
        <w:pStyle w:val="ListBullet"/>
        <w:ind w:left="340"/>
      </w:pPr>
      <w:r>
        <w:rPr>
          <w:rFonts w:ascii="Arial" w:hAnsi="Arial"/>
          <w:sz w:val="21"/>
        </w:rPr>
        <w:t>Why no owner? Site Services had no ops-tech role. ✓ Root cause.</w:t>
      </w:r>
    </w:p>
    <w:p>
      <w:r>
        <w:rPr>
          <w:rFonts w:ascii="Arial" w:hAnsi="Arial"/>
          <w:b/>
          <w:i w:val="0"/>
          <w:sz w:val="21"/>
        </w:rPr>
        <w:t>RC-3 · Single Stock Controller bottleneck.</w:t>
      </w:r>
    </w:p>
    <w:p>
      <w:pPr>
        <w:pStyle w:val="ListBullet"/>
        <w:ind w:left="340"/>
      </w:pPr>
      <w:r>
        <w:rPr>
          <w:rFonts w:ascii="Arial" w:hAnsi="Arial"/>
          <w:sz w:val="21"/>
        </w:rPr>
        <w:t>Why SC overloaded? One person owns every issuance.</w:t>
      </w:r>
    </w:p>
    <w:p>
      <w:pPr>
        <w:pStyle w:val="ListBullet"/>
        <w:ind w:left="340"/>
      </w:pPr>
      <w:r>
        <w:rPr>
          <w:rFonts w:ascii="Arial" w:hAnsi="Arial"/>
          <w:sz w:val="21"/>
        </w:rPr>
        <w:t>Why one? Historical staffing + small team.</w:t>
      </w:r>
    </w:p>
    <w:p>
      <w:pPr>
        <w:pStyle w:val="ListBullet"/>
        <w:ind w:left="340"/>
      </w:pPr>
      <w:r>
        <w:rPr>
          <w:rFonts w:ascii="Arial" w:hAnsi="Arial"/>
          <w:sz w:val="21"/>
        </w:rPr>
        <w:t>Why no backup? No backup role defined; weekend cover undecided in PRD.</w:t>
      </w:r>
    </w:p>
    <w:p>
      <w:pPr>
        <w:pStyle w:val="ListBullet"/>
        <w:ind w:left="340"/>
      </w:pPr>
      <w:r>
        <w:rPr>
          <w:rFonts w:ascii="Arial" w:hAnsi="Arial"/>
          <w:sz w:val="21"/>
        </w:rPr>
        <w:t>Why undecided? Project scope deferred it as a 'go-live' item. ✓ Root cause — bring it forward.</w:t>
      </w:r>
    </w:p>
    <w:p>
      <w:r>
        <w:br w:type="page"/>
      </w:r>
    </w:p>
    <w:p>
      <w:r>
        <w:rPr>
          <w:rFonts w:ascii="Arial" w:hAnsi="Arial"/>
          <w:b/>
          <w:color w:val="1F3864"/>
          <w:sz w:val="32"/>
        </w:rPr>
        <w:t>Steps 11–13 · Human Factors, Economics, Risk</w:t>
      </w:r>
    </w:p>
    <w:p>
      <w:r>
        <w:rPr>
          <w:rFonts w:ascii="Arial" w:hAnsi="Arial"/>
          <w:b/>
          <w:color w:val="2E74B5"/>
          <w:sz w:val="26"/>
        </w:rPr>
        <w:t>Step 11 — Human-factor assessment</w:t>
      </w:r>
    </w:p>
    <w:p>
      <w:r>
        <w:rPr>
          <w:rFonts w:ascii="Arial" w:hAnsi="Arial"/>
          <w:b w:val="0"/>
          <w:i w:val="0"/>
          <w:sz w:val="21"/>
        </w:rPr>
        <w:t>The system rests on real people. Assessment by role:</w:t>
      </w:r>
    </w:p>
    <w:tbl>
      <w:tblPr>
        <w:tblStyle w:val="LightGrid-Accent1"/>
        <w:tblW w:type="auto" w:w="0"/>
        <w:tblLook w:firstColumn="1" w:firstRow="1" w:lastColumn="0" w:lastRow="0" w:noHBand="0" w:noVBand="1" w:val="04A0"/>
      </w:tblPr>
      <w:tblGrid>
        <w:gridCol w:w="2493"/>
        <w:gridCol w:w="2493"/>
        <w:gridCol w:w="2493"/>
        <w:gridCol w:w="2493"/>
      </w:tblGrid>
      <w:tr>
        <w:tc>
          <w:tcPr>
            <w:tcW w:type="dxa" w:w="1701"/>
            <w:shd w:val="clear" w:color="auto" w:fill="1F3864"/>
            <w:vAlign w:val="center"/>
          </w:tcPr>
          <w:p>
            <w:r/>
            <w:r>
              <w:rPr>
                <w:rFonts w:ascii="Arial" w:hAnsi="Arial"/>
                <w:b/>
                <w:color w:val="FFFFFF"/>
                <w:sz w:val="20"/>
              </w:rPr>
              <w:t>Role</w:t>
            </w:r>
          </w:p>
        </w:tc>
        <w:tc>
          <w:tcPr>
            <w:tcW w:type="dxa" w:w="2551"/>
            <w:shd w:val="clear" w:color="auto" w:fill="1F3864"/>
            <w:vAlign w:val="center"/>
          </w:tcPr>
          <w:p>
            <w:r/>
            <w:r>
              <w:rPr>
                <w:rFonts w:ascii="Arial" w:hAnsi="Arial"/>
                <w:b/>
                <w:color w:val="FFFFFF"/>
                <w:sz w:val="20"/>
              </w:rPr>
              <w:t>Strengths today</w:t>
            </w:r>
          </w:p>
        </w:tc>
        <w:tc>
          <w:tcPr>
            <w:tcW w:type="dxa" w:w="2551"/>
            <w:shd w:val="clear" w:color="auto" w:fill="1F3864"/>
            <w:vAlign w:val="center"/>
          </w:tcPr>
          <w:p>
            <w:r/>
            <w:r>
              <w:rPr>
                <w:rFonts w:ascii="Arial" w:hAnsi="Arial"/>
                <w:b/>
                <w:color w:val="FFFFFF"/>
                <w:sz w:val="20"/>
              </w:rPr>
              <w:t>Friction / risk</w:t>
            </w:r>
          </w:p>
        </w:tc>
        <w:tc>
          <w:tcPr>
            <w:tcW w:type="dxa" w:w="2835"/>
            <w:shd w:val="clear" w:color="auto" w:fill="1F3864"/>
            <w:vAlign w:val="center"/>
          </w:tcPr>
          <w:p>
            <w:r/>
            <w:r>
              <w:rPr>
                <w:rFonts w:ascii="Arial" w:hAnsi="Arial"/>
                <w:b/>
                <w:color w:val="FFFFFF"/>
                <w:sz w:val="20"/>
              </w:rPr>
              <w:t>Mitigation</w:t>
            </w:r>
          </w:p>
        </w:tc>
      </w:tr>
      <w:tr>
        <w:tc>
          <w:tcPr>
            <w:tcW w:type="dxa" w:w="1701"/>
            <w:vAlign w:val="top"/>
          </w:tcPr>
          <w:p>
            <w:r/>
            <w:r>
              <w:rPr>
                <w:rFonts w:ascii="Arial" w:hAnsi="Arial"/>
                <w:sz w:val="19"/>
              </w:rPr>
              <w:t>Field worker</w:t>
            </w:r>
          </w:p>
        </w:tc>
        <w:tc>
          <w:tcPr>
            <w:tcW w:type="dxa" w:w="2551"/>
            <w:vAlign w:val="top"/>
          </w:tcPr>
          <w:p>
            <w:r/>
            <w:r>
              <w:rPr>
                <w:rFonts w:ascii="Arial" w:hAnsi="Arial"/>
                <w:sz w:val="19"/>
              </w:rPr>
              <w:t>Job-context expertise; knows the asset</w:t>
            </w:r>
          </w:p>
        </w:tc>
        <w:tc>
          <w:tcPr>
            <w:tcW w:type="dxa" w:w="2551"/>
            <w:vAlign w:val="top"/>
          </w:tcPr>
          <w:p>
            <w:r/>
            <w:r>
              <w:rPr>
                <w:rFonts w:ascii="Arial" w:hAnsi="Arial"/>
                <w:sz w:val="19"/>
              </w:rPr>
              <w:t>Limited literacy with ERP; informal naming culture; signal patches in yard</w:t>
            </w:r>
          </w:p>
        </w:tc>
        <w:tc>
          <w:tcPr>
            <w:tcW w:type="dxa" w:w="2835"/>
            <w:vAlign w:val="top"/>
          </w:tcPr>
          <w:p>
            <w:r/>
            <w:r>
              <w:rPr>
                <w:rFonts w:ascii="Arial" w:hAnsi="Arial"/>
                <w:sz w:val="19"/>
              </w:rPr>
              <w:t>Photo-first catalog; pre-filtered defect→category map; offline queue; bilingual UI</w:t>
            </w:r>
          </w:p>
        </w:tc>
      </w:tr>
      <w:tr>
        <w:tc>
          <w:tcPr>
            <w:tcW w:type="dxa" w:w="1701"/>
            <w:vAlign w:val="top"/>
          </w:tcPr>
          <w:p>
            <w:r/>
            <w:r>
              <w:rPr>
                <w:rFonts w:ascii="Arial" w:hAnsi="Arial"/>
                <w:sz w:val="19"/>
              </w:rPr>
              <w:t>Stock Controller (Calo)</w:t>
            </w:r>
          </w:p>
        </w:tc>
        <w:tc>
          <w:tcPr>
            <w:tcW w:type="dxa" w:w="2551"/>
            <w:vAlign w:val="top"/>
          </w:tcPr>
          <w:p>
            <w:r/>
            <w:r>
              <w:rPr>
                <w:rFonts w:ascii="Arial" w:hAnsi="Arial"/>
                <w:sz w:val="19"/>
              </w:rPr>
              <w:t>High ownership; institutional knowledge of every SKU</w:t>
            </w:r>
          </w:p>
        </w:tc>
        <w:tc>
          <w:tcPr>
            <w:tcW w:type="dxa" w:w="2551"/>
            <w:vAlign w:val="top"/>
          </w:tcPr>
          <w:p>
            <w:r/>
            <w:r>
              <w:rPr>
                <w:rFonts w:ascii="Arial" w:hAnsi="Arial"/>
                <w:sz w:val="19"/>
              </w:rPr>
              <w:t>Single point of failure; risks burnout from 30–45 min nightly ERP batch + full SC duties + pre-launch programme</w:t>
            </w:r>
          </w:p>
        </w:tc>
        <w:tc>
          <w:tcPr>
            <w:tcW w:type="dxa" w:w="2835"/>
            <w:vAlign w:val="top"/>
          </w:tcPr>
          <w:p>
            <w:r/>
            <w:r>
              <w:rPr>
                <w:rFonts w:ascii="Arial" w:hAnsi="Arial"/>
                <w:sz w:val="19"/>
              </w:rPr>
              <w:t>Cross-train backup-SC now; offload ERP batch to bot at launch; protect time during pre-launch by parking non-critical Phase C/D tasks</w:t>
            </w:r>
          </w:p>
        </w:tc>
      </w:tr>
      <w:tr>
        <w:tc>
          <w:tcPr>
            <w:tcW w:type="dxa" w:w="1701"/>
            <w:vAlign w:val="top"/>
          </w:tcPr>
          <w:p>
            <w:r/>
            <w:r>
              <w:rPr>
                <w:rFonts w:ascii="Arial" w:hAnsi="Arial"/>
                <w:sz w:val="19"/>
              </w:rPr>
              <w:t>Workshop Handler (remote scenario)</w:t>
            </w:r>
          </w:p>
        </w:tc>
        <w:tc>
          <w:tcPr>
            <w:tcW w:type="dxa" w:w="2551"/>
            <w:vAlign w:val="top"/>
          </w:tcPr>
          <w:p>
            <w:r/>
            <w:r>
              <w:rPr>
                <w:rFonts w:ascii="Arial" w:hAnsi="Arial"/>
                <w:sz w:val="19"/>
              </w:rPr>
              <w:t>Physical presence when SC remote</w:t>
            </w:r>
          </w:p>
        </w:tc>
        <w:tc>
          <w:tcPr>
            <w:tcW w:type="dxa" w:w="2551"/>
            <w:vAlign w:val="top"/>
          </w:tcPr>
          <w:p>
            <w:r/>
            <w:r>
              <w:rPr>
                <w:rFonts w:ascii="Arial" w:hAnsi="Arial"/>
                <w:sz w:val="19"/>
              </w:rPr>
              <w:t>Zero app permissions today; SC must trust verbally</w:t>
            </w:r>
          </w:p>
        </w:tc>
        <w:tc>
          <w:tcPr>
            <w:tcW w:type="dxa" w:w="2835"/>
            <w:vAlign w:val="top"/>
          </w:tcPr>
          <w:p>
            <w:r/>
            <w:r>
              <w:rPr>
                <w:rFonts w:ascii="Arial" w:hAnsi="Arial"/>
                <w:sz w:val="19"/>
              </w:rPr>
              <w:t>Define narrow app role for handover-confirm only; keep authority with SC</w:t>
            </w:r>
          </w:p>
        </w:tc>
      </w:tr>
      <w:tr>
        <w:tc>
          <w:tcPr>
            <w:tcW w:type="dxa" w:w="1701"/>
            <w:vAlign w:val="top"/>
          </w:tcPr>
          <w:p>
            <w:r/>
            <w:r>
              <w:rPr>
                <w:rFonts w:ascii="Arial" w:hAnsi="Arial"/>
                <w:sz w:val="19"/>
              </w:rPr>
              <w:t>Inspectors (Calo + Thakur)</w:t>
            </w:r>
          </w:p>
        </w:tc>
        <w:tc>
          <w:tcPr>
            <w:tcW w:type="dxa" w:w="2551"/>
            <w:vAlign w:val="top"/>
          </w:tcPr>
          <w:p>
            <w:r/>
            <w:r>
              <w:rPr>
                <w:rFonts w:ascii="Arial" w:hAnsi="Arial"/>
                <w:sz w:val="19"/>
              </w:rPr>
              <w:t>Two-person coverage of yard PDI</w:t>
            </w:r>
          </w:p>
        </w:tc>
        <w:tc>
          <w:tcPr>
            <w:tcW w:type="dxa" w:w="2551"/>
            <w:vAlign w:val="top"/>
          </w:tcPr>
          <w:p>
            <w:r/>
            <w:r>
              <w:rPr>
                <w:rFonts w:ascii="Arial" w:hAnsi="Arial"/>
                <w:sz w:val="19"/>
              </w:rPr>
              <w:t>Calibration risk — different defect calls bias the demand list</w:t>
            </w:r>
          </w:p>
        </w:tc>
        <w:tc>
          <w:tcPr>
            <w:tcW w:type="dxa" w:w="2835"/>
            <w:vAlign w:val="top"/>
          </w:tcPr>
          <w:p>
            <w:r/>
            <w:r>
              <w:rPr>
                <w:rFonts w:ascii="Arial" w:hAnsi="Arial"/>
                <w:sz w:val="19"/>
              </w:rPr>
              <w:t>1-day calibration: same 5 assets, reconcile classifications before Phase B completes</w:t>
            </w:r>
          </w:p>
        </w:tc>
      </w:tr>
      <w:tr>
        <w:tc>
          <w:tcPr>
            <w:tcW w:type="dxa" w:w="1701"/>
            <w:vAlign w:val="top"/>
          </w:tcPr>
          <w:p>
            <w:r/>
            <w:r>
              <w:rPr>
                <w:rFonts w:ascii="Arial" w:hAnsi="Arial"/>
                <w:sz w:val="19"/>
              </w:rPr>
              <w:t>DX Team (Soluchan)</w:t>
            </w:r>
          </w:p>
        </w:tc>
        <w:tc>
          <w:tcPr>
            <w:tcW w:type="dxa" w:w="2551"/>
            <w:vAlign w:val="top"/>
          </w:tcPr>
          <w:p>
            <w:r/>
            <w:r>
              <w:rPr>
                <w:rFonts w:ascii="Arial" w:hAnsi="Arial"/>
                <w:sz w:val="19"/>
              </w:rPr>
              <w:t>AppSheet build capability; access to BinaryData/Drive</w:t>
            </w:r>
          </w:p>
        </w:tc>
        <w:tc>
          <w:tcPr>
            <w:tcW w:type="dxa" w:w="2551"/>
            <w:vAlign w:val="top"/>
          </w:tcPr>
          <w:p>
            <w:r/>
            <w:r>
              <w:rPr>
                <w:rFonts w:ascii="Arial" w:hAnsi="Arial"/>
                <w:sz w:val="19"/>
              </w:rPr>
              <w:t>External dependency; not embedded in workshop reality</w:t>
            </w:r>
          </w:p>
        </w:tc>
        <w:tc>
          <w:tcPr>
            <w:tcW w:type="dxa" w:w="2835"/>
            <w:vAlign w:val="top"/>
          </w:tcPr>
          <w:p>
            <w:r/>
            <w:r>
              <w:rPr>
                <w:rFonts w:ascii="Arial" w:hAnsi="Arial"/>
                <w:sz w:val="19"/>
              </w:rPr>
              <w:t>Calo on-site review every 2 wks; UAT scripts written by Calo not DX</w:t>
            </w:r>
          </w:p>
        </w:tc>
      </w:tr>
      <w:tr>
        <w:tc>
          <w:tcPr>
            <w:tcW w:type="dxa" w:w="1701"/>
            <w:vAlign w:val="top"/>
          </w:tcPr>
          <w:p>
            <w:r/>
            <w:r>
              <w:rPr>
                <w:rFonts w:ascii="Arial" w:hAnsi="Arial"/>
                <w:sz w:val="19"/>
              </w:rPr>
              <w:t>IT / e-Resource admin</w:t>
            </w:r>
          </w:p>
        </w:tc>
        <w:tc>
          <w:tcPr>
            <w:tcW w:type="dxa" w:w="2551"/>
            <w:vAlign w:val="top"/>
          </w:tcPr>
          <w:p>
            <w:r/>
            <w:r>
              <w:rPr>
                <w:rFonts w:ascii="Arial" w:hAnsi="Arial"/>
                <w:sz w:val="19"/>
              </w:rPr>
              <w:t>Owns ERP</w:t>
            </w:r>
          </w:p>
        </w:tc>
        <w:tc>
          <w:tcPr>
            <w:tcW w:type="dxa" w:w="2551"/>
            <w:vAlign w:val="top"/>
          </w:tcPr>
          <w:p>
            <w:r/>
            <w:r>
              <w:rPr>
                <w:rFonts w:ascii="Arial" w:hAnsi="Arial"/>
                <w:sz w:val="19"/>
              </w:rPr>
              <w:t>Unclear ownership of integration approach (Q1)</w:t>
            </w:r>
          </w:p>
        </w:tc>
        <w:tc>
          <w:tcPr>
            <w:tcW w:type="dxa" w:w="2835"/>
            <w:vAlign w:val="top"/>
          </w:tcPr>
          <w:p>
            <w:r/>
            <w:r>
              <w:rPr>
                <w:rFonts w:ascii="Arial" w:hAnsi="Arial"/>
                <w:sz w:val="19"/>
              </w:rPr>
              <w:t>Force Q1 decision meeting; document API option with named owner</w:t>
            </w:r>
          </w:p>
        </w:tc>
      </w:tr>
    </w:tbl>
    <w:p>
      <w:r>
        <w:rPr>
          <w:rFonts w:ascii="Arial" w:hAnsi="Arial"/>
          <w:b w:val="0"/>
          <w:i/>
          <w:sz w:val="21"/>
        </w:rPr>
        <w:t>Respect-for-people principle: every recommendation in this report names an owner — work is added to people who already have plates that are full; either we replace something on their plate, or we add headcount, or we defer.</w:t>
      </w:r>
    </w:p>
    <w:p>
      <w:r>
        <w:rPr>
          <w:rFonts w:ascii="Arial" w:hAnsi="Arial"/>
          <w:b/>
          <w:color w:val="2E74B5"/>
          <w:sz w:val="26"/>
        </w:rPr>
        <w:t>Step 12 — Throughput economics (T / OE / I)</w:t>
      </w:r>
    </w:p>
    <w:p>
      <w:r>
        <w:rPr>
          <w:rFonts w:ascii="Arial" w:hAnsi="Arial"/>
          <w:b w:val="0"/>
          <w:i w:val="0"/>
          <w:sz w:val="21"/>
        </w:rPr>
        <w:t>Full model in ThroughputEcon sheet (values flagged italic are placeholder assumptions — Calo to update). Decision frame:</w:t>
      </w:r>
    </w:p>
    <w:p>
      <w:pPr>
        <w:pStyle w:val="ListBullet"/>
        <w:ind w:left="340"/>
      </w:pPr>
      <w:r>
        <w:rPr>
          <w:rFonts w:ascii="Arial" w:hAnsi="Arial"/>
          <w:sz w:val="21"/>
        </w:rPr>
        <w:t>T (Throughput) gain comes from: (a) stockouts prevented → rental revenue protected; (b) SC time recovered from manual ERP batch; (c) worker walk-back trips reduced (assumed 70% reduction post-launch).</w:t>
      </w:r>
    </w:p>
    <w:p>
      <w:pPr>
        <w:pStyle w:val="ListBullet"/>
        <w:ind w:left="340"/>
      </w:pPr>
      <w:r>
        <w:rPr>
          <w:rFonts w:ascii="Arial" w:hAnsi="Arial"/>
          <w:sz w:val="21"/>
        </w:rPr>
        <w:t>OE (Operating Expense): app build is internal; named one-time costs are AppSheet licensing (~AED 5k/yr est), labels/stickers (~AED 1.5k), photo setup (AED 500), training (internal time). Total one-time ≈ AED 7k.</w:t>
      </w:r>
    </w:p>
    <w:p>
      <w:pPr>
        <w:pStyle w:val="ListBullet"/>
        <w:ind w:left="340"/>
      </w:pPr>
      <w:r>
        <w:rPr>
          <w:rFonts w:ascii="Arial" w:hAnsi="Arial"/>
          <w:sz w:val="21"/>
        </w:rPr>
        <w:t>I (Inventory): post-launch inventory will DROP because phantom stock is cleared and reorder thresholds prevent over-stocking; freed working capital is an additional benefit not modelled here.</w:t>
      </w:r>
    </w:p>
    <w:p>
      <w:r>
        <w:rPr>
          <w:rFonts w:ascii="Arial" w:hAnsi="Arial"/>
          <w:b w:val="0"/>
          <w:i/>
          <w:sz w:val="21"/>
        </w:rPr>
        <w:t>Decision rule: payback months = One-time OE ÷ monthly net T-savings. With placeholder assumptions the workbook shows payback ≪ 1 month — i.e. the app pays for itself in stockout-prevention alone, with SC and worker productivity as gravy. Calo: please replace the BLUE placeholders with confirmed wage rates and yield estimates and re-share before sign-off.</w:t>
      </w:r>
    </w:p>
    <w:p>
      <w:r>
        <w:rPr>
          <w:rFonts w:ascii="Arial" w:hAnsi="Arial"/>
          <w:b/>
          <w:color w:val="2E74B5"/>
          <w:sz w:val="26"/>
        </w:rPr>
        <w:t>Step 13 — Risk register (FMEA)</w:t>
      </w:r>
    </w:p>
    <w:p>
      <w:r>
        <w:rPr>
          <w:rFonts w:ascii="Arial" w:hAnsi="Arial"/>
          <w:b w:val="0"/>
          <w:i w:val="0"/>
          <w:sz w:val="21"/>
        </w:rPr>
        <w:t>16 failure modes scored on Severity × Occurrence × Detection. Top five by RPN (full table in FMEA sheet):</w:t>
      </w:r>
    </w:p>
    <w:tbl>
      <w:tblPr>
        <w:tblStyle w:val="LightGrid-Accent1"/>
        <w:tblW w:type="auto" w:w="0"/>
        <w:tblLook w:firstColumn="1" w:firstRow="1" w:lastColumn="0" w:lastRow="0" w:noHBand="0" w:noVBand="1" w:val="04A0"/>
      </w:tblPr>
      <w:tblGrid>
        <w:gridCol w:w="2493"/>
        <w:gridCol w:w="2493"/>
        <w:gridCol w:w="2493"/>
        <w:gridCol w:w="2493"/>
      </w:tblGrid>
      <w:tr>
        <w:tc>
          <w:tcPr>
            <w:tcW w:type="dxa" w:w="567"/>
            <w:shd w:val="clear" w:color="auto" w:fill="1F3864"/>
            <w:vAlign w:val="center"/>
          </w:tcPr>
          <w:p>
            <w:r/>
            <w:r>
              <w:rPr>
                <w:rFonts w:ascii="Arial" w:hAnsi="Arial"/>
                <w:b/>
                <w:color w:val="FFFFFF"/>
                <w:sz w:val="20"/>
              </w:rPr>
              <w:t>Rank</w:t>
            </w:r>
          </w:p>
        </w:tc>
        <w:tc>
          <w:tcPr>
            <w:tcW w:type="dxa" w:w="3685"/>
            <w:shd w:val="clear" w:color="auto" w:fill="1F3864"/>
            <w:vAlign w:val="center"/>
          </w:tcPr>
          <w:p>
            <w:r/>
            <w:r>
              <w:rPr>
                <w:rFonts w:ascii="Arial" w:hAnsi="Arial"/>
                <w:b/>
                <w:color w:val="FFFFFF"/>
                <w:sz w:val="20"/>
              </w:rPr>
              <w:t>Failure mode</w:t>
            </w:r>
          </w:p>
        </w:tc>
        <w:tc>
          <w:tcPr>
            <w:tcW w:type="dxa" w:w="850"/>
            <w:shd w:val="clear" w:color="auto" w:fill="1F3864"/>
            <w:vAlign w:val="center"/>
          </w:tcPr>
          <w:p>
            <w:r/>
            <w:r>
              <w:rPr>
                <w:rFonts w:ascii="Arial" w:hAnsi="Arial"/>
                <w:b/>
                <w:color w:val="FFFFFF"/>
                <w:sz w:val="20"/>
              </w:rPr>
              <w:t>RPN</w:t>
            </w:r>
          </w:p>
        </w:tc>
        <w:tc>
          <w:tcPr>
            <w:tcW w:type="dxa" w:w="4535"/>
            <w:shd w:val="clear" w:color="auto" w:fill="1F3864"/>
            <w:vAlign w:val="center"/>
          </w:tcPr>
          <w:p>
            <w:r/>
            <w:r>
              <w:rPr>
                <w:rFonts w:ascii="Arial" w:hAnsi="Arial"/>
                <w:b/>
                <w:color w:val="FFFFFF"/>
                <w:sz w:val="20"/>
              </w:rPr>
              <w:t>Recommended action</w:t>
            </w:r>
          </w:p>
        </w:tc>
      </w:tr>
      <w:tr>
        <w:tc>
          <w:tcPr>
            <w:tcW w:type="dxa" w:w="567"/>
            <w:vAlign w:val="top"/>
          </w:tcPr>
          <w:p>
            <w:r/>
            <w:r>
              <w:rPr>
                <w:rFonts w:ascii="Arial" w:hAnsi="Arial"/>
                <w:sz w:val="19"/>
              </w:rPr>
              <w:t>1</w:t>
            </w:r>
          </w:p>
        </w:tc>
        <w:tc>
          <w:tcPr>
            <w:tcW w:type="dxa" w:w="3685"/>
            <w:vAlign w:val="top"/>
          </w:tcPr>
          <w:p>
            <w:r/>
            <w:r>
              <w:rPr>
                <w:rFonts w:ascii="Arial" w:hAnsi="Arial"/>
                <w:sz w:val="19"/>
              </w:rPr>
              <w:t>Field-worker non-adoption (call SC directly, bypass app)</w:t>
            </w:r>
          </w:p>
        </w:tc>
        <w:tc>
          <w:tcPr>
            <w:tcW w:type="dxa" w:w="850"/>
            <w:vAlign w:val="top"/>
          </w:tcPr>
          <w:p>
            <w:r/>
            <w:r>
              <w:rPr>
                <w:rFonts w:ascii="Arial" w:hAnsi="Arial"/>
                <w:sz w:val="19"/>
              </w:rPr>
              <w:t>324</w:t>
            </w:r>
          </w:p>
        </w:tc>
        <w:tc>
          <w:tcPr>
            <w:tcW w:type="dxa" w:w="4535"/>
            <w:vAlign w:val="top"/>
          </w:tcPr>
          <w:p>
            <w:r/>
            <w:r>
              <w:rPr>
                <w:rFonts w:ascii="Arial" w:hAnsi="Arial"/>
                <w:sz w:val="19"/>
              </w:rPr>
              <w:t>SC must refuse undocumented requests; visible scoreboard; SOP 1 enforcement</w:t>
            </w:r>
          </w:p>
        </w:tc>
      </w:tr>
      <w:tr>
        <w:tc>
          <w:tcPr>
            <w:tcW w:type="dxa" w:w="567"/>
            <w:vAlign w:val="top"/>
          </w:tcPr>
          <w:p>
            <w:r/>
            <w:r>
              <w:rPr>
                <w:rFonts w:ascii="Arial" w:hAnsi="Arial"/>
                <w:sz w:val="19"/>
              </w:rPr>
              <w:t>2</w:t>
            </w:r>
          </w:p>
        </w:tc>
        <w:tc>
          <w:tcPr>
            <w:tcW w:type="dxa" w:w="3685"/>
            <w:vAlign w:val="top"/>
          </w:tcPr>
          <w:p>
            <w:r/>
            <w:r>
              <w:rPr>
                <w:rFonts w:ascii="Arial" w:hAnsi="Arial"/>
                <w:sz w:val="19"/>
              </w:rPr>
              <w:t>SC single point of failure (Calo unavailable)</w:t>
            </w:r>
          </w:p>
        </w:tc>
        <w:tc>
          <w:tcPr>
            <w:tcW w:type="dxa" w:w="850"/>
            <w:vAlign w:val="top"/>
          </w:tcPr>
          <w:p>
            <w:r/>
            <w:r>
              <w:rPr>
                <w:rFonts w:ascii="Arial" w:hAnsi="Arial"/>
                <w:sz w:val="19"/>
              </w:rPr>
              <w:t>240</w:t>
            </w:r>
          </w:p>
        </w:tc>
        <w:tc>
          <w:tcPr>
            <w:tcW w:type="dxa" w:w="4535"/>
            <w:vAlign w:val="top"/>
          </w:tcPr>
          <w:p>
            <w:r/>
            <w:r>
              <w:rPr>
                <w:rFonts w:ascii="Arial" w:hAnsi="Arial"/>
                <w:sz w:val="19"/>
              </w:rPr>
              <w:t>Provision backup-SC role; cross-train 1 person; document weekend cover</w:t>
            </w:r>
          </w:p>
        </w:tc>
      </w:tr>
      <w:tr>
        <w:tc>
          <w:tcPr>
            <w:tcW w:type="dxa" w:w="567"/>
            <w:vAlign w:val="top"/>
          </w:tcPr>
          <w:p>
            <w:r/>
            <w:r>
              <w:rPr>
                <w:rFonts w:ascii="Arial" w:hAnsi="Arial"/>
                <w:sz w:val="19"/>
              </w:rPr>
              <w:t>3</w:t>
            </w:r>
          </w:p>
        </w:tc>
        <w:tc>
          <w:tcPr>
            <w:tcW w:type="dxa" w:w="3685"/>
            <w:vAlign w:val="top"/>
          </w:tcPr>
          <w:p>
            <w:r/>
            <w:r>
              <w:rPr>
                <w:rFonts w:ascii="Arial" w:hAnsi="Arial"/>
                <w:sz w:val="19"/>
              </w:rPr>
              <w:t>ERP sync failure silent for hours</w:t>
            </w:r>
          </w:p>
        </w:tc>
        <w:tc>
          <w:tcPr>
            <w:tcW w:type="dxa" w:w="850"/>
            <w:vAlign w:val="top"/>
          </w:tcPr>
          <w:p>
            <w:r/>
            <w:r>
              <w:rPr>
                <w:rFonts w:ascii="Arial" w:hAnsi="Arial"/>
                <w:sz w:val="19"/>
              </w:rPr>
              <w:t>224</w:t>
            </w:r>
          </w:p>
        </w:tc>
        <w:tc>
          <w:tcPr>
            <w:tcW w:type="dxa" w:w="4535"/>
            <w:vAlign w:val="top"/>
          </w:tcPr>
          <w:p>
            <w:r/>
            <w:r>
              <w:rPr>
                <w:rFonts w:ascii="Arial" w:hAnsi="Arial"/>
                <w:sz w:val="19"/>
              </w:rPr>
              <w:t>5-min watchdog; auto-retry 3x; SMS escalation on persistent fail</w:t>
            </w:r>
          </w:p>
        </w:tc>
      </w:tr>
      <w:tr>
        <w:tc>
          <w:tcPr>
            <w:tcW w:type="dxa" w:w="567"/>
            <w:vAlign w:val="top"/>
          </w:tcPr>
          <w:p>
            <w:r/>
            <w:r>
              <w:rPr>
                <w:rFonts w:ascii="Arial" w:hAnsi="Arial"/>
                <w:sz w:val="19"/>
              </w:rPr>
              <w:t>4</w:t>
            </w:r>
          </w:p>
        </w:tc>
        <w:tc>
          <w:tcPr>
            <w:tcW w:type="dxa" w:w="3685"/>
            <w:vAlign w:val="top"/>
          </w:tcPr>
          <w:p>
            <w:r/>
            <w:r>
              <w:rPr>
                <w:rFonts w:ascii="Arial" w:hAnsi="Arial"/>
                <w:sz w:val="19"/>
              </w:rPr>
              <w:t>Q1 (ERP integration) not resolved before DX build starts</w:t>
            </w:r>
          </w:p>
        </w:tc>
        <w:tc>
          <w:tcPr>
            <w:tcW w:type="dxa" w:w="850"/>
            <w:vAlign w:val="top"/>
          </w:tcPr>
          <w:p>
            <w:r/>
            <w:r>
              <w:rPr>
                <w:rFonts w:ascii="Arial" w:hAnsi="Arial"/>
                <w:sz w:val="19"/>
              </w:rPr>
              <w:t>216</w:t>
            </w:r>
          </w:p>
        </w:tc>
        <w:tc>
          <w:tcPr>
            <w:tcW w:type="dxa" w:w="4535"/>
            <w:vAlign w:val="top"/>
          </w:tcPr>
          <w:p>
            <w:r/>
            <w:r>
              <w:rPr>
                <w:rFonts w:ascii="Arial" w:hAnsi="Arial"/>
                <w:sz w:val="19"/>
              </w:rPr>
              <w:t>Force decision meeting; document API option with IT before any other phase</w:t>
            </w:r>
          </w:p>
        </w:tc>
      </w:tr>
      <w:tr>
        <w:tc>
          <w:tcPr>
            <w:tcW w:type="dxa" w:w="567"/>
            <w:vAlign w:val="top"/>
          </w:tcPr>
          <w:p>
            <w:r/>
            <w:r>
              <w:rPr>
                <w:rFonts w:ascii="Arial" w:hAnsi="Arial"/>
                <w:sz w:val="19"/>
              </w:rPr>
              <w:t>5</w:t>
            </w:r>
          </w:p>
        </w:tc>
        <w:tc>
          <w:tcPr>
            <w:tcW w:type="dxa" w:w="3685"/>
            <w:vAlign w:val="top"/>
          </w:tcPr>
          <w:p>
            <w:r/>
            <w:r>
              <w:rPr>
                <w:rFonts w:ascii="Arial" w:hAnsi="Arial"/>
                <w:sz w:val="19"/>
              </w:rPr>
              <w:t>Catalog data quality — wrong item codes imported</w:t>
            </w:r>
          </w:p>
        </w:tc>
        <w:tc>
          <w:tcPr>
            <w:tcW w:type="dxa" w:w="850"/>
            <w:vAlign w:val="top"/>
          </w:tcPr>
          <w:p>
            <w:r/>
            <w:r>
              <w:rPr>
                <w:rFonts w:ascii="Arial" w:hAnsi="Arial"/>
                <w:sz w:val="19"/>
              </w:rPr>
              <w:t>200</w:t>
            </w:r>
          </w:p>
        </w:tc>
        <w:tc>
          <w:tcPr>
            <w:tcW w:type="dxa" w:w="4535"/>
            <w:vAlign w:val="top"/>
          </w:tcPr>
          <w:p>
            <w:r/>
            <w:r>
              <w:rPr>
                <w:rFonts w:ascii="Arial" w:hAnsi="Arial"/>
                <w:sz w:val="19"/>
              </w:rPr>
              <w:t>Two-person verify of every item code before import; UAT cross-check</w:t>
            </w:r>
          </w:p>
        </w:tc>
      </w:tr>
    </w:tbl>
    <w:p>
      <w:r>
        <w:br w:type="page"/>
      </w:r>
    </w:p>
    <w:p>
      <w:r>
        <w:rPr>
          <w:rFonts w:ascii="Arial" w:hAnsi="Arial"/>
          <w:b/>
          <w:color w:val="1F3864"/>
          <w:sz w:val="32"/>
        </w:rPr>
        <w:t>Steps 14–17 · Documentation, Visuals, Spreadsheets, Dashboards (generated)</w:t>
      </w:r>
    </w:p>
    <w:p>
      <w:r>
        <w:rPr>
          <w:rFonts w:ascii="Arial" w:hAnsi="Arial"/>
          <w:b w:val="0"/>
          <w:i w:val="0"/>
          <w:sz w:val="21"/>
        </w:rPr>
        <w:t>This section catalogues what was produced. The artefacts themselves are the deliverables:</w:t>
      </w:r>
    </w:p>
    <w:tbl>
      <w:tblPr>
        <w:tblStyle w:val="LightGrid-Accent1"/>
        <w:tblW w:type="auto" w:w="0"/>
        <w:tblLook w:firstColumn="1" w:firstRow="1" w:lastColumn="0" w:lastRow="0" w:noHBand="0" w:noVBand="1" w:val="04A0"/>
      </w:tblPr>
      <w:tblGrid>
        <w:gridCol w:w="3324"/>
        <w:gridCol w:w="3324"/>
        <w:gridCol w:w="3324"/>
      </w:tblGrid>
      <w:tr>
        <w:tc>
          <w:tcPr>
            <w:tcW w:type="dxa" w:w="850"/>
            <w:shd w:val="clear" w:color="auto" w:fill="1F3864"/>
            <w:vAlign w:val="center"/>
          </w:tcPr>
          <w:p>
            <w:r/>
            <w:r>
              <w:rPr>
                <w:rFonts w:ascii="Arial" w:hAnsi="Arial"/>
                <w:b/>
                <w:color w:val="FFFFFF"/>
                <w:sz w:val="20"/>
              </w:rPr>
              <w:t>Step</w:t>
            </w:r>
          </w:p>
        </w:tc>
        <w:tc>
          <w:tcPr>
            <w:tcW w:type="dxa" w:w="4252"/>
            <w:shd w:val="clear" w:color="auto" w:fill="1F3864"/>
            <w:vAlign w:val="center"/>
          </w:tcPr>
          <w:p>
            <w:r/>
            <w:r>
              <w:rPr>
                <w:rFonts w:ascii="Arial" w:hAnsi="Arial"/>
                <w:b/>
                <w:color w:val="FFFFFF"/>
                <w:sz w:val="20"/>
              </w:rPr>
              <w:t>Deliverable</w:t>
            </w:r>
          </w:p>
        </w:tc>
        <w:tc>
          <w:tcPr>
            <w:tcW w:type="dxa" w:w="3969"/>
            <w:shd w:val="clear" w:color="auto" w:fill="1F3864"/>
            <w:vAlign w:val="center"/>
          </w:tcPr>
          <w:p>
            <w:r/>
            <w:r>
              <w:rPr>
                <w:rFonts w:ascii="Arial" w:hAnsi="Arial"/>
                <w:b/>
                <w:color w:val="FFFFFF"/>
                <w:sz w:val="20"/>
              </w:rPr>
              <w:t>Location</w:t>
            </w:r>
          </w:p>
        </w:tc>
      </w:tr>
      <w:tr>
        <w:tc>
          <w:tcPr>
            <w:tcW w:type="dxa" w:w="850"/>
            <w:vAlign w:val="top"/>
          </w:tcPr>
          <w:p>
            <w:r/>
            <w:r>
              <w:rPr>
                <w:rFonts w:ascii="Arial" w:hAnsi="Arial"/>
                <w:sz w:val="19"/>
              </w:rPr>
              <w:t>14</w:t>
            </w:r>
          </w:p>
        </w:tc>
        <w:tc>
          <w:tcPr>
            <w:tcW w:type="dxa" w:w="4252"/>
            <w:vAlign w:val="top"/>
          </w:tcPr>
          <w:p>
            <w:r/>
            <w:r>
              <w:rPr>
                <w:rFonts w:ascii="Arial" w:hAnsi="Arial"/>
                <w:sz w:val="19"/>
              </w:rPr>
              <w:t>Diagnostic report (this document)</w:t>
            </w:r>
          </w:p>
        </w:tc>
        <w:tc>
          <w:tcPr>
            <w:tcW w:type="dxa" w:w="3969"/>
            <w:vAlign w:val="top"/>
          </w:tcPr>
          <w:p>
            <w:r/>
            <w:r>
              <w:rPr>
                <w:rFonts w:ascii="Arial" w:hAnsi="Arial"/>
                <w:sz w:val="19"/>
              </w:rPr>
              <w:t>Workshop_Stock_FullSystem_Diagnostic_Report.docx</w:t>
            </w:r>
          </w:p>
        </w:tc>
      </w:tr>
      <w:tr>
        <w:tc>
          <w:tcPr>
            <w:tcW w:type="dxa" w:w="850"/>
            <w:vAlign w:val="top"/>
          </w:tcPr>
          <w:p>
            <w:r/>
            <w:r>
              <w:rPr>
                <w:rFonts w:ascii="Arial" w:hAnsi="Arial"/>
                <w:sz w:val="19"/>
              </w:rPr>
              <w:t>14</w:t>
            </w:r>
          </w:p>
        </w:tc>
        <w:tc>
          <w:tcPr>
            <w:tcW w:type="dxa" w:w="4252"/>
            <w:vAlign w:val="top"/>
          </w:tcPr>
          <w:p>
            <w:r/>
            <w:r>
              <w:rPr>
                <w:rFonts w:ascii="Arial" w:hAnsi="Arial"/>
                <w:sz w:val="19"/>
              </w:rPr>
              <w:t>A3 executive one-pager</w:t>
            </w:r>
          </w:p>
        </w:tc>
        <w:tc>
          <w:tcPr>
            <w:tcW w:type="dxa" w:w="3969"/>
            <w:vAlign w:val="top"/>
          </w:tcPr>
          <w:p>
            <w:r/>
            <w:r>
              <w:rPr>
                <w:rFonts w:ascii="Arial" w:hAnsi="Arial"/>
                <w:sz w:val="19"/>
              </w:rPr>
              <w:t>Workshop_Stock_Exec_OnePager.docx</w:t>
            </w:r>
          </w:p>
        </w:tc>
      </w:tr>
      <w:tr>
        <w:tc>
          <w:tcPr>
            <w:tcW w:type="dxa" w:w="850"/>
            <w:vAlign w:val="top"/>
          </w:tcPr>
          <w:p>
            <w:r/>
            <w:r>
              <w:rPr>
                <w:rFonts w:ascii="Arial" w:hAnsi="Arial"/>
                <w:sz w:val="19"/>
              </w:rPr>
              <w:t>15</w:t>
            </w:r>
          </w:p>
        </w:tc>
        <w:tc>
          <w:tcPr>
            <w:tcW w:type="dxa" w:w="4252"/>
            <w:vAlign w:val="top"/>
          </w:tcPr>
          <w:p>
            <w:r/>
            <w:r>
              <w:rPr>
                <w:rFonts w:ascii="Arial" w:hAnsi="Arial"/>
                <w:sz w:val="19"/>
              </w:rPr>
              <w:t>Current-state VSM (SVG)</w:t>
            </w:r>
          </w:p>
        </w:tc>
        <w:tc>
          <w:tcPr>
            <w:tcW w:type="dxa" w:w="3969"/>
            <w:vAlign w:val="top"/>
          </w:tcPr>
          <w:p>
            <w:r/>
            <w:r>
              <w:rPr>
                <w:rFonts w:ascii="Arial" w:hAnsi="Arial"/>
                <w:sz w:val="19"/>
              </w:rPr>
              <w:t>Process_Maps.html §1</w:t>
            </w:r>
          </w:p>
        </w:tc>
      </w:tr>
      <w:tr>
        <w:tc>
          <w:tcPr>
            <w:tcW w:type="dxa" w:w="850"/>
            <w:vAlign w:val="top"/>
          </w:tcPr>
          <w:p>
            <w:r/>
            <w:r>
              <w:rPr>
                <w:rFonts w:ascii="Arial" w:hAnsi="Arial"/>
                <w:sz w:val="19"/>
              </w:rPr>
              <w:t>15</w:t>
            </w:r>
          </w:p>
        </w:tc>
        <w:tc>
          <w:tcPr>
            <w:tcW w:type="dxa" w:w="4252"/>
            <w:vAlign w:val="top"/>
          </w:tcPr>
          <w:p>
            <w:r/>
            <w:r>
              <w:rPr>
                <w:rFonts w:ascii="Arial" w:hAnsi="Arial"/>
                <w:sz w:val="19"/>
              </w:rPr>
              <w:t>Fishbone (SVG)</w:t>
            </w:r>
          </w:p>
        </w:tc>
        <w:tc>
          <w:tcPr>
            <w:tcW w:type="dxa" w:w="3969"/>
            <w:vAlign w:val="top"/>
          </w:tcPr>
          <w:p>
            <w:r/>
            <w:r>
              <w:rPr>
                <w:rFonts w:ascii="Arial" w:hAnsi="Arial"/>
                <w:sz w:val="19"/>
              </w:rPr>
              <w:t>Process_Maps.html §2</w:t>
            </w:r>
          </w:p>
        </w:tc>
      </w:tr>
      <w:tr>
        <w:tc>
          <w:tcPr>
            <w:tcW w:type="dxa" w:w="850"/>
            <w:vAlign w:val="top"/>
          </w:tcPr>
          <w:p>
            <w:r/>
            <w:r>
              <w:rPr>
                <w:rFonts w:ascii="Arial" w:hAnsi="Arial"/>
                <w:sz w:val="19"/>
              </w:rPr>
              <w:t>15</w:t>
            </w:r>
          </w:p>
        </w:tc>
        <w:tc>
          <w:tcPr>
            <w:tcW w:type="dxa" w:w="4252"/>
            <w:vAlign w:val="top"/>
          </w:tcPr>
          <w:p>
            <w:r/>
            <w:r>
              <w:rPr>
                <w:rFonts w:ascii="Arial" w:hAnsi="Arial"/>
                <w:sz w:val="19"/>
              </w:rPr>
              <w:t>Future-state VSM (SVG)</w:t>
            </w:r>
          </w:p>
        </w:tc>
        <w:tc>
          <w:tcPr>
            <w:tcW w:type="dxa" w:w="3969"/>
            <w:vAlign w:val="top"/>
          </w:tcPr>
          <w:p>
            <w:r/>
            <w:r>
              <w:rPr>
                <w:rFonts w:ascii="Arial" w:hAnsi="Arial"/>
                <w:sz w:val="19"/>
              </w:rPr>
              <w:t>Process_Maps.html §3</w:t>
            </w:r>
          </w:p>
        </w:tc>
      </w:tr>
      <w:tr>
        <w:tc>
          <w:tcPr>
            <w:tcW w:type="dxa" w:w="850"/>
            <w:vAlign w:val="top"/>
          </w:tcPr>
          <w:p>
            <w:r/>
            <w:r>
              <w:rPr>
                <w:rFonts w:ascii="Arial" w:hAnsi="Arial"/>
                <w:sz w:val="19"/>
              </w:rPr>
              <w:t>15</w:t>
            </w:r>
          </w:p>
        </w:tc>
        <w:tc>
          <w:tcPr>
            <w:tcW w:type="dxa" w:w="4252"/>
            <w:vAlign w:val="top"/>
          </w:tcPr>
          <w:p>
            <w:r/>
            <w:r>
              <w:rPr>
                <w:rFonts w:ascii="Arial" w:hAnsi="Arial"/>
                <w:sz w:val="19"/>
              </w:rPr>
              <w:t>Spaghetti diagram mock-up</w:t>
            </w:r>
          </w:p>
        </w:tc>
        <w:tc>
          <w:tcPr>
            <w:tcW w:type="dxa" w:w="3969"/>
            <w:vAlign w:val="top"/>
          </w:tcPr>
          <w:p>
            <w:r/>
            <w:r>
              <w:rPr>
                <w:rFonts w:ascii="Arial" w:hAnsi="Arial"/>
                <w:sz w:val="19"/>
              </w:rPr>
              <w:t>Process_Maps.html §5</w:t>
            </w:r>
          </w:p>
        </w:tc>
      </w:tr>
      <w:tr>
        <w:tc>
          <w:tcPr>
            <w:tcW w:type="dxa" w:w="850"/>
            <w:vAlign w:val="top"/>
          </w:tcPr>
          <w:p>
            <w:r/>
            <w:r>
              <w:rPr>
                <w:rFonts w:ascii="Arial" w:hAnsi="Arial"/>
                <w:sz w:val="19"/>
              </w:rPr>
              <w:t>16</w:t>
            </w:r>
          </w:p>
        </w:tc>
        <w:tc>
          <w:tcPr>
            <w:tcW w:type="dxa" w:w="4252"/>
            <w:vAlign w:val="top"/>
          </w:tcPr>
          <w:p>
            <w:r/>
            <w:r>
              <w:rPr>
                <w:rFonts w:ascii="Arial" w:hAnsi="Arial"/>
                <w:sz w:val="19"/>
              </w:rPr>
              <w:t>KPI tracker (16 KPIs, RAG)</w:t>
            </w:r>
          </w:p>
        </w:tc>
        <w:tc>
          <w:tcPr>
            <w:tcW w:type="dxa" w:w="3969"/>
            <w:vAlign w:val="top"/>
          </w:tcPr>
          <w:p>
            <w:r/>
            <w:r>
              <w:rPr>
                <w:rFonts w:ascii="Arial" w:hAnsi="Arial"/>
                <w:sz w:val="19"/>
              </w:rPr>
              <w:t>Diagnostic.xlsx — KPI sheet</w:t>
            </w:r>
          </w:p>
        </w:tc>
      </w:tr>
      <w:tr>
        <w:tc>
          <w:tcPr>
            <w:tcW w:type="dxa" w:w="850"/>
            <w:vAlign w:val="top"/>
          </w:tcPr>
          <w:p>
            <w:r/>
            <w:r>
              <w:rPr>
                <w:rFonts w:ascii="Arial" w:hAnsi="Arial"/>
                <w:sz w:val="19"/>
              </w:rPr>
              <w:t>16</w:t>
            </w:r>
          </w:p>
        </w:tc>
        <w:tc>
          <w:tcPr>
            <w:tcW w:type="dxa" w:w="4252"/>
            <w:vAlign w:val="top"/>
          </w:tcPr>
          <w:p>
            <w:r/>
            <w:r>
              <w:rPr>
                <w:rFonts w:ascii="Arial" w:hAnsi="Arial"/>
                <w:sz w:val="19"/>
              </w:rPr>
              <w:t>FMEA risk register (16 entries)</w:t>
            </w:r>
          </w:p>
        </w:tc>
        <w:tc>
          <w:tcPr>
            <w:tcW w:type="dxa" w:w="3969"/>
            <w:vAlign w:val="top"/>
          </w:tcPr>
          <w:p>
            <w:r/>
            <w:r>
              <w:rPr>
                <w:rFonts w:ascii="Arial" w:hAnsi="Arial"/>
                <w:sz w:val="19"/>
              </w:rPr>
              <w:t>Diagnostic.xlsx — FMEA sheet</w:t>
            </w:r>
          </w:p>
        </w:tc>
      </w:tr>
      <w:tr>
        <w:tc>
          <w:tcPr>
            <w:tcW w:type="dxa" w:w="850"/>
            <w:vAlign w:val="top"/>
          </w:tcPr>
          <w:p>
            <w:r/>
            <w:r>
              <w:rPr>
                <w:rFonts w:ascii="Arial" w:hAnsi="Arial"/>
                <w:sz w:val="19"/>
              </w:rPr>
              <w:t>16</w:t>
            </w:r>
          </w:p>
        </w:tc>
        <w:tc>
          <w:tcPr>
            <w:tcW w:type="dxa" w:w="4252"/>
            <w:vAlign w:val="top"/>
          </w:tcPr>
          <w:p>
            <w:r/>
            <w:r>
              <w:rPr>
                <w:rFonts w:ascii="Arial" w:hAnsi="Arial"/>
                <w:sz w:val="19"/>
              </w:rPr>
              <w:t>Throughput economics model</w:t>
            </w:r>
          </w:p>
        </w:tc>
        <w:tc>
          <w:tcPr>
            <w:tcW w:type="dxa" w:w="3969"/>
            <w:vAlign w:val="top"/>
          </w:tcPr>
          <w:p>
            <w:r/>
            <w:r>
              <w:rPr>
                <w:rFonts w:ascii="Arial" w:hAnsi="Arial"/>
                <w:sz w:val="19"/>
              </w:rPr>
              <w:t>Diagnostic.xlsx — ThroughputEcon sheet</w:t>
            </w:r>
          </w:p>
        </w:tc>
      </w:tr>
      <w:tr>
        <w:tc>
          <w:tcPr>
            <w:tcW w:type="dxa" w:w="850"/>
            <w:vAlign w:val="top"/>
          </w:tcPr>
          <w:p>
            <w:r/>
            <w:r>
              <w:rPr>
                <w:rFonts w:ascii="Arial" w:hAnsi="Arial"/>
                <w:sz w:val="19"/>
              </w:rPr>
              <w:t>16</w:t>
            </w:r>
          </w:p>
        </w:tc>
        <w:tc>
          <w:tcPr>
            <w:tcW w:type="dxa" w:w="4252"/>
            <w:vAlign w:val="top"/>
          </w:tcPr>
          <w:p>
            <w:r/>
            <w:r>
              <w:rPr>
                <w:rFonts w:ascii="Arial" w:hAnsi="Arial"/>
                <w:sz w:val="19"/>
              </w:rPr>
              <w:t>Capacity model (Little's Law + M/M/1)</w:t>
            </w:r>
          </w:p>
        </w:tc>
        <w:tc>
          <w:tcPr>
            <w:tcW w:type="dxa" w:w="3969"/>
            <w:vAlign w:val="top"/>
          </w:tcPr>
          <w:p>
            <w:r/>
            <w:r>
              <w:rPr>
                <w:rFonts w:ascii="Arial" w:hAnsi="Arial"/>
                <w:sz w:val="19"/>
              </w:rPr>
              <w:t>Diagnostic.xlsx — Capacity sheet</w:t>
            </w:r>
          </w:p>
        </w:tc>
      </w:tr>
      <w:tr>
        <w:tc>
          <w:tcPr>
            <w:tcW w:type="dxa" w:w="850"/>
            <w:vAlign w:val="top"/>
          </w:tcPr>
          <w:p>
            <w:r/>
            <w:r>
              <w:rPr>
                <w:rFonts w:ascii="Arial" w:hAnsi="Arial"/>
                <w:sz w:val="19"/>
              </w:rPr>
              <w:t>16</w:t>
            </w:r>
          </w:p>
        </w:tc>
        <w:tc>
          <w:tcPr>
            <w:tcW w:type="dxa" w:w="4252"/>
            <w:vAlign w:val="top"/>
          </w:tcPr>
          <w:p>
            <w:r/>
            <w:r>
              <w:rPr>
                <w:rFonts w:ascii="Arial" w:hAnsi="Arial"/>
                <w:sz w:val="19"/>
              </w:rPr>
              <w:t>Decision matrix (16 recs, scored)</w:t>
            </w:r>
          </w:p>
        </w:tc>
        <w:tc>
          <w:tcPr>
            <w:tcW w:type="dxa" w:w="3969"/>
            <w:vAlign w:val="top"/>
          </w:tcPr>
          <w:p>
            <w:r/>
            <w:r>
              <w:rPr>
                <w:rFonts w:ascii="Arial" w:hAnsi="Arial"/>
                <w:sz w:val="19"/>
              </w:rPr>
              <w:t>Diagnostic.xlsx — Decision sheet</w:t>
            </w:r>
          </w:p>
        </w:tc>
      </w:tr>
      <w:tr>
        <w:tc>
          <w:tcPr>
            <w:tcW w:type="dxa" w:w="850"/>
            <w:vAlign w:val="top"/>
          </w:tcPr>
          <w:p>
            <w:r/>
            <w:r>
              <w:rPr>
                <w:rFonts w:ascii="Arial" w:hAnsi="Arial"/>
                <w:sz w:val="19"/>
              </w:rPr>
              <w:t>16</w:t>
            </w:r>
          </w:p>
        </w:tc>
        <w:tc>
          <w:tcPr>
            <w:tcW w:type="dxa" w:w="4252"/>
            <w:vAlign w:val="top"/>
          </w:tcPr>
          <w:p>
            <w:r/>
            <w:r>
              <w:rPr>
                <w:rFonts w:ascii="Arial" w:hAnsi="Arial"/>
                <w:sz w:val="19"/>
              </w:rPr>
              <w:t>TIMWOODS waste Pareto</w:t>
            </w:r>
          </w:p>
        </w:tc>
        <w:tc>
          <w:tcPr>
            <w:tcW w:type="dxa" w:w="3969"/>
            <w:vAlign w:val="top"/>
          </w:tcPr>
          <w:p>
            <w:r/>
            <w:r>
              <w:rPr>
                <w:rFonts w:ascii="Arial" w:hAnsi="Arial"/>
                <w:sz w:val="19"/>
              </w:rPr>
              <w:t>Diagnostic.xlsx — WastePareto sheet</w:t>
            </w:r>
          </w:p>
        </w:tc>
      </w:tr>
      <w:tr>
        <w:tc>
          <w:tcPr>
            <w:tcW w:type="dxa" w:w="850"/>
            <w:vAlign w:val="top"/>
          </w:tcPr>
          <w:p>
            <w:r/>
            <w:r>
              <w:rPr>
                <w:rFonts w:ascii="Arial" w:hAnsi="Arial"/>
                <w:sz w:val="19"/>
              </w:rPr>
              <w:t>16</w:t>
            </w:r>
          </w:p>
        </w:tc>
        <w:tc>
          <w:tcPr>
            <w:tcW w:type="dxa" w:w="4252"/>
            <w:vAlign w:val="top"/>
          </w:tcPr>
          <w:p>
            <w:r/>
            <w:r>
              <w:rPr>
                <w:rFonts w:ascii="Arial" w:hAnsi="Arial"/>
                <w:sz w:val="19"/>
              </w:rPr>
              <w:t>Time-motion design (14 metrics)</w:t>
            </w:r>
          </w:p>
        </w:tc>
        <w:tc>
          <w:tcPr>
            <w:tcW w:type="dxa" w:w="3969"/>
            <w:vAlign w:val="top"/>
          </w:tcPr>
          <w:p>
            <w:r/>
            <w:r>
              <w:rPr>
                <w:rFonts w:ascii="Arial" w:hAnsi="Arial"/>
                <w:sz w:val="19"/>
              </w:rPr>
              <w:t>Diagnostic.xlsx — TimeMotionDesign sheet</w:t>
            </w:r>
          </w:p>
        </w:tc>
      </w:tr>
      <w:tr>
        <w:tc>
          <w:tcPr>
            <w:tcW w:type="dxa" w:w="850"/>
            <w:vAlign w:val="top"/>
          </w:tcPr>
          <w:p>
            <w:r/>
            <w:r>
              <w:rPr>
                <w:rFonts w:ascii="Arial" w:hAnsi="Arial"/>
                <w:sz w:val="19"/>
              </w:rPr>
              <w:t>17</w:t>
            </w:r>
          </w:p>
        </w:tc>
        <w:tc>
          <w:tcPr>
            <w:tcW w:type="dxa" w:w="4252"/>
            <w:vAlign w:val="top"/>
          </w:tcPr>
          <w:p>
            <w:r/>
            <w:r>
              <w:rPr>
                <w:rFonts w:ascii="Arial" w:hAnsi="Arial"/>
                <w:sz w:val="19"/>
              </w:rPr>
              <w:t>Operational scorecard (live)</w:t>
            </w:r>
          </w:p>
        </w:tc>
        <w:tc>
          <w:tcPr>
            <w:tcW w:type="dxa" w:w="3969"/>
            <w:vAlign w:val="top"/>
          </w:tcPr>
          <w:p>
            <w:r/>
            <w:r>
              <w:rPr>
                <w:rFonts w:ascii="Arial" w:hAnsi="Arial"/>
                <w:sz w:val="19"/>
              </w:rPr>
              <w:t>Diagnostic.xlsx — KPI sheet (Update Current each cycle)</w:t>
            </w:r>
          </w:p>
        </w:tc>
      </w:tr>
    </w:tbl>
    <w:p>
      <w:r>
        <w:rPr>
          <w:rFonts w:ascii="Arial" w:hAnsi="Arial"/>
          <w:b w:val="0"/>
          <w:i/>
          <w:color w:val="555555"/>
          <w:sz w:val="21"/>
        </w:rPr>
        <w:t>Power BI is not generated here because no live data exists yet; the KPI sheet is the interim scorecard until app telemetry is live, at which point the same column structure imports straight into Looker Studio / Power BI without rework.</w:t>
      </w:r>
    </w:p>
    <w:p>
      <w:r>
        <w:br w:type="page"/>
      </w:r>
    </w:p>
    <w:p>
      <w:r>
        <w:rPr>
          <w:rFonts w:ascii="Arial" w:hAnsi="Arial"/>
          <w:b/>
          <w:color w:val="1F3864"/>
          <w:sz w:val="32"/>
        </w:rPr>
        <w:t>Steps 18–20 · Automation, Implementation, Measurement</w:t>
      </w:r>
    </w:p>
    <w:p>
      <w:r>
        <w:rPr>
          <w:rFonts w:ascii="Arial" w:hAnsi="Arial"/>
          <w:b/>
          <w:color w:val="2E74B5"/>
          <w:sz w:val="26"/>
        </w:rPr>
        <w:t>Step 18 — Automation roadmap (including Time-and-Motion studies)</w:t>
      </w:r>
    </w:p>
    <w:p>
      <w:r>
        <w:rPr>
          <w:rFonts w:ascii="Arial" w:hAnsi="Arial"/>
          <w:b/>
          <w:i w:val="0"/>
          <w:sz w:val="21"/>
        </w:rPr>
        <w:t>This is the section the PRD did not yet cover. Premise: every measurement we add must be a free side-effect of the app already doing its job — zero extra clicks for workers. Five principles + 14 measurement points. Full sheet: TimeMotionDesign.</w:t>
      </w:r>
    </w:p>
    <w:p>
      <w:r>
        <w:rPr>
          <w:rFonts w:ascii="Arial" w:hAnsi="Arial"/>
          <w:b w:val="0"/>
          <w:i w:val="0"/>
          <w:sz w:val="21"/>
        </w:rPr>
        <w:t>Principles:</w:t>
      </w:r>
    </w:p>
    <w:p>
      <w:pPr>
        <w:pStyle w:val="ListBullet"/>
        <w:ind w:left="340"/>
      </w:pPr>
      <w:r>
        <w:rPr>
          <w:rFonts w:ascii="Arial" w:hAnsi="Arial"/>
          <w:sz w:val="21"/>
        </w:rPr>
        <w:t>P1 — Every transaction already has timestamps; differences = free metrics.</w:t>
      </w:r>
    </w:p>
    <w:p>
      <w:pPr>
        <w:pStyle w:val="ListBullet"/>
        <w:ind w:left="340"/>
      </w:pPr>
      <w:r>
        <w:rPr>
          <w:rFonts w:ascii="Arial" w:hAnsi="Arial"/>
          <w:sz w:val="21"/>
        </w:rPr>
        <w:t>P2 — GPS lat/lng on submit + status change = the app becomes a passive motion sensor.</w:t>
      </w:r>
    </w:p>
    <w:p>
      <w:pPr>
        <w:pStyle w:val="ListBullet"/>
        <w:ind w:left="340"/>
      </w:pPr>
      <w:r>
        <w:rPr>
          <w:rFonts w:ascii="Arial" w:hAnsi="Arial"/>
          <w:sz w:val="21"/>
        </w:rPr>
        <w:t>P3 — Location codes + timestamps = auto-generated Spaghetti Diagram of the SC's day.</w:t>
      </w:r>
    </w:p>
    <w:p>
      <w:pPr>
        <w:pStyle w:val="ListBullet"/>
        <w:ind w:left="340"/>
      </w:pPr>
      <w:r>
        <w:rPr>
          <w:rFonts w:ascii="Arial" w:hAnsi="Arial"/>
          <w:sz w:val="21"/>
        </w:rPr>
        <w:t>P4 — Phase F manual timing of 30 issuances becomes the baseline for a direct pre-vs-post A/B that defends ROI to Vincent and John.</w:t>
      </w:r>
    </w:p>
    <w:p>
      <w:pPr>
        <w:pStyle w:val="ListBullet"/>
        <w:ind w:left="340"/>
      </w:pPr>
      <w:r>
        <w:rPr>
          <w:rFonts w:ascii="Arial" w:hAnsi="Arial"/>
          <w:sz w:val="21"/>
        </w:rPr>
        <w:t>P5 — Make it visible. One dashboard tile per metric.</w:t>
      </w:r>
    </w:p>
    <w:p>
      <w:r>
        <w:rPr>
          <w:rFonts w:ascii="Arial" w:hAnsi="Arial"/>
          <w:b w:val="0"/>
          <w:i w:val="0"/>
          <w:sz w:val="21"/>
        </w:rPr>
        <w:t>The 14 measurement points (TM-01 … TM-14):</w:t>
      </w:r>
    </w:p>
    <w:tbl>
      <w:tblPr>
        <w:tblStyle w:val="LightGrid-Accent1"/>
        <w:tblW w:type="auto" w:w="0"/>
        <w:tblLook w:firstColumn="1" w:firstRow="1" w:lastColumn="0" w:lastRow="0" w:noHBand="0" w:noVBand="1" w:val="04A0"/>
      </w:tblPr>
      <w:tblGrid>
        <w:gridCol w:w="2493"/>
        <w:gridCol w:w="2493"/>
        <w:gridCol w:w="2493"/>
        <w:gridCol w:w="2493"/>
      </w:tblGrid>
      <w:tr>
        <w:tc>
          <w:tcPr>
            <w:tcW w:type="dxa" w:w="680"/>
            <w:shd w:val="clear" w:color="auto" w:fill="1F3864"/>
            <w:vAlign w:val="center"/>
          </w:tcPr>
          <w:p>
            <w:r/>
            <w:r>
              <w:rPr>
                <w:rFonts w:ascii="Arial" w:hAnsi="Arial"/>
                <w:b/>
                <w:color w:val="FFFFFF"/>
                <w:sz w:val="20"/>
              </w:rPr>
              <w:t>ID</w:t>
            </w:r>
          </w:p>
        </w:tc>
        <w:tc>
          <w:tcPr>
            <w:tcW w:type="dxa" w:w="2268"/>
            <w:shd w:val="clear" w:color="auto" w:fill="1F3864"/>
            <w:vAlign w:val="center"/>
          </w:tcPr>
          <w:p>
            <w:r/>
            <w:r>
              <w:rPr>
                <w:rFonts w:ascii="Arial" w:hAnsi="Arial"/>
                <w:b/>
                <w:color w:val="FFFFFF"/>
                <w:sz w:val="20"/>
              </w:rPr>
              <w:t>Metric</w:t>
            </w:r>
          </w:p>
        </w:tc>
        <w:tc>
          <w:tcPr>
            <w:tcW w:type="dxa" w:w="4252"/>
            <w:shd w:val="clear" w:color="auto" w:fill="1F3864"/>
            <w:vAlign w:val="center"/>
          </w:tcPr>
          <w:p>
            <w:r/>
            <w:r>
              <w:rPr>
                <w:rFonts w:ascii="Arial" w:hAnsi="Arial"/>
                <w:b/>
                <w:color w:val="FFFFFF"/>
                <w:sz w:val="20"/>
              </w:rPr>
              <w:t>Capture mechanism</w:t>
            </w:r>
          </w:p>
        </w:tc>
        <w:tc>
          <w:tcPr>
            <w:tcW w:type="dxa" w:w="1871"/>
            <w:shd w:val="clear" w:color="auto" w:fill="1F3864"/>
            <w:vAlign w:val="center"/>
          </w:tcPr>
          <w:p>
            <w:r/>
            <w:r>
              <w:rPr>
                <w:rFonts w:ascii="Arial" w:hAnsi="Arial"/>
                <w:b/>
                <w:color w:val="FFFFFF"/>
                <w:sz w:val="20"/>
              </w:rPr>
              <w:t>Cost to add</w:t>
            </w:r>
          </w:p>
        </w:tc>
      </w:tr>
      <w:tr>
        <w:tc>
          <w:tcPr>
            <w:tcW w:type="dxa" w:w="680"/>
            <w:vAlign w:val="top"/>
          </w:tcPr>
          <w:p>
            <w:r/>
            <w:r>
              <w:rPr>
                <w:rFonts w:ascii="Arial" w:hAnsi="Arial"/>
                <w:sz w:val="19"/>
              </w:rPr>
              <w:t>TM-01</w:t>
            </w:r>
          </w:p>
        </w:tc>
        <w:tc>
          <w:tcPr>
            <w:tcW w:type="dxa" w:w="2268"/>
            <w:vAlign w:val="top"/>
          </w:tcPr>
          <w:p>
            <w:r/>
            <w:r>
              <w:rPr>
                <w:rFonts w:ascii="Arial" w:hAnsi="Arial"/>
                <w:sz w:val="19"/>
              </w:rPr>
              <w:t>Notification latency</w:t>
            </w:r>
          </w:p>
        </w:tc>
        <w:tc>
          <w:tcPr>
            <w:tcW w:type="dxa" w:w="4252"/>
            <w:vAlign w:val="top"/>
          </w:tcPr>
          <w:p>
            <w:r/>
            <w:r>
              <w:rPr>
                <w:rFonts w:ascii="Arial" w:hAnsi="Arial"/>
                <w:sz w:val="19"/>
              </w:rPr>
              <w:t>T_submit → T_notif (built-in timestamps)</w:t>
            </w:r>
          </w:p>
        </w:tc>
        <w:tc>
          <w:tcPr>
            <w:tcW w:type="dxa" w:w="1871"/>
            <w:vAlign w:val="top"/>
          </w:tcPr>
          <w:p>
            <w:r/>
            <w:r>
              <w:rPr>
                <w:rFonts w:ascii="Arial" w:hAnsi="Arial"/>
                <w:sz w:val="19"/>
              </w:rPr>
              <w:t>Free</w:t>
            </w:r>
          </w:p>
        </w:tc>
      </w:tr>
      <w:tr>
        <w:tc>
          <w:tcPr>
            <w:tcW w:type="dxa" w:w="680"/>
            <w:vAlign w:val="top"/>
          </w:tcPr>
          <w:p>
            <w:r/>
            <w:r>
              <w:rPr>
                <w:rFonts w:ascii="Arial" w:hAnsi="Arial"/>
                <w:sz w:val="19"/>
              </w:rPr>
              <w:t>TM-02</w:t>
            </w:r>
          </w:p>
        </w:tc>
        <w:tc>
          <w:tcPr>
            <w:tcW w:type="dxa" w:w="2268"/>
            <w:vAlign w:val="top"/>
          </w:tcPr>
          <w:p>
            <w:r/>
            <w:r>
              <w:rPr>
                <w:rFonts w:ascii="Arial" w:hAnsi="Arial"/>
                <w:sz w:val="19"/>
              </w:rPr>
              <w:t>Defect-to-Request latency</w:t>
            </w:r>
          </w:p>
        </w:tc>
        <w:tc>
          <w:tcPr>
            <w:tcW w:type="dxa" w:w="4252"/>
            <w:vAlign w:val="top"/>
          </w:tcPr>
          <w:p>
            <w:r/>
            <w:r>
              <w:rPr>
                <w:rFonts w:ascii="Arial" w:hAnsi="Arial"/>
                <w:sz w:val="19"/>
              </w:rPr>
              <w:t>T_defect_marked → T_request_submitted</w:t>
            </w:r>
          </w:p>
        </w:tc>
        <w:tc>
          <w:tcPr>
            <w:tcW w:type="dxa" w:w="1871"/>
            <w:vAlign w:val="top"/>
          </w:tcPr>
          <w:p>
            <w:r/>
            <w:r>
              <w:rPr>
                <w:rFonts w:ascii="Arial" w:hAnsi="Arial"/>
                <w:sz w:val="19"/>
              </w:rPr>
              <w:t>Free</w:t>
            </w:r>
          </w:p>
        </w:tc>
      </w:tr>
      <w:tr>
        <w:tc>
          <w:tcPr>
            <w:tcW w:type="dxa" w:w="680"/>
            <w:vAlign w:val="top"/>
          </w:tcPr>
          <w:p>
            <w:r/>
            <w:r>
              <w:rPr>
                <w:rFonts w:ascii="Arial" w:hAnsi="Arial"/>
                <w:sz w:val="19"/>
              </w:rPr>
              <w:t>TM-03</w:t>
            </w:r>
          </w:p>
        </w:tc>
        <w:tc>
          <w:tcPr>
            <w:tcW w:type="dxa" w:w="2268"/>
            <w:vAlign w:val="top"/>
          </w:tcPr>
          <w:p>
            <w:r/>
            <w:r>
              <w:rPr>
                <w:rFonts w:ascii="Arial" w:hAnsi="Arial"/>
                <w:sz w:val="19"/>
              </w:rPr>
              <w:t>Decision latency</w:t>
            </w:r>
          </w:p>
        </w:tc>
        <w:tc>
          <w:tcPr>
            <w:tcW w:type="dxa" w:w="4252"/>
            <w:vAlign w:val="top"/>
          </w:tcPr>
          <w:p>
            <w:r/>
            <w:r>
              <w:rPr>
                <w:rFonts w:ascii="Arial" w:hAnsi="Arial"/>
                <w:sz w:val="19"/>
              </w:rPr>
              <w:t>T_notif → T_SC_decision</w:t>
            </w:r>
          </w:p>
        </w:tc>
        <w:tc>
          <w:tcPr>
            <w:tcW w:type="dxa" w:w="1871"/>
            <w:vAlign w:val="top"/>
          </w:tcPr>
          <w:p>
            <w:r/>
            <w:r>
              <w:rPr>
                <w:rFonts w:ascii="Arial" w:hAnsi="Arial"/>
                <w:sz w:val="19"/>
              </w:rPr>
              <w:t>Free</w:t>
            </w:r>
          </w:p>
        </w:tc>
      </w:tr>
      <w:tr>
        <w:tc>
          <w:tcPr>
            <w:tcW w:type="dxa" w:w="680"/>
            <w:vAlign w:val="top"/>
          </w:tcPr>
          <w:p>
            <w:r/>
            <w:r>
              <w:rPr>
                <w:rFonts w:ascii="Arial" w:hAnsi="Arial"/>
                <w:sz w:val="19"/>
              </w:rPr>
              <w:t>TM-04</w:t>
            </w:r>
          </w:p>
        </w:tc>
        <w:tc>
          <w:tcPr>
            <w:tcW w:type="dxa" w:w="2268"/>
            <w:vAlign w:val="top"/>
          </w:tcPr>
          <w:p>
            <w:r/>
            <w:r>
              <w:rPr>
                <w:rFonts w:ascii="Arial" w:hAnsi="Arial"/>
                <w:sz w:val="19"/>
              </w:rPr>
              <w:t>Handover latency</w:t>
            </w:r>
          </w:p>
        </w:tc>
        <w:tc>
          <w:tcPr>
            <w:tcW w:type="dxa" w:w="4252"/>
            <w:vAlign w:val="top"/>
          </w:tcPr>
          <w:p>
            <w:r/>
            <w:r>
              <w:rPr>
                <w:rFonts w:ascii="Arial" w:hAnsi="Arial"/>
                <w:sz w:val="19"/>
              </w:rPr>
              <w:t>T_decision → T_handover</w:t>
            </w:r>
          </w:p>
        </w:tc>
        <w:tc>
          <w:tcPr>
            <w:tcW w:type="dxa" w:w="1871"/>
            <w:vAlign w:val="top"/>
          </w:tcPr>
          <w:p>
            <w:r/>
            <w:r>
              <w:rPr>
                <w:rFonts w:ascii="Arial" w:hAnsi="Arial"/>
                <w:sz w:val="19"/>
              </w:rPr>
              <w:t>Free</w:t>
            </w:r>
          </w:p>
        </w:tc>
      </w:tr>
      <w:tr>
        <w:tc>
          <w:tcPr>
            <w:tcW w:type="dxa" w:w="680"/>
            <w:vAlign w:val="top"/>
          </w:tcPr>
          <w:p>
            <w:r/>
            <w:r>
              <w:rPr>
                <w:rFonts w:ascii="Arial" w:hAnsi="Arial"/>
                <w:sz w:val="19"/>
              </w:rPr>
              <w:t>TM-05</w:t>
            </w:r>
          </w:p>
        </w:tc>
        <w:tc>
          <w:tcPr>
            <w:tcW w:type="dxa" w:w="2268"/>
            <w:vAlign w:val="top"/>
          </w:tcPr>
          <w:p>
            <w:r/>
            <w:r>
              <w:rPr>
                <w:rFonts w:ascii="Arial" w:hAnsi="Arial"/>
                <w:sz w:val="19"/>
              </w:rPr>
              <w:t>Closeout latency</w:t>
            </w:r>
          </w:p>
        </w:tc>
        <w:tc>
          <w:tcPr>
            <w:tcW w:type="dxa" w:w="4252"/>
            <w:vAlign w:val="top"/>
          </w:tcPr>
          <w:p>
            <w:r/>
            <w:r>
              <w:rPr>
                <w:rFonts w:ascii="Arial" w:hAnsi="Arial"/>
                <w:sz w:val="19"/>
              </w:rPr>
              <w:t>T_handover → T_complete</w:t>
            </w:r>
          </w:p>
        </w:tc>
        <w:tc>
          <w:tcPr>
            <w:tcW w:type="dxa" w:w="1871"/>
            <w:vAlign w:val="top"/>
          </w:tcPr>
          <w:p>
            <w:r/>
            <w:r>
              <w:rPr>
                <w:rFonts w:ascii="Arial" w:hAnsi="Arial"/>
                <w:sz w:val="19"/>
              </w:rPr>
              <w:t>Free</w:t>
            </w:r>
          </w:p>
        </w:tc>
      </w:tr>
      <w:tr>
        <w:tc>
          <w:tcPr>
            <w:tcW w:type="dxa" w:w="680"/>
            <w:vAlign w:val="top"/>
          </w:tcPr>
          <w:p>
            <w:r/>
            <w:r>
              <w:rPr>
                <w:rFonts w:ascii="Arial" w:hAnsi="Arial"/>
                <w:sz w:val="19"/>
              </w:rPr>
              <w:t>TM-06</w:t>
            </w:r>
          </w:p>
        </w:tc>
        <w:tc>
          <w:tcPr>
            <w:tcW w:type="dxa" w:w="2268"/>
            <w:vAlign w:val="top"/>
          </w:tcPr>
          <w:p>
            <w:r/>
            <w:r>
              <w:rPr>
                <w:rFonts w:ascii="Arial" w:hAnsi="Arial"/>
                <w:sz w:val="19"/>
              </w:rPr>
              <w:t>Total cycle time</w:t>
            </w:r>
          </w:p>
        </w:tc>
        <w:tc>
          <w:tcPr>
            <w:tcW w:type="dxa" w:w="4252"/>
            <w:vAlign w:val="top"/>
          </w:tcPr>
          <w:p>
            <w:r/>
            <w:r>
              <w:rPr>
                <w:rFonts w:ascii="Arial" w:hAnsi="Arial"/>
                <w:sz w:val="19"/>
              </w:rPr>
              <w:t>T_submit → T_complete (the headline KPI)</w:t>
            </w:r>
          </w:p>
        </w:tc>
        <w:tc>
          <w:tcPr>
            <w:tcW w:type="dxa" w:w="1871"/>
            <w:vAlign w:val="top"/>
          </w:tcPr>
          <w:p>
            <w:r/>
            <w:r>
              <w:rPr>
                <w:rFonts w:ascii="Arial" w:hAnsi="Arial"/>
                <w:sz w:val="19"/>
              </w:rPr>
              <w:t>Free</w:t>
            </w:r>
          </w:p>
        </w:tc>
      </w:tr>
      <w:tr>
        <w:tc>
          <w:tcPr>
            <w:tcW w:type="dxa" w:w="680"/>
            <w:vAlign w:val="top"/>
          </w:tcPr>
          <w:p>
            <w:r/>
            <w:r>
              <w:rPr>
                <w:rFonts w:ascii="Arial" w:hAnsi="Arial"/>
                <w:sz w:val="19"/>
              </w:rPr>
              <w:t>TM-07</w:t>
            </w:r>
          </w:p>
        </w:tc>
        <w:tc>
          <w:tcPr>
            <w:tcW w:type="dxa" w:w="2268"/>
            <w:vAlign w:val="top"/>
          </w:tcPr>
          <w:p>
            <w:r/>
            <w:r>
              <w:rPr>
                <w:rFonts w:ascii="Arial" w:hAnsi="Arial"/>
                <w:sz w:val="19"/>
              </w:rPr>
              <w:t>Travel time + distance (GPS)</w:t>
            </w:r>
          </w:p>
        </w:tc>
        <w:tc>
          <w:tcPr>
            <w:tcW w:type="dxa" w:w="4252"/>
            <w:vAlign w:val="top"/>
          </w:tcPr>
          <w:p>
            <w:r/>
            <w:r>
              <w:rPr>
                <w:rFonts w:ascii="Arial" w:hAnsi="Arial"/>
                <w:sz w:val="19"/>
              </w:rPr>
              <w:t>GPS on submit vs handover</w:t>
            </w:r>
          </w:p>
        </w:tc>
        <w:tc>
          <w:tcPr>
            <w:tcW w:type="dxa" w:w="1871"/>
            <w:vAlign w:val="top"/>
          </w:tcPr>
          <w:p>
            <w:r/>
            <w:r>
              <w:rPr>
                <w:rFonts w:ascii="Arial" w:hAnsi="Arial"/>
                <w:sz w:val="19"/>
              </w:rPr>
              <w:t>1 GPS field</w:t>
            </w:r>
          </w:p>
        </w:tc>
      </w:tr>
      <w:tr>
        <w:tc>
          <w:tcPr>
            <w:tcW w:type="dxa" w:w="680"/>
            <w:vAlign w:val="top"/>
          </w:tcPr>
          <w:p>
            <w:r/>
            <w:r>
              <w:rPr>
                <w:rFonts w:ascii="Arial" w:hAnsi="Arial"/>
                <w:sz w:val="19"/>
              </w:rPr>
              <w:t>TM-08</w:t>
            </w:r>
          </w:p>
        </w:tc>
        <w:tc>
          <w:tcPr>
            <w:tcW w:type="dxa" w:w="2268"/>
            <w:vAlign w:val="top"/>
          </w:tcPr>
          <w:p>
            <w:r/>
            <w:r>
              <w:rPr>
                <w:rFonts w:ascii="Arial" w:hAnsi="Arial"/>
                <w:sz w:val="19"/>
              </w:rPr>
              <w:t>Repeat-trip detection</w:t>
            </w:r>
          </w:p>
        </w:tc>
        <w:tc>
          <w:tcPr>
            <w:tcW w:type="dxa" w:w="4252"/>
            <w:vAlign w:val="top"/>
          </w:tcPr>
          <w:p>
            <w:r/>
            <w:r>
              <w:rPr>
                <w:rFonts w:ascii="Arial" w:hAnsi="Arial"/>
                <w:sz w:val="19"/>
              </w:rPr>
              <w:t>Same worker + plant within 24h</w:t>
            </w:r>
          </w:p>
        </w:tc>
        <w:tc>
          <w:tcPr>
            <w:tcW w:type="dxa" w:w="1871"/>
            <w:vAlign w:val="top"/>
          </w:tcPr>
          <w:p>
            <w:r/>
            <w:r>
              <w:rPr>
                <w:rFonts w:ascii="Arial" w:hAnsi="Arial"/>
                <w:sz w:val="19"/>
              </w:rPr>
              <w:t>1 AppSheet bot</w:t>
            </w:r>
          </w:p>
        </w:tc>
      </w:tr>
      <w:tr>
        <w:tc>
          <w:tcPr>
            <w:tcW w:type="dxa" w:w="680"/>
            <w:vAlign w:val="top"/>
          </w:tcPr>
          <w:p>
            <w:r/>
            <w:r>
              <w:rPr>
                <w:rFonts w:ascii="Arial" w:hAnsi="Arial"/>
                <w:sz w:val="19"/>
              </w:rPr>
              <w:t>TM-09</w:t>
            </w:r>
          </w:p>
        </w:tc>
        <w:tc>
          <w:tcPr>
            <w:tcW w:type="dxa" w:w="2268"/>
            <w:vAlign w:val="top"/>
          </w:tcPr>
          <w:p>
            <w:r/>
            <w:r>
              <w:rPr>
                <w:rFonts w:ascii="Arial" w:hAnsi="Arial"/>
                <w:sz w:val="19"/>
              </w:rPr>
              <w:t>Stockout AED-impact</w:t>
            </w:r>
          </w:p>
        </w:tc>
        <w:tc>
          <w:tcPr>
            <w:tcW w:type="dxa" w:w="4252"/>
            <w:vAlign w:val="top"/>
          </w:tcPr>
          <w:p>
            <w:r/>
            <w:r>
              <w:rPr>
                <w:rFonts w:ascii="Arial" w:hAnsi="Arial"/>
                <w:sz w:val="19"/>
              </w:rPr>
              <w:t>On Reject reason=OOS, capture est. lost-hours from worker</w:t>
            </w:r>
          </w:p>
        </w:tc>
        <w:tc>
          <w:tcPr>
            <w:tcW w:type="dxa" w:w="1871"/>
            <w:vAlign w:val="top"/>
          </w:tcPr>
          <w:p>
            <w:r/>
            <w:r>
              <w:rPr>
                <w:rFonts w:ascii="Arial" w:hAnsi="Arial"/>
                <w:sz w:val="19"/>
              </w:rPr>
              <w:t>1 dropdown (2 sec)</w:t>
            </w:r>
          </w:p>
        </w:tc>
      </w:tr>
      <w:tr>
        <w:tc>
          <w:tcPr>
            <w:tcW w:type="dxa" w:w="680"/>
            <w:vAlign w:val="top"/>
          </w:tcPr>
          <w:p>
            <w:r/>
            <w:r>
              <w:rPr>
                <w:rFonts w:ascii="Arial" w:hAnsi="Arial"/>
                <w:sz w:val="19"/>
              </w:rPr>
              <w:t>TM-10</w:t>
            </w:r>
          </w:p>
        </w:tc>
        <w:tc>
          <w:tcPr>
            <w:tcW w:type="dxa" w:w="2268"/>
            <w:vAlign w:val="top"/>
          </w:tcPr>
          <w:p>
            <w:r/>
            <w:r>
              <w:rPr>
                <w:rFonts w:ascii="Arial" w:hAnsi="Arial"/>
                <w:sz w:val="19"/>
              </w:rPr>
              <w:t>SC pick-time standard</w:t>
            </w:r>
          </w:p>
        </w:tc>
        <w:tc>
          <w:tcPr>
            <w:tcW w:type="dxa" w:w="4252"/>
            <w:vAlign w:val="top"/>
          </w:tcPr>
          <w:p>
            <w:r/>
            <w:r>
              <w:rPr>
                <w:rFonts w:ascii="Arial" w:hAnsi="Arial"/>
                <w:sz w:val="19"/>
              </w:rPr>
              <w:t>Optional 'Start Pick' / 'End Pick' taps</w:t>
            </w:r>
          </w:p>
        </w:tc>
        <w:tc>
          <w:tcPr>
            <w:tcW w:type="dxa" w:w="1871"/>
            <w:vAlign w:val="top"/>
          </w:tcPr>
          <w:p>
            <w:r/>
            <w:r>
              <w:rPr>
                <w:rFonts w:ascii="Arial" w:hAnsi="Arial"/>
                <w:sz w:val="19"/>
              </w:rPr>
              <w:t>2 taps, opt-in</w:t>
            </w:r>
          </w:p>
        </w:tc>
      </w:tr>
      <w:tr>
        <w:tc>
          <w:tcPr>
            <w:tcW w:type="dxa" w:w="680"/>
            <w:vAlign w:val="top"/>
          </w:tcPr>
          <w:p>
            <w:r/>
            <w:r>
              <w:rPr>
                <w:rFonts w:ascii="Arial" w:hAnsi="Arial"/>
                <w:sz w:val="19"/>
              </w:rPr>
              <w:t>TM-11</w:t>
            </w:r>
          </w:p>
        </w:tc>
        <w:tc>
          <w:tcPr>
            <w:tcW w:type="dxa" w:w="2268"/>
            <w:vAlign w:val="top"/>
          </w:tcPr>
          <w:p>
            <w:r/>
            <w:r>
              <w:rPr>
                <w:rFonts w:ascii="Arial" w:hAnsi="Arial"/>
                <w:sz w:val="19"/>
              </w:rPr>
              <w:t>Catalog navigation UX</w:t>
            </w:r>
          </w:p>
        </w:tc>
        <w:tc>
          <w:tcPr>
            <w:tcW w:type="dxa" w:w="4252"/>
            <w:vAlign w:val="top"/>
          </w:tcPr>
          <w:p>
            <w:r/>
            <w:r>
              <w:rPr>
                <w:rFonts w:ascii="Arial" w:hAnsi="Arial"/>
                <w:sz w:val="19"/>
              </w:rPr>
              <w:t>Tap-sequence + time-on-screen log</w:t>
            </w:r>
          </w:p>
        </w:tc>
        <w:tc>
          <w:tcPr>
            <w:tcW w:type="dxa" w:w="1871"/>
            <w:vAlign w:val="top"/>
          </w:tcPr>
          <w:p>
            <w:r/>
            <w:r>
              <w:rPr>
                <w:rFonts w:ascii="Arial" w:hAnsi="Arial"/>
                <w:sz w:val="19"/>
              </w:rPr>
              <w:t>1 hidden table</w:t>
            </w:r>
          </w:p>
        </w:tc>
      </w:tr>
      <w:tr>
        <w:tc>
          <w:tcPr>
            <w:tcW w:type="dxa" w:w="680"/>
            <w:vAlign w:val="top"/>
          </w:tcPr>
          <w:p>
            <w:r/>
            <w:r>
              <w:rPr>
                <w:rFonts w:ascii="Arial" w:hAnsi="Arial"/>
                <w:sz w:val="19"/>
              </w:rPr>
              <w:t>TM-12</w:t>
            </w:r>
          </w:p>
        </w:tc>
        <w:tc>
          <w:tcPr>
            <w:tcW w:type="dxa" w:w="2268"/>
            <w:vAlign w:val="top"/>
          </w:tcPr>
          <w:p>
            <w:r/>
            <w:r>
              <w:rPr>
                <w:rFonts w:ascii="Arial" w:hAnsi="Arial"/>
                <w:sz w:val="19"/>
              </w:rPr>
              <w:t>Location pick-heatmap</w:t>
            </w:r>
          </w:p>
        </w:tc>
        <w:tc>
          <w:tcPr>
            <w:tcW w:type="dxa" w:w="4252"/>
            <w:vAlign w:val="top"/>
          </w:tcPr>
          <w:p>
            <w:r/>
            <w:r>
              <w:rPr>
                <w:rFonts w:ascii="Arial" w:hAnsi="Arial"/>
                <w:sz w:val="19"/>
              </w:rPr>
              <w:t>LocCode logged at pick</w:t>
            </w:r>
          </w:p>
        </w:tc>
        <w:tc>
          <w:tcPr>
            <w:tcW w:type="dxa" w:w="1871"/>
            <w:vAlign w:val="top"/>
          </w:tcPr>
          <w:p>
            <w:r/>
            <w:r>
              <w:rPr>
                <w:rFonts w:ascii="Arial" w:hAnsi="Arial"/>
                <w:sz w:val="19"/>
              </w:rPr>
              <w:t>Free</w:t>
            </w:r>
          </w:p>
        </w:tc>
      </w:tr>
      <w:tr>
        <w:tc>
          <w:tcPr>
            <w:tcW w:type="dxa" w:w="680"/>
            <w:vAlign w:val="top"/>
          </w:tcPr>
          <w:p>
            <w:r/>
            <w:r>
              <w:rPr>
                <w:rFonts w:ascii="Arial" w:hAnsi="Arial"/>
                <w:sz w:val="19"/>
              </w:rPr>
              <w:t>TM-13</w:t>
            </w:r>
          </w:p>
        </w:tc>
        <w:tc>
          <w:tcPr>
            <w:tcW w:type="dxa" w:w="2268"/>
            <w:vAlign w:val="top"/>
          </w:tcPr>
          <w:p>
            <w:r/>
            <w:r>
              <w:rPr>
                <w:rFonts w:ascii="Arial" w:hAnsi="Arial"/>
                <w:sz w:val="19"/>
              </w:rPr>
              <w:t>SC spaghetti SVG</w:t>
            </w:r>
          </w:p>
        </w:tc>
        <w:tc>
          <w:tcPr>
            <w:tcW w:type="dxa" w:w="4252"/>
            <w:vAlign w:val="top"/>
          </w:tcPr>
          <w:p>
            <w:r/>
            <w:r>
              <w:rPr>
                <w:rFonts w:ascii="Arial" w:hAnsi="Arial"/>
                <w:sz w:val="19"/>
              </w:rPr>
              <w:t>Sequence of LocCodes → polyline</w:t>
            </w:r>
          </w:p>
        </w:tc>
        <w:tc>
          <w:tcPr>
            <w:tcW w:type="dxa" w:w="1871"/>
            <w:vAlign w:val="top"/>
          </w:tcPr>
          <w:p>
            <w:r/>
            <w:r>
              <w:rPr>
                <w:rFonts w:ascii="Arial" w:hAnsi="Arial"/>
                <w:sz w:val="19"/>
              </w:rPr>
              <w:t>Daily bot job</w:t>
            </w:r>
          </w:p>
        </w:tc>
      </w:tr>
      <w:tr>
        <w:tc>
          <w:tcPr>
            <w:tcW w:type="dxa" w:w="680"/>
            <w:vAlign w:val="top"/>
          </w:tcPr>
          <w:p>
            <w:r/>
            <w:r>
              <w:rPr>
                <w:rFonts w:ascii="Arial" w:hAnsi="Arial"/>
                <w:sz w:val="19"/>
              </w:rPr>
              <w:t>TM-14</w:t>
            </w:r>
          </w:p>
        </w:tc>
        <w:tc>
          <w:tcPr>
            <w:tcW w:type="dxa" w:w="2268"/>
            <w:vAlign w:val="top"/>
          </w:tcPr>
          <w:p>
            <w:r/>
            <w:r>
              <w:rPr>
                <w:rFonts w:ascii="Arial" w:hAnsi="Arial"/>
                <w:sz w:val="19"/>
              </w:rPr>
              <w:t>Pre/post baseline</w:t>
            </w:r>
          </w:p>
        </w:tc>
        <w:tc>
          <w:tcPr>
            <w:tcW w:type="dxa" w:w="4252"/>
            <w:vAlign w:val="top"/>
          </w:tcPr>
          <w:p>
            <w:r/>
            <w:r>
              <w:rPr>
                <w:rFonts w:ascii="Arial" w:hAnsi="Arial"/>
                <w:sz w:val="19"/>
              </w:rPr>
              <w:t>30 manually-timed issuances vs auto</w:t>
            </w:r>
          </w:p>
        </w:tc>
        <w:tc>
          <w:tcPr>
            <w:tcW w:type="dxa" w:w="1871"/>
            <w:vAlign w:val="top"/>
          </w:tcPr>
          <w:p>
            <w:r/>
            <w:r>
              <w:rPr>
                <w:rFonts w:ascii="Arial" w:hAnsi="Arial"/>
                <w:sz w:val="19"/>
              </w:rPr>
              <w:t>1 day of Calo</w:t>
            </w:r>
          </w:p>
        </w:tc>
      </w:tr>
    </w:tbl>
    <w:p>
      <w:r>
        <w:rPr>
          <w:rFonts w:ascii="Arial" w:hAnsi="Arial"/>
          <w:b w:val="0"/>
          <w:i w:val="0"/>
          <w:sz w:val="21"/>
        </w:rPr>
        <w:t>How this maps to motion studies you'd recognise: TM-12 + TM-13 produce the Gilbreth / Frank-and-Lillian spaghetti &amp; heatmap output. TM-10 builds an MTM-style (Methods-Time-Measurement) personal time library Calo can hand to a backup. TM-14 is the A/B baseline. TM-11 captures catalog UX friction the way modern product analytics does it. All without buying a single piece of new software, all without giving workers anything to fill in.</w:t>
      </w:r>
    </w:p>
    <w:p>
      <w:r>
        <w:rPr>
          <w:rFonts w:ascii="Arial" w:hAnsi="Arial"/>
          <w:b/>
          <w:i w:val="0"/>
          <w:sz w:val="21"/>
        </w:rPr>
        <w:t>Other automation opportunities beyond time studies:</w:t>
      </w:r>
    </w:p>
    <w:p>
      <w:pPr>
        <w:pStyle w:val="ListBullet"/>
        <w:ind w:left="340"/>
      </w:pPr>
      <w:r>
        <w:rPr>
          <w:rFonts w:ascii="Arial" w:hAnsi="Arial"/>
          <w:sz w:val="21"/>
        </w:rPr>
        <w:t>Watchdog bot on EResource_Updated flag — SMS to Calo if any ticket stays unsynced &gt; 5 min.</w:t>
      </w:r>
    </w:p>
    <w:p>
      <w:pPr>
        <w:pStyle w:val="ListBullet"/>
        <w:ind w:left="340"/>
      </w:pPr>
      <w:r>
        <w:rPr>
          <w:rFonts w:ascii="Arial" w:hAnsi="Arial"/>
          <w:sz w:val="21"/>
        </w:rPr>
        <w:t>Low-stock alert auto-creates a draft Purchase Requisition email (does not send) for SC to review and send.</w:t>
      </w:r>
    </w:p>
    <w:p>
      <w:pPr>
        <w:pStyle w:val="ListBullet"/>
        <w:ind w:left="340"/>
      </w:pPr>
      <w:r>
        <w:rPr>
          <w:rFonts w:ascii="Arial" w:hAnsi="Arial"/>
          <w:sz w:val="21"/>
        </w:rPr>
        <w:t>Repeat-trip alert (TM-08) auto-posts in a Calo-only feed for weekly coaching review.</w:t>
      </w:r>
    </w:p>
    <w:p>
      <w:pPr>
        <w:pStyle w:val="ListBullet"/>
        <w:ind w:left="340"/>
      </w:pPr>
      <w:r>
        <w:rPr>
          <w:rFonts w:ascii="Arial" w:hAnsi="Arial"/>
          <w:sz w:val="21"/>
        </w:rPr>
        <w:t>Returns photo-evidence flow above an AED threshold (fraud control).</w:t>
      </w:r>
    </w:p>
    <w:p>
      <w:pPr>
        <w:pStyle w:val="ListBullet"/>
        <w:ind w:left="340"/>
      </w:pPr>
      <w:r>
        <w:rPr>
          <w:rFonts w:ascii="Arial" w:hAnsi="Arial"/>
          <w:sz w:val="21"/>
        </w:rPr>
        <w:t>Monthly stock-count CSV export auto-emailed to SC on the 1st.</w:t>
      </w:r>
    </w:p>
    <w:p>
      <w:r>
        <w:rPr>
          <w:rFonts w:ascii="Arial" w:hAnsi="Arial"/>
          <w:b/>
          <w:color w:val="2E74B5"/>
          <w:sz w:val="26"/>
        </w:rPr>
        <w:t>Step 19 — Implementation plan (Kotter 8 × ADKAR × Tracker)</w:t>
      </w:r>
    </w:p>
    <w:p>
      <w:r>
        <w:rPr>
          <w:rFonts w:ascii="Arial" w:hAnsi="Arial"/>
          <w:b w:val="0"/>
          <w:i w:val="0"/>
          <w:sz w:val="21"/>
        </w:rPr>
        <w:t>Full table in ImplementationPlan sheet. Critical near-term moves, in order:</w:t>
      </w:r>
    </w:p>
    <w:p>
      <w:pPr>
        <w:pStyle w:val="ListBullet"/>
        <w:ind w:left="340"/>
      </w:pPr>
      <w:r>
        <w:rPr>
          <w:rFonts w:ascii="Arial" w:hAnsi="Arial"/>
          <w:sz w:val="21"/>
        </w:rPr>
        <w:t>Week 0 (now) — Force Q1 (ERP integration) decision meeting. Sponsor: Vincent. Block 60 min with IT + DX. Output: signed integration approach (API preferred). Unblocks the entire DX build clock.</w:t>
      </w:r>
    </w:p>
    <w:p>
      <w:pPr>
        <w:pStyle w:val="ListBullet"/>
        <w:ind w:left="340"/>
      </w:pPr>
      <w:r>
        <w:rPr>
          <w:rFonts w:ascii="Arial" w:hAnsi="Arial"/>
          <w:sz w:val="21"/>
        </w:rPr>
        <w:t>Week 0 — Provision backup-SC role definition (does not need to be staffed yet, just defined in writing).</w:t>
      </w:r>
    </w:p>
    <w:p>
      <w:pPr>
        <w:pStyle w:val="ListBullet"/>
        <w:ind w:left="340"/>
      </w:pPr>
      <w:r>
        <w:rPr>
          <w:rFonts w:ascii="Arial" w:hAnsi="Arial"/>
          <w:sz w:val="21"/>
        </w:rPr>
        <w:t>Week 1 — Inspector calibration day (Calo + Thakur on same 5 assets) BEFORE Phase B PDIs accumulate further bias.</w:t>
      </w:r>
    </w:p>
    <w:p>
      <w:pPr>
        <w:pStyle w:val="ListBullet"/>
        <w:ind w:left="340"/>
      </w:pPr>
      <w:r>
        <w:rPr>
          <w:rFonts w:ascii="Arial" w:hAnsi="Arial"/>
          <w:sz w:val="21"/>
        </w:rPr>
        <w:t>Weeks 1–2 — Batch photography session (1 day = 100 items, not 3–5/day) to de-risk Phase D running parallel.</w:t>
      </w:r>
    </w:p>
    <w:p>
      <w:pPr>
        <w:pStyle w:val="ListBullet"/>
        <w:ind w:left="340"/>
      </w:pPr>
      <w:r>
        <w:rPr>
          <w:rFonts w:ascii="Arial" w:hAnsi="Arial"/>
          <w:sz w:val="21"/>
        </w:rPr>
        <w:t>Weeks 2–10 — DX build runs in parallel with Phase C catalog. Two-person verify every item code before import.</w:t>
      </w:r>
    </w:p>
    <w:p>
      <w:pPr>
        <w:pStyle w:val="ListBullet"/>
        <w:ind w:left="340"/>
      </w:pPr>
      <w:r>
        <w:rPr>
          <w:rFonts w:ascii="Arial" w:hAnsi="Arial"/>
          <w:sz w:val="21"/>
        </w:rPr>
        <w:t>Week 10 — UAT scripted by Calo (not DX). Add: stress test at 100 req/day; ERP-sync-failure-watchdog test; offline-queue test on patchy signal; sync-failure SMS escalation test.</w:t>
      </w:r>
    </w:p>
    <w:p>
      <w:pPr>
        <w:pStyle w:val="ListBullet"/>
        <w:ind w:left="340"/>
      </w:pPr>
      <w:r>
        <w:rPr>
          <w:rFonts w:ascii="Arial" w:hAnsi="Arial"/>
          <w:sz w:val="21"/>
        </w:rPr>
        <w:t>Week 11 — Phase F final stock take + the 30 manually-timed issuances (TM-14 baseline).</w:t>
      </w:r>
    </w:p>
    <w:p>
      <w:pPr>
        <w:pStyle w:val="ListBullet"/>
        <w:ind w:left="340"/>
      </w:pPr>
      <w:r>
        <w:rPr>
          <w:rFonts w:ascii="Arial" w:hAnsi="Arial"/>
          <w:sz w:val="21"/>
        </w:rPr>
        <w:t>Week 12 — Go-live + 2-week parallel run.</w:t>
      </w:r>
    </w:p>
    <w:p>
      <w:pPr>
        <w:pStyle w:val="ListBullet"/>
        <w:ind w:left="340"/>
      </w:pPr>
      <w:r>
        <w:rPr>
          <w:rFonts w:ascii="Arial" w:hAnsi="Arial"/>
          <w:sz w:val="21"/>
        </w:rPr>
        <w:t>Week 14 — Hard-stop ceremony: SC's ERP write access removed; manual batch dead. Backup-SC covers 1 shift in parallel before ceremony.</w:t>
      </w:r>
    </w:p>
    <w:p>
      <w:pPr>
        <w:pStyle w:val="ListBullet"/>
        <w:ind w:left="340"/>
      </w:pPr>
      <w:r>
        <w:rPr>
          <w:rFonts w:ascii="Arial" w:hAnsi="Arial"/>
          <w:sz w:val="21"/>
        </w:rPr>
        <w:t>Week 16 — 30-day review. Refresh defect→category map, KPI scorecard, FMEA RPNs.</w:t>
      </w:r>
    </w:p>
    <w:p>
      <w:r>
        <w:rPr>
          <w:rFonts w:ascii="Arial" w:hAnsi="Arial"/>
          <w:b/>
          <w:color w:val="2E74B5"/>
          <w:sz w:val="26"/>
        </w:rPr>
        <w:t>Step 20 — Measurement system / control plan</w:t>
      </w:r>
    </w:p>
    <w:p>
      <w:r>
        <w:rPr>
          <w:rFonts w:ascii="Arial" w:hAnsi="Arial"/>
          <w:b w:val="0"/>
          <w:i w:val="0"/>
          <w:sz w:val="21"/>
        </w:rPr>
        <w:t>Full table in ControlPlan sheet. Cadence summary:</w:t>
      </w:r>
    </w:p>
    <w:p>
      <w:pPr>
        <w:pStyle w:val="ListBullet"/>
        <w:ind w:left="340"/>
      </w:pPr>
      <w:r>
        <w:rPr>
          <w:rFonts w:ascii="Arial" w:hAnsi="Arial"/>
          <w:sz w:val="21"/>
        </w:rPr>
        <w:t>Daily — request queue, ERP sync flag, KPI dashboard scan.</w:t>
      </w:r>
    </w:p>
    <w:p>
      <w:pPr>
        <w:pStyle w:val="ListBullet"/>
        <w:ind w:left="340"/>
      </w:pPr>
      <w:r>
        <w:rPr>
          <w:rFonts w:ascii="Arial" w:hAnsi="Arial"/>
          <w:sz w:val="21"/>
        </w:rPr>
        <w:t>Weekly — KPI scorecard review; RCA of P95 outlier requests; low-stock-alert audit; returns spot-audit; Friday 'wins' message.</w:t>
      </w:r>
    </w:p>
    <w:p>
      <w:pPr>
        <w:pStyle w:val="ListBullet"/>
        <w:ind w:left="340"/>
      </w:pPr>
      <w:r>
        <w:rPr>
          <w:rFonts w:ascii="Arial" w:hAnsi="Arial"/>
          <w:sz w:val="21"/>
        </w:rPr>
        <w:t>Monthly — full stock count; KPI vs target review; FMEA review.</w:t>
      </w:r>
    </w:p>
    <w:p>
      <w:pPr>
        <w:pStyle w:val="ListBullet"/>
        <w:ind w:left="340"/>
      </w:pPr>
      <w:r>
        <w:rPr>
          <w:rFonts w:ascii="Arial" w:hAnsi="Arial"/>
          <w:sz w:val="21"/>
        </w:rPr>
        <w:t>Quarterly — catalog hygiene; SOP review.</w:t>
      </w:r>
    </w:p>
    <w:p>
      <w:pPr>
        <w:pStyle w:val="ListBullet"/>
        <w:ind w:left="340"/>
      </w:pPr>
      <w:r>
        <w:rPr>
          <w:rFonts w:ascii="Arial" w:hAnsi="Arial"/>
          <w:sz w:val="21"/>
        </w:rPr>
        <w:t>Annual — control plan review; capacity model refresh.</w:t>
      </w:r>
    </w:p>
    <w:p>
      <w:r>
        <w:br w:type="page"/>
      </w:r>
    </w:p>
    <w:p>
      <w:r>
        <w:rPr>
          <w:rFonts w:ascii="Arial" w:hAnsi="Arial"/>
          <w:b/>
          <w:color w:val="1F3864"/>
          <w:sz w:val="32"/>
        </w:rPr>
        <w:t>Step 21 · Executive summary (A3 condensed)</w:t>
      </w:r>
    </w:p>
    <w:p>
      <w:r>
        <w:rPr>
          <w:rFonts w:ascii="Arial" w:hAnsi="Arial"/>
          <w:b w:val="0"/>
          <w:i/>
          <w:sz w:val="21"/>
        </w:rPr>
        <w:t>A printable one-pager version is in Workshop_Stock_Exec_OnePager.docx. Inline condensation:</w:t>
      </w:r>
    </w:p>
    <w:p>
      <w:r>
        <w:rPr>
          <w:rFonts w:ascii="Arial" w:hAnsi="Arial"/>
          <w:b/>
          <w:color w:val="2E74B5"/>
          <w:sz w:val="26"/>
        </w:rPr>
        <w:t>Background</w:t>
      </w:r>
    </w:p>
    <w:p>
      <w:r>
        <w:rPr>
          <w:rFonts w:ascii="Arial" w:hAnsi="Arial"/>
          <w:b w:val="0"/>
          <w:i w:val="0"/>
          <w:sz w:val="21"/>
        </w:rPr>
        <w:t>500+ asset rental fleet; workshop store currently has no transactional record, no worker-facing tooling, and a 30–45 min nightly manual ERP batch. A 10–12 wk AppSheet build (DX Team) is planned. Pre-launch programme (Phases A–F) is in flight.</w:t>
      </w:r>
    </w:p>
    <w:p>
      <w:r>
        <w:rPr>
          <w:rFonts w:ascii="Arial" w:hAnsi="Arial"/>
          <w:b/>
          <w:color w:val="2E74B5"/>
          <w:sz w:val="26"/>
        </w:rPr>
        <w:t>Current condition</w:t>
      </w:r>
    </w:p>
    <w:p>
      <w:r>
        <w:rPr>
          <w:rFonts w:ascii="Arial" w:hAnsi="Arial"/>
          <w:b w:val="0"/>
          <w:i w:val="0"/>
          <w:sz w:val="21"/>
        </w:rPr>
        <w:t>100% of issues unrecorded · 0% ERP automation · 0% low-stock prevention · single Stock Controller (Calo) on critical path · ERP integration approach unresolved.</w:t>
      </w:r>
    </w:p>
    <w:p>
      <w:r>
        <w:rPr>
          <w:rFonts w:ascii="Arial" w:hAnsi="Arial"/>
          <w:b/>
          <w:color w:val="2E74B5"/>
          <w:sz w:val="26"/>
        </w:rPr>
        <w:t>Target condition (by go-live + 14 days)</w:t>
      </w:r>
    </w:p>
    <w:p>
      <w:r>
        <w:rPr>
          <w:rFonts w:ascii="Arial" w:hAnsi="Arial"/>
          <w:b w:val="0"/>
          <w:i w:val="0"/>
          <w:sz w:val="21"/>
        </w:rPr>
        <w:t>100% issues logged · ≥99.5% ERP sync · 100% reorder alerts pre-stockout · ≤30 min median cycle time · 1 cross-trained backup-SC active · embedded 14-point time-and-motion telemetry running.</w:t>
      </w:r>
    </w:p>
    <w:p>
      <w:r>
        <w:rPr>
          <w:rFonts w:ascii="Arial" w:hAnsi="Arial"/>
          <w:b/>
          <w:color w:val="2E74B5"/>
          <w:sz w:val="26"/>
        </w:rPr>
        <w:t>Analysis (root causes)</w:t>
      </w:r>
    </w:p>
    <w:p>
      <w:r>
        <w:rPr>
          <w:rFonts w:ascii="Arial" w:hAnsi="Arial"/>
          <w:b w:val="0"/>
          <w:i w:val="0"/>
          <w:sz w:val="21"/>
        </w:rPr>
        <w:t>RC-1 no closed-loop transaction system · RC-2 worker↔ERP UX gap · RC-3 single SC bottleneck.</w:t>
      </w:r>
    </w:p>
    <w:p>
      <w:r>
        <w:rPr>
          <w:rFonts w:ascii="Arial" w:hAnsi="Arial"/>
          <w:b/>
          <w:color w:val="2E74B5"/>
          <w:sz w:val="26"/>
        </w:rPr>
        <w:t>Countermeasures (top 5 by Decision-matrix score)</w:t>
      </w:r>
    </w:p>
    <w:p>
      <w:pPr>
        <w:pStyle w:val="ListBullet"/>
        <w:ind w:left="340"/>
      </w:pPr>
      <w:r>
        <w:rPr>
          <w:rFonts w:ascii="Arial" w:hAnsi="Arial"/>
          <w:sz w:val="21"/>
        </w:rPr>
        <w:t>R1 — Force Q1 (ERP integration) decision before DX build starts. (Owner: Vincent + Calo + IT + DX.)</w:t>
      </w:r>
    </w:p>
    <w:p>
      <w:pPr>
        <w:pStyle w:val="ListBullet"/>
        <w:ind w:left="340"/>
      </w:pPr>
      <w:r>
        <w:rPr>
          <w:rFonts w:ascii="Arial" w:hAnsi="Arial"/>
          <w:sz w:val="21"/>
        </w:rPr>
        <w:t>R3 — Embed 14-point time-and-motion telemetry in the AppSheet build. (Owner: DX + Calo.)</w:t>
      </w:r>
    </w:p>
    <w:p>
      <w:pPr>
        <w:pStyle w:val="ListBullet"/>
        <w:ind w:left="340"/>
      </w:pPr>
      <w:r>
        <w:rPr>
          <w:rFonts w:ascii="Arial" w:hAnsi="Arial"/>
          <w:sz w:val="21"/>
        </w:rPr>
        <w:t>R4 — Two-person verify on every catalog item code before import. (Owner: Calo + Thakur.)</w:t>
      </w:r>
    </w:p>
    <w:p>
      <w:pPr>
        <w:pStyle w:val="ListBullet"/>
        <w:ind w:left="340"/>
      </w:pPr>
      <w:r>
        <w:rPr>
          <w:rFonts w:ascii="Arial" w:hAnsi="Arial"/>
          <w:sz w:val="21"/>
        </w:rPr>
        <w:t>R14 — Lock category → ERP section mapping (Buggy / SS Workshop). (Owner: Calo + IT.)</w:t>
      </w:r>
    </w:p>
    <w:p>
      <w:pPr>
        <w:pStyle w:val="ListBullet"/>
        <w:ind w:left="340"/>
      </w:pPr>
      <w:r>
        <w:rPr>
          <w:rFonts w:ascii="Arial" w:hAnsi="Arial"/>
          <w:sz w:val="21"/>
        </w:rPr>
        <w:t>R2 — Provision backup-SC role + cross-train 1 person. (Owner: Calo + Ops Lead.)</w:t>
      </w:r>
    </w:p>
    <w:p>
      <w:r>
        <w:rPr>
          <w:rFonts w:ascii="Arial" w:hAnsi="Arial"/>
          <w:b/>
          <w:color w:val="2E74B5"/>
          <w:sz w:val="26"/>
        </w:rPr>
        <w:t>Plan (Kotter 8 mapped to milestone tracker)</w:t>
      </w:r>
    </w:p>
    <w:p>
      <w:r>
        <w:rPr>
          <w:rFonts w:ascii="Arial" w:hAnsi="Arial"/>
          <w:b w:val="0"/>
          <w:i w:val="0"/>
          <w:sz w:val="21"/>
        </w:rPr>
        <w:t>See §Steps 18–20 above. Critical Week 0 act: Q1 decision meeting.</w:t>
      </w:r>
    </w:p>
    <w:p>
      <w:r>
        <w:rPr>
          <w:rFonts w:ascii="Arial" w:hAnsi="Arial"/>
          <w:b/>
          <w:color w:val="2E74B5"/>
          <w:sz w:val="26"/>
        </w:rPr>
        <w:t>Follow-up (measurement)</w:t>
      </w:r>
    </w:p>
    <w:p>
      <w:r>
        <w:rPr>
          <w:rFonts w:ascii="Arial" w:hAnsi="Arial"/>
          <w:b w:val="0"/>
          <w:i w:val="0"/>
          <w:sz w:val="21"/>
        </w:rPr>
        <w:t>Operational scorecard sheet updated daily/weekly; FMEA + capacity model reviewed monthly; 30-day post-launch review at Week 16 with TM-14 pre-vs-post A/B as ROI evidence.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