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>
        <w:rPr>
          <w:rtl w:val="0"/>
        </w:rPr>
      </w:r>
    </w:p>
    <w:tbl>
      <w:tblPr>
        <w:tblStyle w:val="Table1"/>
        <w:tblW w:w="15675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20"/>
        <w:gridCol w:w="3615"/>
        <w:gridCol w:w="4440"/>
        <w:tblGridChange w:id="0">
          <w:tblGrid>
            <w:gridCol w:w="7620"/>
            <w:gridCol w:w="3615"/>
            <w:gridCol w:w="4440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40"/>
                <w:szCs w:val="40"/>
                <w:rtl w:val="0"/>
              </w:rPr>
              <w:t xml:space="preserve">Risk Assessment Procedural Requirements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System Document Control # EV-MS-RA-2000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Revision: 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RA: 2000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Original Assessment Date: 09/07/2026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Last Review Date: 09/07/2026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Next Review Date: 09/10/2026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Activity Location: Saih Shuaib 3, Dubai Industrial City (DIC),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Dubai, UAE — DIC Yard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Responsible Leader: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Responsible Member: 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Prepared by: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Process: Yard Activities (Carpentry, AC, Plumbing, Lifting)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Division: Site Services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Signature: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Signature: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b w:val="1"/>
          <w:bCs w:val="1"/>
          <w:color w:val="ff0000"/>
          <w:sz w:val="20"/>
          <w:szCs w:val="20"/>
        </w:rPr>
      </w:pPr>
      <w:r>
        <w:rPr>
          <w:b w:val="1"/>
          <w:bCs w:val="1"/>
          <w:color w:val="ff0000"/>
          <w:sz w:val="20"/>
          <w:szCs w:val="20"/>
          <w:rtl w:val="0"/>
        </w:rPr>
        <w:t xml:space="preserve">PPE requirements for the operation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b w:val="1"/>
          <w:bCs w:val="1"/>
          <w:color w:val="ff0000"/>
          <w:sz w:val="20"/>
          <w:szCs w:val="20"/>
        </w:rPr>
      </w:pPr>
      <w:r>
        <w:rPr>
          <w:rtl w:val="0"/>
        </w:rPr>
      </w:r>
    </w:p>
    <w:tbl>
      <w:tblPr>
        <w:tblStyle w:val="Table2"/>
        <w:tblW w:w="157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1"/>
        <w:gridCol w:w="810"/>
        <w:gridCol w:w="810"/>
        <w:gridCol w:w="5400"/>
        <w:gridCol w:w="810"/>
        <w:gridCol w:w="900"/>
        <w:tblGridChange w:id="0">
          <w:tblGrid>
            <w:gridCol w:w="7001"/>
            <w:gridCol w:w="810"/>
            <w:gridCol w:w="810"/>
            <w:gridCol w:w="5400"/>
            <w:gridCol w:w="81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Safety Gears Required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Safety Equipment Required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Safety Helmet (Hard Hat)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Safety Gloves – Cloth or leather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Hearing Protection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Safety Footwear – Boots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Safety Glasses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Dust Mask or Face Mask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Coveralls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Full Body Harness (Double Hook) &gt; 1.8 meters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High Visibility Vest – Orange for banksman and/or signallers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Inertia Reel/Retractable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Life Jackets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Life Line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√ = Required, R = Recommended, AR = As Required, N/A = Not Applicable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Legal Notice.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sz w:val="20"/>
          <w:szCs w:val="20"/>
          <w:rtl w:val="0"/>
        </w:rPr>
        <w:t xml:space="preserve">Al Laith Projects Services LLC Health &amp; Safety Risk Assessments endeavor to allow for the identification of hazards, risks and control measures associated with all Al Laith Site Services yard activities carried out at the DIC Yard — namely carpentry, air-conditioning (AC) repair &amp; maintenance, plumbing &amp; waste tank cleaning, and lifting operations. 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Also to identify the Significant Findings and the Relevant Persons at risk from them. 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This Risk Assessment is not valid if responsible members did not sign.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Responsible Person and/or their Representatives should ensure that this is achieved.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should be noted that it is the responsibility of the Responsible Person and/or their Representative to implement any required actions identified by the H&amp;S Risk Assessment and not the responsibility </w:t>
      </w:r>
      <w:r>
        <w:rPr>
          <w:sz w:val="20"/>
          <w:szCs w:val="20"/>
          <w:rtl w:val="0"/>
        </w:rPr>
        <w:t xml:space="preserve">of the QHSE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Department.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Responsible person/or their Representative should note that nothing within the Risk Assessment overrides any requirements needed to comply with the statutory obligations, under the 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and Safety at Work act 1974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all associated regulations and approved codes of practise.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Risk Assessment does not override, where appropriate, the application requirements for Building Control, Local Authority, Licensing and any other consent.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74747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Risk Assessment is a continuous, live process and must be monitored and audited, reviewed and revised with </w:t>
      </w:r>
      <w:r>
        <w:rPr>
          <w:sz w:val="20"/>
          <w:szCs w:val="20"/>
          <w:rtl w:val="0"/>
        </w:rPr>
        <w:t xml:space="preserve">any structural and material changes to the yard works (carpentry, AC, plumbing, waste tank cleaning and lifting operations), the usage of, and any changes to processes carried out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Risk Assessment should be reviewed with any significant changes to staff and occupancy, and following any “near miss”, incidents or accidents.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100.984251968504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pgSz w:h="11906" w:w="16838" w:orient="landscape"/>
          <w:pgMar w:bottom="431" w:top="431" w:left="431" w:right="431" w:header="720" w:footer="720"/>
          <w:pgNumType w:start="1"/>
          <w:titlePg w:val="1"/>
        </w:sect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change could lead to new risks and hazards needing to be considered and no liability rests </w:t>
      </w:r>
      <w:r>
        <w:rPr>
          <w:sz w:val="20"/>
          <w:szCs w:val="20"/>
          <w:rtl w:val="0"/>
        </w:rPr>
        <w:t xml:space="preserve">with the QHSE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Department in this respect. The Risk Assessment should be programmed for review at intervals not exceeding three months.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b w:val="1"/>
          <w:bCs w:val="1"/>
          <w:sz w:val="16"/>
          <w:szCs w:val="16"/>
        </w:rPr>
        <mc:AlternateContent>
          <mc:Choice Requires="wpg">
            <w:drawing>
              <wp:inline distB="114300" distT="114300" distL="114300" distR="114300">
                <wp:extent cx="3295650" cy="1533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7650" y="147650"/>
                          <a:ext cx="3295650" cy="1533525"/>
                          <a:chOff x="147650" y="147650"/>
                          <a:chExt cx="3285500" cy="1522100"/>
                        </a:xfrm>
                      </wpg:grpSpPr>
                      <wpg:graphicFrame>
                        <wpg:xfrm>
                          <a:off x="152400" y="15240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 bandRow="1">
                                <a:noFill/>
                                <a:tableStyleId>{24D136C8-B5D4-43E4-BB2C-DF7B73D742C4}</a:tableStyleId>
                              </a:tblPr>
                              <a:tblGrid>
                                <a:gridCol w="468000"/>
                                <a:gridCol w="468000"/>
                                <a:gridCol w="468000"/>
                                <a:gridCol w="468000"/>
                                <a:gridCol w="468000"/>
                                <a:gridCol w="468000"/>
                                <a:gridCol w="468000"/>
                              </a:tblGrid>
                              <a:tr h="2521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8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/>
                                </a:tc>
                                <a:tc gridSpan="6"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SEVERITY (S)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/>
                                </a:tc>
                                <a:tc hMerge="1"/>
                                <a:tc hMerge="1"/>
                                <a:tc hMerge="1"/>
                                <a:tc hMerge="1"/>
                                <a:tc hMerge="1"/>
                              </a:tr>
                              <a:tr h="252100">
                                <a:tc rowSpan="5">
                                  <a:txBody>
                                    <a:bodyPr/>
                                    <a:lstStyle/>
                                    <a:p>
                                      <a:pPr indent="0" lvl="0" marL="71755" marR="71755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3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4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5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6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</a:tr>
                              <a:tr h="252100">
                                <a:tc vMerge="1"/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4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6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8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00B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10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00B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12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FF00"/>
                                    </a:solidFill>
                                  </a:tcPr>
                                </a:tc>
                              </a:tr>
                              <a:tr h="252100">
                                <a:tc vMerge="1"/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3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6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9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00B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12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15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ED7D31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18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C00000"/>
                                    </a:solidFill>
                                  </a:tcPr>
                                </a:tc>
                              </a:tr>
                              <a:tr h="252100">
                                <a:tc vMerge="1"/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4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8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00B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12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FF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16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ED7D31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20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C000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24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0000"/>
                                    </a:solidFill>
                                  </a:tcPr>
                                </a:tc>
                              </a:tr>
                              <a:tr h="252100">
                                <a:tc vMerge="1"/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5</a:t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92D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10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00B05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15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ED7D31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20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C000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25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0000"/>
                                    </a:solidFill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solidFill>
                                            <a:srgbClr val="FFFFFF"/>
                                          </a:solidFill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30</a:t>
                                      </a:r>
                                      <a:endParaRPr b="1" sz="1100">
                                        <a:solidFill>
                                          <a:srgbClr val="FFFFFF"/>
                                        </a:solidFill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0" marB="0" marR="68575" marL="68575" anchor="ctr">
                                    <a:solidFill>
                                      <a:srgbClr val="FF0000"/>
                                    </a:solidFill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  <wps:wsp>
                        <wps:cNvSpPr/>
                        <wps:cNvPr id="3" name="Shape 3"/>
                        <wps:spPr>
                          <a:xfrm rot="-5400000">
                            <a:off x="-199470" y="884950"/>
                            <a:ext cx="1143000" cy="288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0"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LIKELIHOOD (L)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295650" cy="153352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5650" cy="1533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57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42"/>
        <w:tblGridChange w:id="0">
          <w:tblGrid>
            <w:gridCol w:w="5742"/>
          </w:tblGrid>
        </w:tblGridChange>
      </w:tblGrid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Risk Rating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1 = 25-30 = Intolerable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2 = 20-24 = High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ee8e00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3 = 13-18 = Substantial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4 = 11-12 = Moderate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shd w:fill="00b050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5 = 7-10 = Tolerable to Moderate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 6 = 1-6 = Tolerable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RISK MATRIX</w:t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b w:val="1"/>
          <w:bCs w:val="1"/>
          <w:color w:val="ff0000"/>
          <w:sz w:val="16"/>
          <w:szCs w:val="16"/>
        </w:rPr>
      </w:pPr>
      <w:r>
        <w:rPr>
          <w:b w:val="1"/>
          <w:bCs w:val="1"/>
          <w:color w:val="ff0000"/>
          <w:sz w:val="16"/>
          <w:szCs w:val="16"/>
          <w:rtl w:val="0"/>
        </w:rPr>
        <w:t xml:space="preserve">Key to Risk Assessment: (L = LIKELIHOOD, S = SEVERIY, RR – RISK RATING)</w:t>
      </w:r>
    </w:p>
    <w:p w:rsidR="00000000" w:rsidDel="00000000" w:rsidP="00000000" w:rsidRDefault="00000000" w:rsidRPr="00000000" w14:paraId="00000067">
      <w:pPr>
        <w:spacing w:after="0" w:line="240" w:lineRule="auto"/>
        <w:jc w:val="center"/>
        <w:rPr>
          <w:b w:val="1"/>
          <w:bCs w:val="1"/>
          <w:color w:val="ff0000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53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"/>
        <w:gridCol w:w="2909"/>
        <w:gridCol w:w="624"/>
        <w:gridCol w:w="3635"/>
        <w:gridCol w:w="850"/>
        <w:gridCol w:w="6662"/>
        <w:tblGridChange w:id="0">
          <w:tblGrid>
            <w:gridCol w:w="624"/>
            <w:gridCol w:w="2909"/>
            <w:gridCol w:w="624"/>
            <w:gridCol w:w="3635"/>
            <w:gridCol w:w="850"/>
            <w:gridCol w:w="666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</w:t>
            </w:r>
          </w:p>
        </w:tc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Likelihood</w:t>
            </w:r>
          </w:p>
        </w:tc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</w:t>
            </w:r>
          </w:p>
        </w:tc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Severity</w:t>
            </w:r>
          </w:p>
        </w:tc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RR</w:t>
            </w:r>
          </w:p>
        </w:tc>
        <w:tc>
          <w:tcPr>
            <w:shd w:fill="0070c0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Resultant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Likely to occur repeatedly.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Fatality / Permanent Disability.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ff0000"/>
                <w:sz w:val="16"/>
                <w:szCs w:val="16"/>
              </w:rPr>
            </w:pPr>
            <w:r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16 – 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Work may not proceed – consider alternative methods.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Likely to occur more than once.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Major Injury / Long term Absence.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10 –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 – assess mitigation measures to reduce the risk.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Likely to occur.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LTI injury / Temporary Disability.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6 –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Work may proceed subject to implementation of mitigation measures, if no alternative available.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Unlikely to occur.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Injury requiring additional medical treatment.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 – 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Acceptable – Work may proceed.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Extremely unlikely to occur.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First Aid (e.g. Bruising, abrasion, etc.)</w:t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default"/>
          <w:type w:val="nextPage"/>
          <w:pgSz w:h="11906" w:w="16838" w:orient="landscape"/>
          <w:pgMar w:bottom="431" w:top="431" w:left="431" w:right="431" w:header="720" w:footer="720"/>
          <w:titlePg w:val="1"/>
        </w:sectPr>
      </w:pPr>
      <w:r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5"/>
        <w:tblW w:w="158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105"/>
        <w:gridCol w:w="2551"/>
        <w:gridCol w:w="1559"/>
        <w:gridCol w:w="1134"/>
        <w:gridCol w:w="282"/>
        <w:gridCol w:w="285"/>
        <w:gridCol w:w="426"/>
        <w:gridCol w:w="4214"/>
        <w:gridCol w:w="239"/>
        <w:gridCol w:w="236"/>
        <w:gridCol w:w="414"/>
        <w:gridCol w:w="1275"/>
        <w:gridCol w:w="1701"/>
        <w:tblGridChange w:id="0">
          <w:tblGrid>
            <w:gridCol w:w="450"/>
            <w:gridCol w:w="1105"/>
            <w:gridCol w:w="2551"/>
            <w:gridCol w:w="1559"/>
            <w:gridCol w:w="1134"/>
            <w:gridCol w:w="282"/>
            <w:gridCol w:w="285"/>
            <w:gridCol w:w="426"/>
            <w:gridCol w:w="4214"/>
            <w:gridCol w:w="239"/>
            <w:gridCol w:w="236"/>
            <w:gridCol w:w="414"/>
            <w:gridCol w:w="1275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Pre-Job Planning &amp; Competency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Untrained/unauthorised staff; expired competency certificates.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Inadequate maintenance of inspection and tool-tag records.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Unclear method statements, scope or drawings; missing permits.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Inadequate risk assessment / inappropriate control measures.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Poor planning to protect operatives, other trades and visitors.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H.6 Incorrect material or equipment selection.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Personal injury or fatality due to inexperienced staff.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Loss of record control / non-compliance.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Asset or property damage.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4. Incidents affecting other trades, visitors or public.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staff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Other trades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Contractors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Only trained, competent and authorised staff to work; competency verified by Supervisor before task allocation.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Daily toolbox talk (TBT) by the Supervisor prior to work.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Approved, task-specific method statement and risk assessment briefed to the team.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Regular inspection of tool-tag register, TBT records and certificates.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Report any deviation from the method statement to Site Supervisor / HSE.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Inspect all materials and equipment before use.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Establish permit-to-work for high-risk tasks where required.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RA &amp; Method Statement Procedure.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Competency verification by Supervisor.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R.3 Stop-work authority (Site Supervisor / HSE Officer).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Driving to Site / Delivering Materials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Driver not competent, unqualified or medically unfit to drive in the UAE.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Transporting materials, supplies and personnel between locations.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Tired, ill, on medication, or under the influence of alcohol/drugs.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Distraction (mobile phone, eating, navigation device).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Third-party road users; poor or temporary road conditions.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Road traffic accident, major injury or fatality.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Personal injury due to impact.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Asset damage; breakdown in remote location.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Drivers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Pedestrians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Third parties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Valid UAE driving licence for the vehicle driven; vehicle business-insured.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Manager completes Driving-for-Work checks and H&amp;S induction.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No use of in-car devices, eating or drinking whilst driving.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Do not drive if ill, tired or on impairing medication; no drink/drug driving.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Adhere to designated loading/unloading areas and speed limits.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Implement traffic management (cones, barricades, signage, flagmen) as required.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Land Transport Procedure.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Alcohol &amp; Drug Procedure.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Yard Traffic, Plant &amp; Vehicle Movement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Forklift, vehicle and mobile plant movement in the yard.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Unauthorised or untrained operators.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Pedestrian/plant interface; reversing in congested zones.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Poor yard route conditions (potholes / uneven ground).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Distraction (mobile phones); poor lighting.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H.6 Fuel/oil leaks; inadequate barricading and signage.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Struck-by / run-over injuries to pedestrians.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Vehicle or plant collision causing injury.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Asset / property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Drivers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Pedestrians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Contractors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Only competent, authorised operators with valid licences to operate plant/vehicles.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Enforce yard speed limit, designated routes and one-way systems where practicable.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Segregate pedestrians from vehicles; maintain crossings and exclusion zones.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Trained banksman mandatory for reversing and congested-area manoeuvres.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Reverse alarms and mirrors/cameras fitted and functional.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Keep emergency and access routes clear; maintain lighting.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Daily pre-use inspection of plant; report defects.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Banksman / Traffic Marshal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Yard Traffic Management Plan.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Vehicle / Plant Inspection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General Manual Handling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Lifting heavy or awkward loads beyond personal capacity.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Twisting, top-heavy bending, pushing/pulling.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Incorrect lifting technique.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Poor underfoot conditions.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Musculoskeletal injuries, strains and sprains.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Dropped loads / crush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Aggravation of pre-existing conditions; possible chronic injury.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Al Laith Site Services staff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Manual handling by trained personnel; competency verified by Supervisor.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Use mechanical aids (trolleys, pallet jacks, hoists) wherever practicable.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Team lifting for heavy/bulky loads where mechanical means not practical.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Assess load, route and underfoot conditions before lifting.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Reduce load size/weight; deliver materials close to work area.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Individuals to inform Supervisor of any health condition affecting lifting.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Correct gloves and footwear selected.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Trade Supervisors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Manual Handling Procedure.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Manual Handling awareness / TBT.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Housekeeping &amp; Waste Management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Waste and material accumulation in work and walkway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Debris causing slips, trips and falls.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Incorrect waste segregation.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Combustible waste build-up (fire hazard).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Runoff into drains.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Slips, trips and falls.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Fire hazard.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Environmental contamination / regulatory fines.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yard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Waste handlers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“Clean-as-you-go” policy; keep walkways and exits clear.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Labelled bins for segregated waste streams; covered skips to prevent windblown debris.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Combustible waste (offcuts, sawdust, packaging) removed regularly.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Spill kit available for immediate cleanup; protect drains.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Waste collected by licensed subcontractor; retain waste transfer notes.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Approved Contractor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Housekeeping log.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Waste transfer notes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Damaged Flooring, Potholes &amp; Ground Conditions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Cracks and potholes in asphalt/concrete.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Loose gravel or uneven soil.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Degradation of heavy-load / plant standing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Trip hazards from poorly maintained surfaces.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Slips, trips and falls; ankle/knee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Forklift / vehicle instability.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Damage to plant/equipment.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yard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Weekly recorded yard surface inspections.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Rapid repair protocol for potholes / damaged surfaces.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Temporary barricading and signage around damaged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Enforce yard speed limit; reduce speed on uneven ground.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Ensure firm, level ground for plant standing and crane outrigger areas.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Maintenance Team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Yard Inspection 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Slips, Trips &amp; Falls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Poor housekeeping / debris on floor.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Trailing cables and hoses.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Changes in floor level.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Slippery surfaces from spills, water leaks or cleaning.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Minor bruises/abrasions.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Fractures or head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Secondary line-of-fire injuries.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yard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Office staff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Clean-as-you-go; keep walkways 100% clear.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Cable/hose management using ramps or overhead routing.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Mandatory slip-resistant safety boots.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“Wet Floor” signage; immediate cleanup of spills/leaks.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Maintain lighting on walkways.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Housekeeping Log.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TBT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Electrical Defects &amp; Temporary Power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Damaged sockets/plugs, exposed wiring in yard/welfare/workshop.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Overloaded circuits; defective temporary distribution boards.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Damaged insulation on leads/generators; poor earthing.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Trip hazards from cables; water near live parts.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Electric shock or electrocution.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Electrical fire; burns.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Equipment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Maintenance staff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trades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Yard personnel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Only certified/competent electricians to perform electrical repairs.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PAT / periodic inspection of portable tools and leads; colour-coding.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Visual pre-use checks of cables and distribution boards.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Use of RCDs/ELCBs; verified earthing.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Use 110V tools where practicable; IP-rated connectors.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Cable management and covers; keep power away from water.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Defective equipment tagged out and removed from service.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Qualified Electrician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Electrical Maintenance Records.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PAT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Poor Lighting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Failed yard floodlights; shadow areas in storage zones.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Dim lighting in workshop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Lack of emergency lighting in welfare/exits.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Slips/trips/falls.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Vehicle/plant collisions.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Eye strain and errors.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Night-shift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Drivers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Weekly night-time lighting checks.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Maintain stock of spare bulbs/fittings.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Provision of portable lighting towers for night loading.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Functional backup/emergency lighting at all exits.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Maintenance Team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Lighting Inspection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Heat Stress &amp; Adverse Weather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High temperature and humidity.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Dehydration / electrolyte imbalance; UV exposure.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Heat fatigue causing poor judgement.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High winds, rain, lightning, poor visibility (dust/rain).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Heat exhaustion / heat stroke.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Slips/trips from fatigue.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Struck-by / dropped-object incidents in wind.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yard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Comply with UAE midday break rule (12:30–15:00, mid-June to mid-September).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Schedule heavy tasks for cooler periods; provide shaded rest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Provide cool potable water and electrolytes; encourage regular hydration.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Provide shade/shelter and cooling fans; SPF and broad-brim helmet shades.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Monitor forecasts; brief weather triggers at TBT; buddy checks.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STOP wind-sensitive / elevated tasks at unsafe limits; stop for lightning or poor visibility.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Supervisor re-check of routes/structures before restart.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Heat Stress Protocol / TBT.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Weather Hold / Restart 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Fire Safety &amp; Emergency Readiness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Blocked fire extinguishers, fire points or emergency exits.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Combustible waste accumulation (wood dust, packaging, oils).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Electrical defects; hot works (brazing/soldering, grinding sparks).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Smoking outside designated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Fire alarm / emergency system impairment.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Fire spread; injury or fatality.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Property damage.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Regulatory non-compliance.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yard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Contractors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Daily visual checks of fire points and emergency access; keep clear.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Combustible waste removed regularly; controlled chemical/fuel storage.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Hot-work permit, fire watch and extinguishers for brazing/soldering/grinding.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Smoking only in designated areas; electrical defects isolated.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Maintain emergency signage, lighting and functional fire systems.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Emergency response plan communicated; drills conducted.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Fire Inspection Records.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Emergency Response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Night Work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Poor lighting/visibility at workfaces and routes.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Worker fatigue / reduced alertness.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Increased pedestrian-plant interface risk.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Communication failure or lone working.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Struck-by or fall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Property/asset damage.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Fatigue-related error.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Night-shift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Mandatory task/route lighting; STOP if inadequate.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Fatigue checks at start/mid-shift; adequate rest breaks.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Reflective high-visibility PPE enforced.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Strict traffic rules and banksman control; segregate work zones.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No lone working for high-risk tasks; confirm radio/emergency communication.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Security / Traffic Marshal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Night Lighting Inspection Record.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TBT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Interface with Public, Other Trades &amp; Trespassers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Work clash / two-tier works between trades.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Unauthorised entry / trespassers.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Slip/trip hazards created for others.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Injury to personnel or public.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Delay to work; work clash.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Property/asset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Other trades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Plan and coordinate works with all interested parties in advance.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Cordon off work areas with barricades; restrict entry via banksman/signage.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Display warning boards and signage.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Close supervision maintained; segregate concurrent activities.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Trade Supervisors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TBT on coordination &amp; housekeeping.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Use of Power &amp; Hand Tools (incl. Angle Grinder)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Contact with sharp edges / rotating parts; kickback.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Electricity / fire / noise / flying particles.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Angle grinder disc shatter, sparks and entanglement.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Defective, incorrect or unguarded tools.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Amputation, deep lacerations, eye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Electric shock / burns.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Flying-particle / material damage; hearing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trades operatives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ee8e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Only trained operatives to use power/hand tools; only certified/competent operators to use angle grinders.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Correct guarding fitted; use the right tool and correct disc for the job.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Tools inspected, colour-coded and PAT tested periodically; use 110V where practicable.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Insulated connections; cable management.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Damaged tools quarantined and tagged out; store-issue inspection.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Mandatory PPE: eye protection, hearing protection, gloves, face shield for grinding.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Adequate supervision; TBT on safe tool use.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Trade Supervisors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TBT on safe use of power &amp; hand tools.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Angle grinder operator certification.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Carpentry Works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Contact with sharp edges/blades (saws, chisels, knives).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Flying debris / splinters.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Noise (power tools).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Wood dust inhalation.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Impact injuries (hammering, falling objects).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H.6 Pinch points (clamping, moving materials).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H.7 Manual handling of timber and materials.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Lacerations, amputations.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Eye injuries; hearing loss.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Respiratory issues from wood dust.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4. Bruises, fractures, crush injuries.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5. Musculoskeletal injuries.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Carpenters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Adjacent workers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PPE: safety glasses, hearing protection, gloves, dust mask/respirator, safety boots.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Power tools in good condition, guarded, inspected and colour-coded.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Dust extraction and good housekeeping to remove offcuts and sawdust.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Secure workpieces with clamps; keep tools sharp.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Insulated connections and RCDs on electrical tools.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Safe manual handling / mechanical aids for heavy timber.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TBT on safe tool use, dust control and electrical safety; first aid available.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Carpentry Team Leader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Awareness sessions.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Site briefings / TBT.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Repair &amp; Maintenance — Refrigerant Handling (Split Units)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Refrigerant leaks during recovery/recharge (asphyxiation / frostbite).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Chemical exposure; pressurised refrigerant lines.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Electrical hazards within units.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Compressor-level / major repair hazards (stored pressure, hot components).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Frostbite, asphyxiation, chemical exposure.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Electric shock / burns.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Environmental release of refrigerant.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technicians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Nearby workers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In-house refrigerant recovery/recharge using recovery units and certified cylinders; no venting to atmosphere.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Confirm and formalise F-Gas / refrigerant-handling certification for all technicians performing refrigerant work (certification status currently NOT confirmed — action to close).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Calibrated gauges and leak detectors; work in ventilated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Isolate and lock off electrical supply before working on units (LOTO); test-before-touch.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Gloves and eye protection against refrigerant; no hot work near refrigerants.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SDS for refrigerants/oils available; TBT before task.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Evacuate / ventilate; first aid for inhalation/frostbite.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Report environmental release.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Work at Height — Ladder Access (Rooftop / Elevated Split Units)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Falls from ladders / elevated positions.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Improper ladder use / set-up; fragile or unstable edges.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Dropped tools; weather/wind exposure.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Serious injury or fatality from falls.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Struck-by injuries from dropped tools.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technicians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Workers below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ee8e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Access plan; ladders inspected, industrial-grade, set at 4:1 and secured/tied.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Maintain three points of contact; do not overreach.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Tool lanyards; barricade area below.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Full body harness/anchor where a suitable anchor exists and ladder work is prolonged (AR).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Wind and rain stop rules; do not work at height in adverse weather.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Rescue plan in place; competency verified by Supervisor.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AC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Fall rescue / first aid; emergency services.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Plumbing Installation, Leak Repair &amp; Pressure Testing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Burst fittings / projectile caps during pressure testing.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Water hammer; sudden release of stored pressure.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Slips from leaks/spills; water near electrics.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Manual handling of pipes/reels; use of hand/power tools.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Impact / laceration injury.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Flooding; electrical contact.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Slips and falls.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Plumbers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Adjacent workers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Barriers / exclusion zone during pressure testing.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Rated gauges and hoses; gradual pressurisation; cap restraint.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Keep cables/panels dry; isolate electrics near water.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Signage; mop kits for spills; isolate valves before work.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Safe manual handling; correct tools inspected before use.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Plumbing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Isolate valves; clean-up; electrical isolation; first aid.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Waste Tank Cleaning — External Vacuum / Hose Operation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Spill / splash of effluent during hose/pump operation.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Odour / H2S / biological-hygiene exposure (external, not entry).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Manual handling of heavy hoses and equipment.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Vacuum tanker vehicle movement and operation.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Skin/eye contact; biological infection.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Respiratory irritation from odour/gases.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Musculoskeletal injury; struck-by tanker.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Plumbing/waste operatives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Banksman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Nearby workers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ee8e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Tanks cleaned externally via hose/pump only — NO confined space entry is performed. Any future entry requirement would need a separate confined-space entry permit and is currently out of scope.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Chemical-resistant gloves, eye/face protection, coveralls and boots; wash facilities and hygiene controls.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Work upwind where possible; monitor for odour/gas; ventilate around openings.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Safe manual handling / team lift for hoses and equipment.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Banksman for tanker positioning and reversing; wheel chocks.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Waste collected/disposed by licensed subcontractor; retain waste transfer notes.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Plumbing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Emergency wash / first aid for exposure.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Waste transfer notes.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Chemical Handling, Storage &amp; Use (COSHH)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Paint, thinners, chemical soap/degreaser, AC coil cleaner, pipe sealants/adhesives.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Skin/eye/respiratory irritation.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Flammability (paint/thinners).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Incompatible chemical mixing.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Chemical burns, irritation, dermatitis.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Fire from flammable liquids.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Toxic reaction from incompatible mixing.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trades using chemicals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ee8e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Establish and maintain an SDS register for all chemicals used, accessible at point of use (SDS not currently formalised — action to close).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Store chemicals in the dedicated controlled storage area; segregate incompatibles.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Labelled containers; keep flammables away from ignition sources / hot works.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Ventilation at point of use; secondary containment / drip trays.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PPE per SDS (gloves, eye protection, RPE as required).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Spill kit available; dispose of chemical waste via licensed contractor.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Trade Supervisors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SDS / COSHH register (to be established).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Spill response.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Forklift Loading / Unloading of Materials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Untrained operator; pinch points and sharps.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Load falling from forks / lift.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Loss of unsecured load.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Personnel struck by plant; manual handling injuries.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Musculoskeletal injuries, bruises, concussion.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Fatality; loss of limbs (amputation).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Property/asset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Banksman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Pedestrians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Operatives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Machine in good working condition; valid third-party certification and UAE documents.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Competent operator with valid licence; regular servicing and daily pre-use inspection.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In-house trained banksman/signaller to assist in critical areas.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Reverse alarm and mirrors/camera functional; no persons in operating area.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Loads secured; correct equipment selected for the task.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No mobile phone use during operation; park in designated area after use.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Lifting / Yard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Manual Handling Procedure.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Lifting &amp; Hoisting Procedure.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Mobile Crane Lifting Operations (BS 7121 / LOLER)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Crane set-up on inadequate ground; outrigger loading / instability.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Incorrect rigging / slinging; damaged lifting tackle (slings, shackles, chains).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Load or radius exceedance; overturning.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H.4 Overhead lifting / dropped load; personnel in fall zone.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H.5 High winds / adverse weather.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Crane overturn; dropped load.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Fatality or major injury; struck-by.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3. Major property/asset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Lifting crew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Banksman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Adjacent personnel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Lift planned to BS 7121 / LOLER by in-house Appointed Person; lift plan and RA briefed via TBT before lifting.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In-house certified crane operator, rigger/slinger and banksman/signaller (Al Laith Site Services in-house competent persons).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Firm, level ground verified; outrigger mats/plates sized for point loads; check for underground services/voids.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Lifting tackle inspected before each use; damaged tackle marked “NOT FOR USE” and removed; sling guards on sharp edges.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Loads within SWL and radius with safety margin; centre of gravity and lifting points verified.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B.6 Exclusion zone / barriers; no personnel under suspended loads; hand signals / radio comms.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B.7 Suspend lifting above 11 m/s wind (general lifting) and 7 m/s (man-riding); stop for lightning.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Lifting / Crane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Appointed Person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Lift Plan (BS 7121 / LOLER).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Statutory test certificates &amp; tackle inspection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Rescue &amp; Emergency Information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H.1 Lack of personnel preparedness / first aiders.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H.2 Lack of communication in emergency.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H.3 Delayed emergency response.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 Aggravated injury; fatality.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 Property/asset damage.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All personnel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Visitors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Operatives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B.1 Notify site HSE and management immediately; dial site control room / emergency services.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B.2 Trained First Aiders available on site; first aid kit maintained.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B.3 Emergency response and evacuation plan communicated; drills conducted.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B.4 Avoid lone working; maintain means of communication.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B.5 Certified rescue retrieval for height / lifting operations.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ffffff"/>
                <w:sz w:val="16"/>
                <w:szCs w:val="16"/>
              </w:rPr>
            </w:pPr>
            <w:r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Site Supervisor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HSE Officer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First Aider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R.1 First Aid Training.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R.2 Emergency First Aid Plan.</w:t>
            </w:r>
          </w:p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R.3 Medical Emergency Response Procedure.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>
        <w:rPr>
          <w:rtl w:val="0"/>
        </w:rPr>
      </w:r>
    </w:p>
    <w:sectPr>
      <w:headerReference r:id="rId12" w:type="default"/>
      <w:headerReference r:id="rId13" w:type="first"/>
      <w:type w:val="nextPage"/>
      <w:pgSz w:h="11906" w:w="16838" w:orient="landscape"/>
      <w:pgMar w:bottom="431" w:top="431" w:left="431" w:right="43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color w:val="073763"/>
        <w:sz w:val="40"/>
        <w:szCs w:val="40"/>
        <w:rtl w:val="0"/>
      </w:rPr>
      <w:t xml:space="preserve">Hazard &amp; Risk Analysis</w:t>
    </w:r>
    <w:r w:rsidDel="00000000" w:rsidR="00000000" w:rsidRPr="00000000">
      <w:rPr>
        <w:b w:val="1"/>
        <w:bCs w:val="1"/>
        <w:color w:val="073763"/>
        <w:sz w:val="36"/>
        <w:szCs w:val="36"/>
        <w:rtl w:val="0"/>
      </w:rPr>
      <w:t xml:space="preserve">   </w:t>
    </w:r>
    <w:r w:rsidDel="00000000" w:rsidR="00000000" w:rsidRPr="00000000">
      <w:rPr>
        <w:b w:val="1"/>
        <w:bCs w:val="1"/>
        <w:sz w:val="36"/>
        <w:szCs w:val="36"/>
        <w:rtl w:val="0"/>
      </w:rPr>
      <w:t xml:space="preserve">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8715375</wp:posOffset>
          </wp:positionH>
          <wp:positionV relativeFrom="paragraph">
            <wp:posOffset>-209549</wp:posOffset>
          </wp:positionV>
          <wp:extent cx="1308119" cy="736331"/>
          <wp:effectExtent b="0" l="0" r="0" t="0"/>
          <wp:wrapNone/>
          <wp:docPr descr="C:\Users\rofelin\Downloads\Al Laith - (Blue) Lions Head Logo.png" id="6" name="image3.png"/>
          <a:graphic>
            <a:graphicData uri="http://schemas.openxmlformats.org/drawingml/2006/picture">
              <pic:pic>
                <pic:nvPicPr>
                  <pic:cNvPr descr="C:\Users\rofelin\Downloads\Al Laith - (Blue) Lions Head 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8119" cy="73633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8119" cy="736331"/>
          <wp:effectExtent b="0" l="0" r="0" t="0"/>
          <wp:docPr descr="C:\Users\rofelin\Downloads\Al Laith - (Blue) Lions Head Logo.png" id="3" name="image3.png"/>
          <a:graphic>
            <a:graphicData uri="http://schemas.openxmlformats.org/drawingml/2006/picture">
              <pic:pic>
                <pic:nvPicPr>
                  <pic:cNvPr descr="C:\Users\rofelin\Downloads\Al Laith - (Blue) Lions Head 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8119" cy="7363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8119" cy="736331"/>
          <wp:effectExtent b="0" l="0" r="0" t="0"/>
          <wp:docPr descr="C:\Users\rofelin\Downloads\Al Laith - (Blue) Lions Head Logo.png" id="2" name="image3.png"/>
          <a:graphic>
            <a:graphicData uri="http://schemas.openxmlformats.org/drawingml/2006/picture">
              <pic:pic>
                <pic:nvPicPr>
                  <pic:cNvPr descr="C:\Users\rofelin\Downloads\Al Laith - (Blue) Lions Head 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8119" cy="7363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6"/>
      <w:tblW w:w="1587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50"/>
      <w:gridCol w:w="1105"/>
      <w:gridCol w:w="2551"/>
      <w:gridCol w:w="1559"/>
      <w:gridCol w:w="1134"/>
      <w:gridCol w:w="282"/>
      <w:gridCol w:w="285"/>
      <w:gridCol w:w="426"/>
      <w:gridCol w:w="4214"/>
      <w:gridCol w:w="239"/>
      <w:gridCol w:w="236"/>
      <w:gridCol w:w="414"/>
      <w:gridCol w:w="1275"/>
      <w:gridCol w:w="1701"/>
      <w:tblGridChange w:id="0">
        <w:tblGrid>
          <w:gridCol w:w="450"/>
          <w:gridCol w:w="1105"/>
          <w:gridCol w:w="2551"/>
          <w:gridCol w:w="1559"/>
          <w:gridCol w:w="1134"/>
          <w:gridCol w:w="282"/>
          <w:gridCol w:w="285"/>
          <w:gridCol w:w="426"/>
          <w:gridCol w:w="4214"/>
          <w:gridCol w:w="239"/>
          <w:gridCol w:w="236"/>
          <w:gridCol w:w="414"/>
          <w:gridCol w:w="1275"/>
          <w:gridCol w:w="1701"/>
        </w:tblGrid>
      </w:tblGridChange>
    </w:tblGrid>
    <w:tr>
      <w:trPr>
        <w:cantSplit w:val="0"/>
        <w:trHeight w:val="432" w:hRule="atLeast"/>
        <w:tblHeader w:val="1"/>
      </w:trPr>
      <w:tc>
        <w:tcPr>
          <w:gridSpan w:val="4"/>
          <w:shd w:fill="808080" w:val="clear"/>
          <w:vAlign w:val="center"/>
        </w:tcPr>
        <w:p w:rsidR="00000000" w:rsidDel="00000000" w:rsidP="00000000" w:rsidRDefault="00000000" w:rsidRPr="00000000" w14:paraId="0000022B">
          <w:pPr>
            <w:jc w:val="center"/>
            <w:rPr>
              <w:b w:val="1"/>
              <w:bCs w:val="1"/>
              <w:color w:val="ffffff"/>
            </w:rPr>
          </w:pPr>
          <w:r w:rsidDel="00000000" w:rsidR="00000000" w:rsidRPr="00000000">
            <w:rPr>
              <w:b w:val="1"/>
              <w:bCs w:val="1"/>
              <w:color w:val="ffffff"/>
              <w:rtl w:val="0"/>
            </w:rPr>
            <w:t xml:space="preserve">HAZARD IDENTIFICATION</w:t>
          </w:r>
        </w:p>
      </w:tc>
      <w:tc>
        <w:tcPr>
          <w:gridSpan w:val="5"/>
          <w:shd w:fill="808080" w:val="clear"/>
          <w:vAlign w:val="center"/>
        </w:tcPr>
        <w:p w:rsidR="00000000" w:rsidDel="00000000" w:rsidP="00000000" w:rsidRDefault="00000000" w:rsidRPr="00000000" w14:paraId="0000022F">
          <w:pPr>
            <w:jc w:val="center"/>
            <w:rPr>
              <w:b w:val="1"/>
              <w:bCs w:val="1"/>
              <w:color w:val="ffffff"/>
            </w:rPr>
          </w:pPr>
          <w:r w:rsidDel="00000000" w:rsidR="00000000" w:rsidRPr="00000000">
            <w:rPr>
              <w:b w:val="1"/>
              <w:bCs w:val="1"/>
              <w:color w:val="ffffff"/>
              <w:rtl w:val="0"/>
            </w:rPr>
            <w:t xml:space="preserve">RISK AND IMPACT EVALUATION</w:t>
          </w:r>
        </w:p>
      </w:tc>
      <w:tc>
        <w:tcPr>
          <w:gridSpan w:val="5"/>
          <w:shd w:fill="808080" w:val="clear"/>
          <w:vAlign w:val="center"/>
        </w:tcPr>
        <w:p w:rsidR="00000000" w:rsidDel="00000000" w:rsidP="00000000" w:rsidRDefault="00000000" w:rsidRPr="00000000" w14:paraId="00000234">
          <w:pPr>
            <w:jc w:val="center"/>
            <w:rPr>
              <w:b w:val="1"/>
              <w:bCs w:val="1"/>
              <w:color w:val="ffffff"/>
            </w:rPr>
          </w:pPr>
          <w:r w:rsidDel="00000000" w:rsidR="00000000" w:rsidRPr="00000000">
            <w:rPr>
              <w:b w:val="1"/>
              <w:bCs w:val="1"/>
              <w:color w:val="ffffff"/>
              <w:rtl w:val="0"/>
            </w:rPr>
            <w:t xml:space="preserve">RISK AND IMPACT CONTROL</w:t>
          </w:r>
        </w:p>
      </w:tc>
    </w:tr>
    <w:tr>
      <w:trPr>
        <w:cantSplit w:val="1"/>
        <w:trHeight w:val="373" w:hRule="atLeast"/>
        <w:tblHeader w:val="1"/>
      </w:trPr>
      <w:tc>
        <w:tcPr>
          <w:shd w:fill="00b0f0" w:val="clear"/>
          <w:vAlign w:val="center"/>
        </w:tcPr>
        <w:p w:rsidR="00000000" w:rsidDel="00000000" w:rsidP="00000000" w:rsidRDefault="00000000" w:rsidRPr="00000000" w14:paraId="00000239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A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Hazard Name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B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Hazards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C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Consequences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D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Who is at Risk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E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3F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L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0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RR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1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Preventative Barriers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2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3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L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4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RR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5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Action Officer / Designation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46">
          <w:pPr>
            <w:jc w:val="center"/>
            <w:rPr>
              <w:b w:val="1"/>
              <w:bCs w:val="1"/>
              <w:color w:val="ffffff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ffffff"/>
              <w:sz w:val="16"/>
              <w:szCs w:val="16"/>
              <w:rtl w:val="0"/>
            </w:rPr>
            <w:t xml:space="preserve">Recovery / Mitigation Barriers</w:t>
          </w:r>
        </w:p>
      </w:tc>
    </w:tr>
    <w:tr>
      <w:trPr>
        <w:cantSplit w:val="0"/>
        <w:trHeight w:val="88" w:hRule="atLeast"/>
        <w:tblHeader w:val="0"/>
      </w:trPr>
      <w:tc>
        <w:tcPr>
          <w:gridSpan w:val="14"/>
          <w:shd w:fill="808080" w:val="clear"/>
          <w:vAlign w:val="center"/>
        </w:tcPr>
        <w:p w:rsidR="00000000" w:rsidDel="00000000" w:rsidP="00000000" w:rsidRDefault="00000000" w:rsidRPr="00000000" w14:paraId="00000247">
          <w:pPr>
            <w:jc w:val="both"/>
            <w:rPr>
              <w:color w:val="ffffff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8119" cy="736331"/>
          <wp:effectExtent b="0" l="0" r="0" t="0"/>
          <wp:docPr descr="C:\Users\rofelin\Downloads\Al Laith - (Blue) Lions Head Logo.png" id="5" name="image3.png"/>
          <a:graphic>
            <a:graphicData uri="http://schemas.openxmlformats.org/drawingml/2006/picture">
              <pic:pic>
                <pic:nvPicPr>
                  <pic:cNvPr descr="C:\Users\rofelin\Downloads\Al Laith - (Blue) Lions Head 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8119" cy="7363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08119" cy="736331"/>
          <wp:effectExtent b="0" l="0" r="0" t="0"/>
          <wp:docPr descr="C:\Users\rofelin\Downloads\Al Laith - (Blue) Lions Head Logo.png" id="4" name="image3.png"/>
          <a:graphic>
            <a:graphicData uri="http://schemas.openxmlformats.org/drawingml/2006/picture">
              <pic:pic>
                <pic:nvPicPr>
                  <pic:cNvPr descr="C:\Users\rofelin\Downloads\Al Laith - (Blue) Lions Head 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8119" cy="7363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7"/>
      <w:tblW w:w="1544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50"/>
      <w:gridCol w:w="1105"/>
      <w:gridCol w:w="2383"/>
      <w:gridCol w:w="1586"/>
      <w:gridCol w:w="1107"/>
      <w:gridCol w:w="450"/>
      <w:gridCol w:w="450"/>
      <w:gridCol w:w="450"/>
      <w:gridCol w:w="3921"/>
      <w:gridCol w:w="343"/>
      <w:gridCol w:w="450"/>
      <w:gridCol w:w="450"/>
      <w:gridCol w:w="1343"/>
      <w:gridCol w:w="958"/>
      <w:tblGridChange w:id="0">
        <w:tblGrid>
          <w:gridCol w:w="450"/>
          <w:gridCol w:w="1105"/>
          <w:gridCol w:w="2383"/>
          <w:gridCol w:w="1586"/>
          <w:gridCol w:w="1107"/>
          <w:gridCol w:w="450"/>
          <w:gridCol w:w="450"/>
          <w:gridCol w:w="450"/>
          <w:gridCol w:w="3921"/>
          <w:gridCol w:w="343"/>
          <w:gridCol w:w="450"/>
          <w:gridCol w:w="450"/>
          <w:gridCol w:w="1343"/>
          <w:gridCol w:w="958"/>
        </w:tblGrid>
      </w:tblGridChange>
    </w:tblGrid>
    <w:tr>
      <w:trPr>
        <w:cantSplit w:val="0"/>
        <w:trHeight w:val="432" w:hRule="atLeast"/>
        <w:tblHeader w:val="1"/>
      </w:trPr>
      <w:tc>
        <w:tcPr>
          <w:gridSpan w:val="4"/>
          <w:shd w:fill="bfbfbf" w:val="clear"/>
          <w:vAlign w:val="center"/>
        </w:tcPr>
        <w:p w:rsidR="00000000" w:rsidDel="00000000" w:rsidP="00000000" w:rsidRDefault="00000000" w:rsidRPr="00000000" w14:paraId="00000259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HAZARD IDENTIFICATION</w:t>
          </w:r>
        </w:p>
      </w:tc>
      <w:tc>
        <w:tcPr>
          <w:gridSpan w:val="5"/>
          <w:shd w:fill="bfbfbf" w:val="clear"/>
          <w:vAlign w:val="center"/>
        </w:tcPr>
        <w:p w:rsidR="00000000" w:rsidDel="00000000" w:rsidP="00000000" w:rsidRDefault="00000000" w:rsidRPr="00000000" w14:paraId="0000025D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RISK AND IMPACT EVALUATION</w:t>
          </w:r>
        </w:p>
      </w:tc>
      <w:tc>
        <w:tcPr>
          <w:gridSpan w:val="5"/>
          <w:shd w:fill="bfbfbf" w:val="clear"/>
          <w:vAlign w:val="center"/>
        </w:tcPr>
        <w:p w:rsidR="00000000" w:rsidDel="00000000" w:rsidP="00000000" w:rsidRDefault="00000000" w:rsidRPr="00000000" w14:paraId="00000262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RISK AND IMPACT CONTROL</w:t>
          </w:r>
        </w:p>
      </w:tc>
    </w:tr>
    <w:tr>
      <w:trPr>
        <w:cantSplit w:val="1"/>
        <w:trHeight w:val="373" w:hRule="atLeast"/>
        <w:tblHeader w:val="1"/>
      </w:trPr>
      <w:tc>
        <w:tcPr>
          <w:shd w:fill="00b0f0" w:val="clear"/>
          <w:vAlign w:val="center"/>
        </w:tcPr>
        <w:p w:rsidR="00000000" w:rsidDel="00000000" w:rsidP="00000000" w:rsidRDefault="00000000" w:rsidRPr="00000000" w14:paraId="00000267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8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Hazard Name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9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Hazards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A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Consequences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B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Who is at Risk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C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D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L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E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RR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6F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Preventative Barriers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70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S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71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L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72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RR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73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Action Officer / Designation</w:t>
          </w:r>
        </w:p>
      </w:tc>
      <w:tc>
        <w:tcPr>
          <w:shd w:fill="00b0f0" w:val="clear"/>
          <w:vAlign w:val="center"/>
        </w:tcPr>
        <w:p w:rsidR="00000000" w:rsidDel="00000000" w:rsidP="00000000" w:rsidRDefault="00000000" w:rsidRPr="00000000" w14:paraId="00000274">
          <w:pPr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Recovery / Mitigation Barriers</w:t>
          </w:r>
        </w:p>
      </w:tc>
    </w:tr>
    <w:tr>
      <w:trPr>
        <w:cantSplit w:val="0"/>
        <w:trHeight w:val="88" w:hRule="atLeast"/>
        <w:tblHeader w:val="0"/>
      </w:trPr>
      <w:tc>
        <w:tcPr>
          <w:gridSpan w:val="14"/>
          <w:shd w:fill="bfbfbf" w:val="clear"/>
          <w:vAlign w:val="center"/>
        </w:tcPr>
        <w:p w:rsidR="00000000" w:rsidDel="00000000" w:rsidP="00000000" w:rsidRDefault="00000000" w:rsidRPr="00000000" w14:paraId="00000275">
          <w:pPr>
            <w:jc w:val="both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image" Target="media/image4.png"/><Relationship Id="rId13" Type="http://schemas.openxmlformats.org/officeDocument/2006/relationships/header" Target="header5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8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