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ayout w:type="fixed"/>
        <w:tblCellMar>
          <w:top w:w="80" w:type="dxa"/>
          <w:left w:w="60" w:type="dxa"/>
          <w:bottom w:w="60" w:type="dxa"/>
          <w:right w:w="60" w:type="dxa"/>
        </w:tblCellMar>
        <w:tblLook w:val="0000" w:firstRow="0" w:lastRow="0" w:firstColumn="0" w:lastColumn="0" w:noHBand="0" w:noVBand="0"/>
      </w:tblPr>
      <w:tblGrid>
        <w:gridCol w:w="4248"/>
        <w:gridCol w:w="4608"/>
      </w:tblGrid>
      <w:tr w:rsidR="00000000" w14:paraId="268B1C7A" w14:textId="77777777">
        <w:tc>
          <w:tcPr>
            <w:tcW w:w="4248" w:type="dxa"/>
          </w:tcPr>
          <w:p w14:paraId="4FD93296" w14:textId="77777777" w:rsidR="00000000" w:rsidRDefault="000D05A2">
            <w:pPr>
              <w:pStyle w:val="Title"/>
            </w:pPr>
            <w:r>
              <w:rPr>
                <w:noProof/>
              </w:rPr>
              <w:drawing>
                <wp:inline distT="0" distB="0" distL="0" distR="0" wp14:anchorId="4B9BF0D4" wp14:editId="3872D2E7">
                  <wp:extent cx="2620645" cy="2679065"/>
                  <wp:effectExtent l="12700" t="12700" r="0" b="635"/>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20645" cy="2679065"/>
                          </a:xfrm>
                          <a:prstGeom prst="rect">
                            <a:avLst/>
                          </a:prstGeom>
                          <a:noFill/>
                          <a:ln w="6350" cmpd="sng">
                            <a:solidFill>
                              <a:srgbClr val="000000"/>
                            </a:solidFill>
                            <a:miter lim="800000"/>
                            <a:headEnd/>
                            <a:tailEnd/>
                          </a:ln>
                          <a:effectLst/>
                        </pic:spPr>
                      </pic:pic>
                    </a:graphicData>
                  </a:graphic>
                </wp:inline>
              </w:drawing>
            </w:r>
          </w:p>
        </w:tc>
        <w:tc>
          <w:tcPr>
            <w:tcW w:w="4608" w:type="dxa"/>
          </w:tcPr>
          <w:p w14:paraId="5A768586" w14:textId="77777777" w:rsidR="00000000" w:rsidRDefault="00B30452">
            <w:pPr>
              <w:jc w:val="center"/>
              <w:rPr>
                <w:b/>
                <w:bCs/>
                <w:sz w:val="28"/>
              </w:rPr>
            </w:pPr>
          </w:p>
          <w:p w14:paraId="0FED4824" w14:textId="77777777" w:rsidR="00000000" w:rsidRDefault="00B30452">
            <w:pPr>
              <w:pStyle w:val="Title"/>
              <w:jc w:val="left"/>
              <w:rPr>
                <w:smallCaps/>
                <w:sz w:val="40"/>
              </w:rPr>
            </w:pPr>
            <w:r>
              <w:rPr>
                <w:smallCaps/>
                <w:sz w:val="40"/>
              </w:rPr>
              <w:t>James J. Morgan</w:t>
            </w:r>
          </w:p>
          <w:p w14:paraId="1CF5341E" w14:textId="77777777" w:rsidR="00000000" w:rsidRDefault="00B30452">
            <w:pPr>
              <w:rPr>
                <w:b/>
                <w:bCs/>
                <w:sz w:val="28"/>
              </w:rPr>
            </w:pPr>
            <w:r>
              <w:rPr>
                <w:b/>
                <w:bCs/>
                <w:sz w:val="28"/>
              </w:rPr>
              <w:t>(1932–    )</w:t>
            </w:r>
          </w:p>
          <w:p w14:paraId="05DD2EBB" w14:textId="77777777" w:rsidR="00000000" w:rsidRDefault="00B30452">
            <w:pPr>
              <w:spacing w:after="120"/>
              <w:jc w:val="center"/>
              <w:rPr>
                <w:b/>
                <w:bCs/>
                <w:sz w:val="28"/>
              </w:rPr>
            </w:pPr>
          </w:p>
          <w:p w14:paraId="11566885" w14:textId="77777777" w:rsidR="00000000" w:rsidRDefault="00B30452">
            <w:pPr>
              <w:pStyle w:val="Subtitle"/>
              <w:jc w:val="left"/>
              <w:rPr>
                <w:smallCaps/>
              </w:rPr>
            </w:pPr>
            <w:r>
              <w:rPr>
                <w:smallCaps/>
              </w:rPr>
              <w:t>Interviewed by</w:t>
            </w:r>
            <w:r>
              <w:rPr>
                <w:smallCaps/>
              </w:rPr>
              <w:br/>
              <w:t>Shirley K. Cohen</w:t>
            </w:r>
          </w:p>
          <w:p w14:paraId="3AF46CB7" w14:textId="77777777" w:rsidR="00000000" w:rsidRDefault="00B30452">
            <w:pPr>
              <w:pStyle w:val="Subtitle"/>
              <w:rPr>
                <w:smallCaps/>
              </w:rPr>
            </w:pPr>
          </w:p>
          <w:p w14:paraId="4DFB7D60" w14:textId="77777777" w:rsidR="00000000" w:rsidRDefault="00B30452">
            <w:pPr>
              <w:pStyle w:val="Heading4"/>
              <w:spacing w:after="120"/>
              <w:jc w:val="left"/>
            </w:pPr>
            <w:r>
              <w:t>May 25, June 1 and 16, 1999</w:t>
            </w:r>
          </w:p>
          <w:p w14:paraId="44059DFF" w14:textId="77777777" w:rsidR="00000000" w:rsidRDefault="00B30452">
            <w:pPr>
              <w:jc w:val="center"/>
            </w:pPr>
          </w:p>
        </w:tc>
      </w:tr>
    </w:tbl>
    <w:p w14:paraId="41D029D2" w14:textId="77777777" w:rsidR="00000000" w:rsidRDefault="00B30452">
      <w:pPr>
        <w:rPr>
          <w:sz w:val="28"/>
        </w:rPr>
      </w:pPr>
    </w:p>
    <w:tbl>
      <w:tblPr>
        <w:tblW w:w="0" w:type="auto"/>
        <w:tblLook w:val="0000" w:firstRow="0" w:lastRow="0" w:firstColumn="0" w:lastColumn="0" w:noHBand="0" w:noVBand="0"/>
      </w:tblPr>
      <w:tblGrid>
        <w:gridCol w:w="6069"/>
        <w:gridCol w:w="2571"/>
      </w:tblGrid>
      <w:tr w:rsidR="00000000" w14:paraId="5FF23919" w14:textId="77777777">
        <w:tblPrEx>
          <w:tblCellMar>
            <w:top w:w="0" w:type="dxa"/>
            <w:bottom w:w="0" w:type="dxa"/>
          </w:tblCellMar>
        </w:tblPrEx>
        <w:tc>
          <w:tcPr>
            <w:tcW w:w="6228" w:type="dxa"/>
          </w:tcPr>
          <w:p w14:paraId="69E12B4A" w14:textId="77777777" w:rsidR="00000000" w:rsidRDefault="00B30452">
            <w:pPr>
              <w:jc w:val="right"/>
              <w:rPr>
                <w:b/>
                <w:bCs/>
                <w:sz w:val="28"/>
              </w:rPr>
            </w:pPr>
            <w:r>
              <w:rPr>
                <w:b/>
                <w:bCs/>
                <w:sz w:val="28"/>
              </w:rPr>
              <w:t>ARCHIVES</w:t>
            </w:r>
          </w:p>
          <w:p w14:paraId="7E469317" w14:textId="77777777" w:rsidR="00000000" w:rsidRDefault="00B30452">
            <w:pPr>
              <w:jc w:val="right"/>
              <w:rPr>
                <w:b/>
                <w:bCs/>
                <w:sz w:val="28"/>
              </w:rPr>
            </w:pPr>
            <w:r>
              <w:rPr>
                <w:b/>
                <w:bCs/>
                <w:sz w:val="28"/>
              </w:rPr>
              <w:t>CALIFORNIA INSTITUTE OF TECHNOLOGY</w:t>
            </w:r>
          </w:p>
          <w:p w14:paraId="7485D80E" w14:textId="77777777" w:rsidR="00000000" w:rsidRDefault="00B30452">
            <w:pPr>
              <w:jc w:val="right"/>
              <w:rPr>
                <w:b/>
                <w:bCs/>
                <w:sz w:val="28"/>
              </w:rPr>
            </w:pPr>
            <w:r>
              <w:rPr>
                <w:b/>
                <w:bCs/>
                <w:sz w:val="28"/>
              </w:rPr>
              <w:t>Pasadena, California</w:t>
            </w:r>
          </w:p>
          <w:p w14:paraId="4DBE9748" w14:textId="77777777" w:rsidR="00000000" w:rsidRDefault="00B30452">
            <w:pPr>
              <w:rPr>
                <w:sz w:val="28"/>
              </w:rPr>
            </w:pPr>
          </w:p>
        </w:tc>
        <w:tc>
          <w:tcPr>
            <w:tcW w:w="2628" w:type="dxa"/>
          </w:tcPr>
          <w:p w14:paraId="23BE8B49" w14:textId="77777777" w:rsidR="00000000" w:rsidRDefault="00B30452">
            <w:pPr>
              <w:rPr>
                <w:sz w:val="28"/>
              </w:rPr>
            </w:pPr>
            <w:r>
              <w:rPr>
                <w:noProof/>
              </w:rPr>
              <w:object w:dxaOrig="1185" w:dyaOrig="1200" w14:anchorId="2811B2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9.05pt;height:49.55pt;mso-width-percent:0;mso-height-percent:0;mso-width-percent:0;mso-height-percent:0" o:ole="">
                  <v:imagedata r:id="rId7" o:title=""/>
                </v:shape>
                <o:OLEObject Type="Embed" ProgID="Unknown" ShapeID="_x0000_i1025" DrawAspect="Content" ObjectID="_1706438969" r:id="rId8"/>
              </w:object>
            </w:r>
          </w:p>
        </w:tc>
      </w:tr>
    </w:tbl>
    <w:p w14:paraId="6A855C28" w14:textId="77777777" w:rsidR="00000000" w:rsidRDefault="00B30452">
      <w:pPr>
        <w:pBdr>
          <w:bottom w:val="single" w:sz="12" w:space="1" w:color="auto"/>
        </w:pBdr>
        <w:rPr>
          <w:sz w:val="28"/>
        </w:rPr>
      </w:pPr>
    </w:p>
    <w:p w14:paraId="192D4FD6" w14:textId="77777777" w:rsidR="00000000" w:rsidRDefault="00B30452">
      <w:pPr>
        <w:pBdr>
          <w:bottom w:val="single" w:sz="12" w:space="1" w:color="auto"/>
        </w:pBdr>
        <w:rPr>
          <w:sz w:val="28"/>
        </w:rPr>
      </w:pPr>
    </w:p>
    <w:p w14:paraId="7A5C8E65" w14:textId="77777777" w:rsidR="00000000" w:rsidRDefault="00B30452">
      <w:pPr>
        <w:rPr>
          <w:sz w:val="28"/>
        </w:rPr>
      </w:pPr>
    </w:p>
    <w:p w14:paraId="4BCFA7BC" w14:textId="77777777" w:rsidR="00000000" w:rsidRDefault="00B30452">
      <w:pPr>
        <w:pStyle w:val="Heading1"/>
        <w:spacing w:after="40"/>
      </w:pPr>
      <w:r>
        <w:t>Subject area</w:t>
      </w:r>
    </w:p>
    <w:p w14:paraId="7862B8A0" w14:textId="77777777" w:rsidR="00000000" w:rsidRDefault="00B30452">
      <w:r>
        <w:tab/>
        <w:t>Engineering, environmental engineering</w:t>
      </w:r>
    </w:p>
    <w:p w14:paraId="7E51D073" w14:textId="77777777" w:rsidR="00000000" w:rsidRDefault="00B30452"/>
    <w:p w14:paraId="23B6D593" w14:textId="77777777" w:rsidR="00000000" w:rsidRDefault="00B30452">
      <w:pPr>
        <w:pStyle w:val="Heading1"/>
        <w:spacing w:after="40"/>
      </w:pPr>
      <w:r>
        <w:t>Abstract</w:t>
      </w:r>
    </w:p>
    <w:p w14:paraId="382C1D61" w14:textId="77777777" w:rsidR="00000000" w:rsidRDefault="00B30452">
      <w:pPr>
        <w:ind w:left="720"/>
      </w:pPr>
      <w:r>
        <w:t>Interv</w:t>
      </w:r>
      <w:r>
        <w:t>iew in 1999 with James J. Morgan, Marvin L. Goldberger Professor of Environmental Engineering Science, emeritus.  Born in New York City to Irish immigrant parents, Morgan was raised in County Monaghan, Ireland, during the Depression.  He studied civil engi</w:t>
      </w:r>
      <w:r>
        <w:t>neering at Manhattan College, received a master’s degree from the University of Michigan in environmental health engineering with C. J. Velz (1956), and after three years as an instructor at the University of Illinois took his PhD at Harvard in 1964 with t</w:t>
      </w:r>
      <w:r>
        <w:t>he water chemist Werner Stumm.  Morgan came to Caltech in 1965 to join the environmental engineering science program in the Division of Engineering and Applied Science, where he worked on manganese chemistry in water and the use of polyelectrolytes in</w:t>
      </w:r>
      <w:r w:rsidRPr="000D05A2">
        <w:rPr>
          <w14:shadow w14:blurRad="50800" w14:dist="38100" w14:dir="2700000" w14:sx="100000" w14:sy="100000" w14:kx="0" w14:ky="0" w14:algn="tl">
            <w14:srgbClr w14:val="000000">
              <w14:alpha w14:val="60000"/>
            </w14:srgbClr>
          </w14:shadow>
        </w:rPr>
        <w:t xml:space="preserve"> </w:t>
      </w:r>
      <w:r>
        <w:t>wate</w:t>
      </w:r>
      <w:r>
        <w:t xml:space="preserve">r treatment.  Recollections of colleagues Jack McKee, Sheldon Friedlander, Norman Brooks, and the early years of the environmental engineering science program.  In 1966 he became first editor of the American Chemical Society’s journal </w:t>
      </w:r>
      <w:r>
        <w:rPr>
          <w:i/>
        </w:rPr>
        <w:t>Environmental Science</w:t>
      </w:r>
      <w:r>
        <w:rPr>
          <w:i/>
        </w:rPr>
        <w:t xml:space="preserve"> and Technology</w:t>
      </w:r>
      <w:r>
        <w:rPr>
          <w:iCs/>
        </w:rPr>
        <w:t>.</w:t>
      </w:r>
      <w:r>
        <w:t xml:space="preserve">  Recalls stint on Caltech’s Freshman Admissions Committee and as dean of students in the early 1970s.  Coauthored </w:t>
      </w:r>
      <w:r>
        <w:rPr>
          <w:i/>
          <w:iCs/>
        </w:rPr>
        <w:t>Aquatic Chemistry</w:t>
      </w:r>
      <w:r>
        <w:t xml:space="preserve"> with Werner Stumm.  Comments on </w:t>
      </w:r>
      <w:r>
        <w:lastRenderedPageBreak/>
        <w:t>his consulting for industry and government in the 1970s.  Becomes vice pres</w:t>
      </w:r>
      <w:r>
        <w:t>ident for student affairs (1980-1989).  Recalls postdocs and students, including François Morel, James Pankow, Alan Stone, Howard Liljestrand, Yigal Erel, Windsor Sung.  Awarded 1999 Stockholm Water Prize jointly with Werner Stumm (d. April 1999).  In an e</w:t>
      </w:r>
      <w:r>
        <w:t>pilogue to this interview, Morgan describes his trip to Stockholm to accept the award on behalf of Stumm and himself and his receipt that year of the</w:t>
      </w:r>
      <w:r w:rsidRPr="000D05A2">
        <w:rPr>
          <w:i/>
          <w:iCs/>
          <w14:shadow w14:blurRad="50800" w14:dist="38100" w14:dir="2700000" w14:sx="100000" w14:sy="100000" w14:kx="0" w14:ky="0" w14:algn="tl">
            <w14:srgbClr w14:val="000000">
              <w14:alpha w14:val="60000"/>
            </w14:srgbClr>
          </w14:shadow>
        </w:rPr>
        <w:t xml:space="preserve"> </w:t>
      </w:r>
      <w:r>
        <w:t>Clarke Prize of the National Water Research Institute.</w:t>
      </w:r>
    </w:p>
    <w:p w14:paraId="0F6FD5D4" w14:textId="77777777" w:rsidR="00000000" w:rsidRDefault="00B30452">
      <w:pPr>
        <w:rPr>
          <w:sz w:val="28"/>
        </w:rPr>
      </w:pPr>
    </w:p>
    <w:p w14:paraId="506AD359" w14:textId="77777777" w:rsidR="00000000" w:rsidRDefault="00B30452">
      <w:pPr>
        <w:rPr>
          <w:sz w:val="28"/>
        </w:rPr>
      </w:pPr>
    </w:p>
    <w:p w14:paraId="2D3AD30D" w14:textId="77777777" w:rsidR="00000000" w:rsidRDefault="00B30452">
      <w:pPr>
        <w:pStyle w:val="Heading1"/>
      </w:pPr>
      <w:r>
        <w:t>Administrative information</w:t>
      </w:r>
    </w:p>
    <w:p w14:paraId="44BF6BC5" w14:textId="77777777" w:rsidR="00000000" w:rsidRDefault="00B30452">
      <w:pPr>
        <w:rPr>
          <w:b/>
          <w:bCs/>
          <w:sz w:val="28"/>
        </w:rPr>
      </w:pPr>
    </w:p>
    <w:p w14:paraId="7E963A6E" w14:textId="77777777" w:rsidR="00000000" w:rsidRDefault="00B30452">
      <w:pPr>
        <w:pStyle w:val="Heading2"/>
        <w:spacing w:after="40"/>
      </w:pPr>
      <w:r>
        <w:t>Access</w:t>
      </w:r>
    </w:p>
    <w:p w14:paraId="644C944E" w14:textId="77777777" w:rsidR="00000000" w:rsidRDefault="00B30452">
      <w:r>
        <w:tab/>
        <w:t>The interview</w:t>
      </w:r>
      <w:r>
        <w:t xml:space="preserve"> is unrestricted.</w:t>
      </w:r>
    </w:p>
    <w:p w14:paraId="68E26866" w14:textId="77777777" w:rsidR="00000000" w:rsidRDefault="00B30452"/>
    <w:p w14:paraId="50CBF8C1" w14:textId="77777777" w:rsidR="00000000" w:rsidRDefault="00B30452">
      <w:pPr>
        <w:pStyle w:val="Heading2"/>
        <w:spacing w:after="40"/>
      </w:pPr>
      <w:r>
        <w:t>Copyright</w:t>
      </w:r>
    </w:p>
    <w:p w14:paraId="3C12ECF0" w14:textId="77777777" w:rsidR="00000000" w:rsidRDefault="00B30452">
      <w:pPr>
        <w:pStyle w:val="BodyTextIndent"/>
      </w:pPr>
      <w:r>
        <w:tab/>
        <w:t>Copyright has been assigned to the California Institute of Technology © 2001, 2002.  All requests for permission to publish or quote from the transcript must be submitted in writing to the University Archivist.</w:t>
      </w:r>
    </w:p>
    <w:p w14:paraId="3D189173" w14:textId="77777777" w:rsidR="00000000" w:rsidRDefault="00B30452">
      <w:pPr>
        <w:pStyle w:val="Heading3"/>
      </w:pPr>
    </w:p>
    <w:p w14:paraId="7290AF95" w14:textId="77777777" w:rsidR="00000000" w:rsidRDefault="00B30452">
      <w:pPr>
        <w:pStyle w:val="Heading3"/>
        <w:spacing w:after="40"/>
      </w:pPr>
      <w:r>
        <w:t>Preferred cita</w:t>
      </w:r>
      <w:r>
        <w:t>tion</w:t>
      </w:r>
    </w:p>
    <w:p w14:paraId="33ACD9EC" w14:textId="77777777" w:rsidR="00000000" w:rsidRDefault="00B30452">
      <w:pPr>
        <w:ind w:left="720" w:hanging="720"/>
      </w:pPr>
      <w:r>
        <w:tab/>
        <w:t xml:space="preserve">Morgan, James J.  Interview by Shirley K. Cohen.  Pasadena, California, May 25, June 1 and June 16, 1999.  Oral History Project, California Institute of Technology Archives.  Retrieved [supply date of retrieval] from the World Wide Web:  </w:t>
      </w:r>
      <w:r>
        <w:rPr>
          <w:rFonts w:cs="Arial"/>
        </w:rPr>
        <w:t xml:space="preserve"> http://reso</w:t>
      </w:r>
      <w:r>
        <w:rPr>
          <w:rFonts w:cs="Arial"/>
        </w:rPr>
        <w:t>lver.caltech.edu/CaltechOH:OH_Morgan_J</w:t>
      </w:r>
    </w:p>
    <w:p w14:paraId="0930F0B4" w14:textId="77777777" w:rsidR="00000000" w:rsidRDefault="00B30452">
      <w:pPr>
        <w:ind w:left="720" w:hanging="720"/>
      </w:pPr>
    </w:p>
    <w:p w14:paraId="358EE52F" w14:textId="77777777" w:rsidR="00000000" w:rsidRDefault="00B30452">
      <w:pPr>
        <w:pStyle w:val="Heading3"/>
        <w:spacing w:after="40"/>
      </w:pPr>
      <w:r>
        <w:t>Contact information</w:t>
      </w:r>
    </w:p>
    <w:p w14:paraId="45FB13F7" w14:textId="77777777" w:rsidR="00000000" w:rsidRDefault="00B30452">
      <w:pPr>
        <w:pStyle w:val="BodyTextIndent"/>
      </w:pPr>
      <w:r>
        <w:tab/>
        <w:t>Archives, California Institute of Technology</w:t>
      </w:r>
      <w:r>
        <w:br/>
        <w:t>Mail Code 015A-74</w:t>
      </w:r>
      <w:r>
        <w:br/>
        <w:t>Pasadena, CA  91125</w:t>
      </w:r>
      <w:r>
        <w:br/>
        <w:t>Phone:  (626)395-2704  Fax:  (626)793-8756</w:t>
      </w:r>
      <w:r>
        <w:br/>
        <w:t>Email:  archives@caltech.edu</w:t>
      </w:r>
    </w:p>
    <w:p w14:paraId="4C39C70B" w14:textId="77777777" w:rsidR="00000000" w:rsidRDefault="00B30452">
      <w:pPr>
        <w:ind w:left="720" w:hanging="720"/>
      </w:pPr>
    </w:p>
    <w:p w14:paraId="5F95C271" w14:textId="77777777" w:rsidR="00000000" w:rsidRDefault="00B30452">
      <w:pPr>
        <w:ind w:left="720" w:hanging="720"/>
      </w:pPr>
    </w:p>
    <w:p w14:paraId="0F5153E7" w14:textId="77777777" w:rsidR="00000000" w:rsidRDefault="00B30452">
      <w:pPr>
        <w:ind w:left="720" w:hanging="720"/>
      </w:pPr>
    </w:p>
    <w:p w14:paraId="3E0C7925" w14:textId="77777777" w:rsidR="00000000" w:rsidRDefault="00B30452">
      <w:pPr>
        <w:ind w:left="720" w:hanging="720"/>
        <w:jc w:val="center"/>
      </w:pPr>
      <w:r>
        <w:t>Graphics and content © California Ins</w:t>
      </w:r>
      <w:r>
        <w:t>titute of Technology.</w:t>
      </w:r>
    </w:p>
    <w:p w14:paraId="7F904B11" w14:textId="77777777" w:rsidR="00000000" w:rsidRDefault="00B30452">
      <w:pPr>
        <w:ind w:left="720" w:hanging="720"/>
        <w:jc w:val="center"/>
      </w:pPr>
    </w:p>
    <w:p w14:paraId="5D9CC814" w14:textId="77777777" w:rsidR="00000000" w:rsidRDefault="00B30452">
      <w:pPr>
        <w:ind w:left="720" w:hanging="720"/>
        <w:jc w:val="center"/>
      </w:pPr>
      <w:r>
        <w:br w:type="page"/>
      </w:r>
    </w:p>
    <w:p w14:paraId="62B49FAC" w14:textId="77777777" w:rsidR="00000000" w:rsidRDefault="00B30452">
      <w:pPr>
        <w:ind w:left="720" w:hanging="720"/>
        <w:jc w:val="center"/>
      </w:pPr>
    </w:p>
    <w:p w14:paraId="465E85B7" w14:textId="77777777" w:rsidR="00000000" w:rsidRDefault="000D05A2">
      <w:pPr>
        <w:ind w:left="720" w:hanging="720"/>
        <w:jc w:val="center"/>
      </w:pPr>
      <w:r>
        <w:rPr>
          <w:noProof/>
        </w:rPr>
        <w:drawing>
          <wp:inline distT="0" distB="0" distL="0" distR="0" wp14:anchorId="16A048D4" wp14:editId="1E16BA6B">
            <wp:extent cx="4705985" cy="5474970"/>
            <wp:effectExtent l="12700" t="12700" r="5715" b="0"/>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05985" cy="5474970"/>
                    </a:xfrm>
                    <a:prstGeom prst="rect">
                      <a:avLst/>
                    </a:prstGeom>
                    <a:noFill/>
                    <a:ln w="6350" cmpd="sng">
                      <a:solidFill>
                        <a:srgbClr val="000000"/>
                      </a:solidFill>
                      <a:miter lim="800000"/>
                      <a:headEnd/>
                      <a:tailEnd/>
                    </a:ln>
                    <a:effectLst/>
                  </pic:spPr>
                </pic:pic>
              </a:graphicData>
            </a:graphic>
          </wp:inline>
        </w:drawing>
      </w:r>
    </w:p>
    <w:p w14:paraId="333C9D77" w14:textId="77777777" w:rsidR="00000000" w:rsidRDefault="00B30452">
      <w:pPr>
        <w:ind w:left="720" w:hanging="720"/>
        <w:jc w:val="center"/>
      </w:pPr>
    </w:p>
    <w:p w14:paraId="3771ABDB" w14:textId="77777777" w:rsidR="00000000" w:rsidRDefault="00B30452">
      <w:pPr>
        <w:pStyle w:val="BlockText"/>
        <w:rPr>
          <w:sz w:val="21"/>
        </w:rPr>
      </w:pPr>
      <w:r>
        <w:rPr>
          <w:sz w:val="21"/>
        </w:rPr>
        <w:t>James Morgan tests the waters in 1970, the year Caltech started a degree program in environmental engineering science.  His work on water quality and wastewater treatment would later win him the Stockholm Water Prize and the Cl</w:t>
      </w:r>
      <w:r>
        <w:rPr>
          <w:sz w:val="21"/>
        </w:rPr>
        <w:t>arke Prize (both 1999).</w:t>
      </w:r>
    </w:p>
    <w:p w14:paraId="1EDAD14B" w14:textId="77777777" w:rsidR="00B30452" w:rsidRDefault="00B30452">
      <w:pPr>
        <w:ind w:left="720" w:hanging="720"/>
        <w:jc w:val="center"/>
      </w:pPr>
    </w:p>
    <w:sectPr w:rsidR="00B30452">
      <w:footerReference w:type="default" r:id="rId10"/>
      <w:pgSz w:w="12240" w:h="15840" w:code="1"/>
      <w:pgMar w:top="1440" w:right="1800" w:bottom="1440" w:left="1800" w:header="720" w:footer="30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E6D783" w14:textId="77777777" w:rsidR="00B30452" w:rsidRDefault="00B30452">
      <w:r>
        <w:separator/>
      </w:r>
    </w:p>
  </w:endnote>
  <w:endnote w:type="continuationSeparator" w:id="0">
    <w:p w14:paraId="6F150EF0" w14:textId="77777777" w:rsidR="00B30452" w:rsidRDefault="00B304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71DEB2" w14:textId="77777777" w:rsidR="00000000" w:rsidRDefault="00B30452">
    <w:pPr>
      <w:pStyle w:val="Footer"/>
      <w:rPr>
        <w:rFonts w:ascii="Arial" w:hAnsi="Arial" w:cs="Arial"/>
        <w:sz w:val="18"/>
      </w:rPr>
    </w:pPr>
    <w:r>
      <w:rPr>
        <w:rFonts w:ascii="Arial" w:hAnsi="Arial" w:cs="Arial"/>
        <w:sz w:val="18"/>
      </w:rPr>
      <w:t>http://resolver.caltech.edu/CaltechOH:OH_Morgan_J</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BD2C16" w14:textId="77777777" w:rsidR="00B30452" w:rsidRDefault="00B30452">
      <w:r>
        <w:separator/>
      </w:r>
    </w:p>
  </w:footnote>
  <w:footnote w:type="continuationSeparator" w:id="0">
    <w:p w14:paraId="6CCA74AC" w14:textId="77777777" w:rsidR="00B30452" w:rsidRDefault="00B3045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18"/>
  <w:attachedTemplate r:id="rId1"/>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05A2"/>
    <w:rsid w:val="000D05A2"/>
    <w:rsid w:val="00B304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10C3654"/>
  <w15:chartTrackingRefBased/>
  <w15:docId w15:val="{72C572C0-A7C5-7342-91EB-7EBC209DB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qFormat/>
    <w:pPr>
      <w:keepNext/>
      <w:outlineLvl w:val="0"/>
    </w:pPr>
    <w:rPr>
      <w:b/>
      <w:bCs/>
      <w:sz w:val="28"/>
    </w:rPr>
  </w:style>
  <w:style w:type="paragraph" w:styleId="Heading2">
    <w:name w:val="heading 2"/>
    <w:basedOn w:val="Normal"/>
    <w:next w:val="Normal"/>
    <w:qFormat/>
    <w:pPr>
      <w:keepNext/>
      <w:outlineLvl w:val="1"/>
    </w:pPr>
    <w:rPr>
      <w:b/>
      <w:bCs/>
    </w:rPr>
  </w:style>
  <w:style w:type="paragraph" w:styleId="Heading3">
    <w:name w:val="heading 3"/>
    <w:basedOn w:val="Normal"/>
    <w:next w:val="Normal"/>
    <w:qFormat/>
    <w:pPr>
      <w:keepNext/>
      <w:ind w:left="720" w:hanging="720"/>
      <w:outlineLvl w:val="2"/>
    </w:pPr>
    <w:rPr>
      <w:b/>
      <w:bCs/>
    </w:rPr>
  </w:style>
  <w:style w:type="paragraph" w:styleId="Heading4">
    <w:name w:val="heading 4"/>
    <w:basedOn w:val="Normal"/>
    <w:next w:val="Normal"/>
    <w:qFormat/>
    <w:pPr>
      <w:keepNext/>
      <w:jc w:val="center"/>
      <w:outlineLvl w:val="3"/>
    </w:pPr>
    <w:rPr>
      <w:b/>
      <w:bCs/>
      <w:sz w:val="28"/>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bCs/>
      <w:sz w:val="36"/>
    </w:rPr>
  </w:style>
  <w:style w:type="paragraph" w:styleId="BodyTextIndent">
    <w:name w:val="Body Text Indent"/>
    <w:basedOn w:val="Normal"/>
    <w:semiHidden/>
    <w:pPr>
      <w:ind w:left="720" w:hanging="720"/>
    </w:pPr>
  </w:style>
  <w:style w:type="character" w:styleId="Hyperlink">
    <w:name w:val="Hyperlink"/>
    <w:basedOn w:val="DefaultParagraphFont"/>
    <w:semiHidden/>
    <w:rPr>
      <w:color w:val="0000FF"/>
      <w:u w:val="single"/>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paragraph" w:styleId="BodyTextIndent2">
    <w:name w:val="Body Text Indent 2"/>
    <w:basedOn w:val="Normal"/>
    <w:semiHidden/>
    <w:pPr>
      <w:ind w:left="720"/>
    </w:pPr>
  </w:style>
  <w:style w:type="character" w:styleId="FollowedHyperlink">
    <w:name w:val="FollowedHyperlink"/>
    <w:basedOn w:val="DefaultParagraphFont"/>
    <w:semiHidden/>
    <w:rPr>
      <w:color w:val="800080"/>
      <w:u w:val="single"/>
    </w:rPr>
  </w:style>
  <w:style w:type="paragraph" w:styleId="Subtitle">
    <w:name w:val="Subtitle"/>
    <w:basedOn w:val="Normal"/>
    <w:qFormat/>
    <w:pPr>
      <w:spacing w:after="120"/>
      <w:jc w:val="center"/>
    </w:pPr>
    <w:rPr>
      <w:b/>
      <w:bCs/>
      <w:sz w:val="28"/>
    </w:rPr>
  </w:style>
  <w:style w:type="paragraph" w:styleId="BlockText">
    <w:name w:val="Block Text"/>
    <w:basedOn w:val="Normal"/>
    <w:semiHidden/>
    <w:pPr>
      <w:ind w:left="720" w:right="720"/>
      <w:jc w:val="both"/>
    </w:pPr>
    <w:rPr>
      <w:rFonts w:ascii="Arial" w:hAnsi="Arial" w:cs="Arial"/>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2"/>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S:\common\Archives'%20Templates\OHO%20Front%20Matter.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S:\common\Archives' Templates\OHO Front Matter.dot</Template>
  <TotalTime>0</TotalTime>
  <Pages>3</Pages>
  <Words>462</Words>
  <Characters>2635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Interview with Herschel K</vt:lpstr>
    </vt:vector>
  </TitlesOfParts>
  <Company>Caltech</Company>
  <LinksUpToDate>false</LinksUpToDate>
  <CharactersWithSpaces>3091</CharactersWithSpaces>
  <SharedDoc>false</SharedDoc>
  <HLinks>
    <vt:vector size="12" baseType="variant">
      <vt:variant>
        <vt:i4>1704061</vt:i4>
      </vt:variant>
      <vt:variant>
        <vt:i4>1024</vt:i4>
      </vt:variant>
      <vt:variant>
        <vt:i4>1025</vt:i4>
      </vt:variant>
      <vt:variant>
        <vt:i4>1</vt:i4>
      </vt:variant>
      <vt:variant>
        <vt:lpwstr>S:\common\ORALHIST\Online oral histories\Morgan\Morgan portrait 1.jpg</vt:lpwstr>
      </vt:variant>
      <vt:variant>
        <vt:lpwstr/>
      </vt:variant>
      <vt:variant>
        <vt:i4>4784163</vt:i4>
      </vt:variant>
      <vt:variant>
        <vt:i4>3866</vt:i4>
      </vt:variant>
      <vt:variant>
        <vt:i4>1027</vt:i4>
      </vt:variant>
      <vt:variant>
        <vt:i4>1</vt:i4>
      </vt:variant>
      <vt:variant>
        <vt:lpwstr>S:\common\ORALHIST\Online oral histories\Morgan\Morgan fun 1.jpg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Interview with Herschel K</dc:title>
  <dc:subject/>
  <dc:creator>loma</dc:creator>
  <cp:keywords/>
  <dc:description/>
  <cp:lastModifiedBy>Morrell, Thomas E. (Tom)</cp:lastModifiedBy>
  <cp:revision>2</cp:revision>
  <cp:lastPrinted>2002-12-05T17:25:00Z</cp:lastPrinted>
  <dcterms:created xsi:type="dcterms:W3CDTF">2022-02-15T22:03:00Z</dcterms:created>
  <dcterms:modified xsi:type="dcterms:W3CDTF">2022-02-15T22:03:00Z</dcterms:modified>
</cp:coreProperties>
</file>