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434F4" w14:textId="5492486E" w:rsidR="006E641D" w:rsidRDefault="006010EC" w:rsidP="00CC0DAB">
      <w:pPr>
        <w:pStyle w:val="Title"/>
        <w:rPr>
          <w:rFonts w:eastAsia="Times New Roman"/>
          <w:lang w:eastAsia="en-AU"/>
        </w:rPr>
      </w:pPr>
      <w:r w:rsidRPr="00CC0DAB">
        <w:rPr>
          <w:rFonts w:eastAsia="Times New Roman"/>
          <w:lang w:eastAsia="en-AU"/>
        </w:rPr>
        <w:t>Eligibility for the CHAANZ CHD Registry</w:t>
      </w:r>
    </w:p>
    <w:p w14:paraId="7B8CF5ED" w14:textId="77777777" w:rsidR="006E641D" w:rsidRPr="006E641D" w:rsidRDefault="006E641D" w:rsidP="00CC0DAB">
      <w:pPr>
        <w:rPr>
          <w:lang w:eastAsia="en-AU"/>
        </w:rPr>
      </w:pPr>
    </w:p>
    <w:p w14:paraId="248F4BA4" w14:textId="010D8115" w:rsidR="006E641D" w:rsidRPr="00CC0DAB" w:rsidRDefault="00C426F9" w:rsidP="00CC0DAB">
      <w:pPr>
        <w:pStyle w:val="Heading2"/>
        <w:rPr>
          <w:lang w:eastAsia="en-AU"/>
        </w:rPr>
      </w:pPr>
      <w:r>
        <w:rPr>
          <w:lang w:eastAsia="en-AU"/>
        </w:rPr>
        <w:t xml:space="preserve">1.1 </w:t>
      </w:r>
      <w:r w:rsidR="006E641D">
        <w:rPr>
          <w:lang w:eastAsia="en-AU"/>
        </w:rPr>
        <w:t>Diagnosis Reference Table</w:t>
      </w:r>
    </w:p>
    <w:p w14:paraId="273212B9" w14:textId="77777777" w:rsidR="006010EC" w:rsidRDefault="006010EC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5788BBE6" w14:textId="7631C504" w:rsidR="006010EC" w:rsidRDefault="006010EC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354C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CHAANZ Diagnosis Reference Table</w:t>
      </w:r>
      <w:r w:rsidR="009F743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(DRT)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which is centred on EPCC codes,</w:t>
      </w:r>
      <w:r w:rsidRPr="00C354C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876AF3" w:rsidRPr="00C354C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 </w:t>
      </w:r>
      <w:r w:rsidR="00876AF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submitted </w:t>
      </w:r>
      <w:r w:rsidR="009F743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separately </w:t>
      </w:r>
      <w:r w:rsidR="00876AF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in electronic format</w:t>
      </w:r>
      <w:r w:rsidR="009F743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and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CC11F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comprises 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following </w:t>
      </w:r>
      <w:r w:rsidR="00CC11F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variables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:</w:t>
      </w:r>
    </w:p>
    <w:p w14:paraId="507F3791" w14:textId="06C19F53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CHAANZ_source: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Tracks changes to the </w:t>
      </w:r>
      <w:r w:rsidR="00834B9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DRT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eligibility </w:t>
      </w:r>
      <w:r w:rsidR="004B7AC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rules</w:t>
      </w:r>
      <w:r w:rsidR="004B7AC9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through different versions</w:t>
      </w:r>
      <w:r w:rsidR="004B7AC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where ‘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Drt_sl_24aug2021</w:t>
      </w:r>
      <w:r w:rsidR="004B7AC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7C4C2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is</w:t>
      </w:r>
      <w:r w:rsidR="007C4C29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first version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, and related files are archived here: </w:t>
      </w:r>
      <w:r w:rsidR="00317195" w:rsidRPr="0031719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Heart Research Institute\Clinical Research Group - CHAANZ\Group A\Diagnosis Coding\02_DRT\Archive</w:t>
      </w:r>
      <w:r w:rsidR="004B7AC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3B8399B5" w14:textId="74C46063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DIAGNOSIS_R: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EPCC name of the diagnosis</w:t>
      </w:r>
      <w:r w:rsidR="0085728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42AC7B09" w14:textId="0FE52F89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IPCCC_CODE_R: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EPCC code for the diagnosis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N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ot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that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‘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IPCCC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refers to</w:t>
      </w:r>
      <w:r w:rsidR="00BB7944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n older version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of the registry 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where the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IPCCC long list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was used</w:t>
      </w:r>
      <w:r w:rsidR="0085728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he current DRT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CHAANZ R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egistry </w:t>
      </w:r>
      <w:r w:rsidR="00E03CE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and the Procedure Reference Table described below </w:t>
      </w:r>
      <w:r w:rsidR="00BB79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now </w:t>
      </w:r>
      <w:r w:rsidR="00E03CE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all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use the EPCC</w:t>
      </w:r>
      <w:r w:rsidR="0040147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list</w:t>
      </w:r>
      <w:r w:rsidR="009C63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6DF8F0A4" w14:textId="0D504CBB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CHAANZELIGIBILITY:</w:t>
      </w:r>
      <w:r w:rsidRP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Binary flag </w:t>
      </w:r>
      <w:r w:rsidR="002C5BC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to denote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baseline eligibility for the registry</w:t>
      </w:r>
      <w:r w:rsidR="002C5BC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 If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 patient has at least one diagnosis where CHAANZELIGIBILITY = 1, they are </w:t>
      </w:r>
      <w:r w:rsidRP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eligible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  <w:r w:rsidR="00DE12E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only exception is described in </w:t>
      </w:r>
      <w:r w:rsidR="00C426F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Section </w:t>
      </w:r>
      <w:r w:rsidR="004421D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2.1 </w:t>
      </w:r>
      <w:r w:rsidR="00DE12E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Paediatric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Rules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where diagnosis codes accompanied by the rules ‘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PFO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, 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‘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PDA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or ‘</w:t>
      </w:r>
      <w:r w:rsidR="006E392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VALVE</w:t>
      </w:r>
      <w:r w:rsidR="00BA31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’ denote an additional step </w:t>
      </w:r>
      <w:r w:rsidR="00871BB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applied to patients from child hospitals. </w:t>
      </w:r>
      <w:r w:rsidR="00DE12E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For these diagnoses, </w:t>
      </w:r>
      <w:r w:rsidR="002865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patient participation in the Registry is revoked</w:t>
      </w:r>
      <w:r w:rsidR="00871BB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if no other </w:t>
      </w:r>
      <w:r w:rsidR="0058528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diagnoses where </w:t>
      </w:r>
      <w:r w:rsidR="00585281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CHAANZELIGIBILITY = 1</w:t>
      </w:r>
      <w:r w:rsidR="0058528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are present</w:t>
      </w:r>
      <w:r w:rsidR="002865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 This</w:t>
      </w:r>
      <w:r w:rsidR="00A368D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exception</w:t>
      </w:r>
      <w:r w:rsidR="002865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is described in detail </w:t>
      </w:r>
      <w:r w:rsidR="00C4146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below. </w:t>
      </w:r>
    </w:p>
    <w:p w14:paraId="0234C4C2" w14:textId="2D7B0C80" w:rsidR="00346D1D" w:rsidRPr="00953E66" w:rsidRDefault="00346D1D" w:rsidP="003A22A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GENE_FLAG: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Binary flag for diagnos</w:t>
      </w:r>
      <w:r w:rsidR="002904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 t</w:t>
      </w:r>
      <w:r w:rsidR="00A368D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o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2904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indicate </w:t>
      </w:r>
      <w:r w:rsidR="00A368D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the diagnosis 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 </w:t>
      </w:r>
      <w:r w:rsidR="002904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genetic condition</w:t>
      </w:r>
      <w:r w:rsidR="000168C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 GENE_FLAG applies to individual diagnosis codes and is</w:t>
      </w:r>
      <w:r w:rsidR="003A22A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3A22A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used to generate 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two </w:t>
      </w:r>
      <w:r w:rsidR="003A22A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patient level flags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: </w:t>
      </w:r>
      <w:r w:rsidR="003A22A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Gene_Patient and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3A22A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Gene_</w:t>
      </w:r>
      <w:r w:rsidR="000904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Isolated</w:t>
      </w:r>
      <w:r w:rsidR="003A22A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  <w:r w:rsidR="003A22AE" w:rsidRP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If a patient has one or more diagnoses where GENE_FLAG = 1, the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ir Gene_Patient flag </w:t>
      </w:r>
      <w:r w:rsidR="003A22AE" w:rsidRP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equal</w:t>
      </w:r>
      <w:r w:rsidR="008712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</w:t>
      </w:r>
      <w:r w:rsidR="003A22AE" w:rsidRP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1</w:t>
      </w:r>
      <w:r w:rsidR="000D61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regardless of all other diagnoses</w:t>
      </w:r>
      <w:r w:rsidR="003A22AE" w:rsidRP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  <w:r w:rsidR="000D61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 </w:t>
      </w:r>
      <w:r w:rsidR="007B167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addition</w:t>
      </w:r>
      <w:r w:rsidR="000D61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, a </w:t>
      </w:r>
      <w:r w:rsidR="000168C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patient </w:t>
      </w:r>
      <w:r w:rsidR="000D61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only </w:t>
      </w:r>
      <w:r w:rsidR="000168C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has </w:t>
      </w:r>
      <w:r w:rsidR="007B167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eligible </w:t>
      </w:r>
      <w:r w:rsidR="000D61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diagnoses </w:t>
      </w:r>
      <w:r w:rsidR="00947E7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have GENE_FLAG = 1, they are </w:t>
      </w:r>
      <w:r w:rsidR="00FC53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flagged </w:t>
      </w:r>
      <w:r w:rsidR="00EC1D6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separately as </w:t>
      </w:r>
      <w:r w:rsidR="00090453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Gene_</w:t>
      </w:r>
      <w:r w:rsidR="000904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Isolated </w:t>
      </w:r>
      <w:r w:rsidR="00EC1D6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= 1. This indicates that the only </w:t>
      </w:r>
      <w:r w:rsidR="00FC53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diagnosis </w:t>
      </w:r>
      <w:r w:rsidR="00EC1D6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that qualifies them for the Registry is a genetic diagnosis</w:t>
      </w:r>
      <w:r w:rsidR="00FC539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</w:p>
    <w:p w14:paraId="3D6CFFA6" w14:textId="60D89983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RULE: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F43AE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When RULE = 1, the diagnosis is accompanied by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 </w:t>
      </w:r>
      <w:r w:rsidR="00F43AE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special</w:t>
      </w:r>
      <w:r w:rsidR="00F43AE6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rule that </w:t>
      </w:r>
      <w:r w:rsidR="004377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calculates</w:t>
      </w:r>
      <w:r w:rsidR="0043776C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patient </w:t>
      </w:r>
      <w:r w:rsidRP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eligibility</w:t>
      </w:r>
      <w:r w:rsidR="004377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in the context of </w:t>
      </w:r>
      <w:r w:rsidR="00005A6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all</w:t>
      </w:r>
      <w:r w:rsidR="0043776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their other diagnoses.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</w:p>
    <w:p w14:paraId="19984D7D" w14:textId="748E50BF" w:rsidR="00346D1D" w:rsidRPr="00CC0DAB" w:rsidRDefault="00346D1D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RULE_TYPE: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EB5B6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Indicates the type of rule that accompanies the </w:t>
      </w:r>
      <w:r w:rsidR="000904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diagnosis and</w:t>
      </w:r>
      <w:r w:rsidR="0009461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is only filled in when RULE = 1. When RULE = 1, RULE_TYPE is either GENE_SPECIFIC</w:t>
      </w:r>
      <w:r w:rsidR="007F79E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PFO, PDA, or VALVE.</w:t>
      </w:r>
    </w:p>
    <w:p w14:paraId="0EF2D4F7" w14:textId="77777777" w:rsidR="00456A7A" w:rsidRDefault="00980A37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ASSOCIATED_CODES</w:t>
      </w:r>
      <w:r w:rsidR="00346D1D"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: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953E66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ASSOCIATED_CODES</w:t>
      </w: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 xml:space="preserve"> 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 a </w:t>
      </w:r>
      <w:r w:rsidR="00A17B0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special 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variable that applies when RULE_TYPE = GENE_SPECIFIC. </w:t>
      </w:r>
      <w:r w:rsidR="00A17B0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This only occurs for three codes: Marfan’s</w:t>
      </w:r>
      <w:r w:rsidR="0014226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, Williams and Loeys_Dietz syndromes. When a patient has one or more </w:t>
      </w:r>
      <w:r w:rsidR="007C3F2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of these syndromes, we consider their other diagnoses and look for codes listed in the ASSOCIATED_CODES variable. 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This </w:t>
      </w:r>
      <w:r w:rsidR="007C3F2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ASSOCIATED_CODES 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variable lists codes that</w:t>
      </w:r>
      <w:r w:rsidR="00346D1D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must be present </w:t>
      </w:r>
      <w:r w:rsidR="005E7A0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for a patient with the </w:t>
      </w:r>
      <w:r w:rsidR="00346D1D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for th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</w:t>
      </w:r>
      <w:r w:rsidR="00346D1D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genetic condition to be </w:t>
      </w:r>
      <w:r w:rsidR="00346D1D" w:rsidRP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eligible</w:t>
      </w:r>
      <w:r w:rsidR="005030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for inclusion in the Registry</w:t>
      </w:r>
      <w:r w:rsidR="00DF70D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004C6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(</w:t>
      </w:r>
      <w:r w:rsidR="00DF70D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 the absence of </w:t>
      </w:r>
      <w:r w:rsidR="00004C6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baseline eligibility)</w:t>
      </w:r>
      <w:r w:rsidR="00DF70D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7BD684BA" w14:textId="77777777" w:rsidR="00456A7A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sts_code: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Mapping to the STS Codes</w:t>
      </w:r>
    </w:p>
    <w:p w14:paraId="2F46264E" w14:textId="0F6F91AA" w:rsidR="00346D1D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sts_name:</w:t>
      </w:r>
      <w:r w:rsidRPr="00456A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Mapping to the STS Names</w:t>
      </w:r>
      <w:r w:rsidR="00DF70D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</w:p>
    <w:p w14:paraId="0414077A" w14:textId="16294EC1" w:rsidR="00456A7A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icd10_code:</w:t>
      </w:r>
      <w:r w:rsidRPr="00456A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M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apping to the ICD10 Codes</w:t>
      </w:r>
    </w:p>
    <w:p w14:paraId="330306D1" w14:textId="7AD0CAF0" w:rsidR="00456A7A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mild:</w:t>
      </w:r>
      <w:r w:rsidRPr="00456A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Flag for Mild CHD, used in automated complexity algorithm</w:t>
      </w:r>
    </w:p>
    <w:p w14:paraId="18366BC3" w14:textId="3F673BC2" w:rsidR="00456A7A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moderate: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FE655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Flag for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Moderate</w:t>
      </w:r>
      <w:r w:rsidRPr="00FE655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CHD, used in automated complexity algorithm</w:t>
      </w:r>
    </w:p>
    <w:p w14:paraId="6CA900AB" w14:textId="124A820A" w:rsidR="00456A7A" w:rsidRPr="00CC0DAB" w:rsidRDefault="00456A7A" w:rsidP="00CC0DA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severe: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FE655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Flag for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Severe</w:t>
      </w:r>
      <w:r w:rsidRPr="00FE655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CHD, used in automated complexity algorithm</w:t>
      </w:r>
    </w:p>
    <w:p w14:paraId="1A0BE203" w14:textId="77777777" w:rsidR="006010EC" w:rsidRDefault="006010EC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6C67C211" w14:textId="17B553D0" w:rsidR="00456A7A" w:rsidRDefault="00456A7A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23CD57FD" w14:textId="77777777" w:rsidR="00456A7A" w:rsidRDefault="00456A7A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2ACE322E" w14:textId="1A4CFD7A" w:rsidR="0040584C" w:rsidRDefault="00C426F9" w:rsidP="00CC0DAB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lastRenderedPageBreak/>
        <w:t xml:space="preserve">1.2 </w:t>
      </w:r>
      <w:r w:rsidR="0040584C">
        <w:rPr>
          <w:rFonts w:eastAsia="Times New Roman"/>
          <w:lang w:eastAsia="en-AU"/>
        </w:rPr>
        <w:t>Procedure Reference Table</w:t>
      </w:r>
    </w:p>
    <w:p w14:paraId="12005B89" w14:textId="77777777" w:rsidR="0040584C" w:rsidRDefault="0040584C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6AB0FF4D" w14:textId="0E1E6CF9" w:rsidR="0040584C" w:rsidRDefault="00CC11F6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354C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CHAANZ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Procedure</w:t>
      </w:r>
      <w:r w:rsidRPr="00C354C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Reference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Table (PRT), which is also centred on EPCC codes, is submitted separately</w:t>
      </w:r>
      <w:r w:rsidR="00004C6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and comprises the following variables:</w:t>
      </w:r>
    </w:p>
    <w:p w14:paraId="60762202" w14:textId="4A6DC8CD" w:rsidR="00CA3F6E" w:rsidRPr="00CC0DAB" w:rsidRDefault="00EB3515" w:rsidP="00CA3F6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PROCEDURE_IPCCC_</w:t>
      </w:r>
      <w:r w:rsidR="00CA3F6E"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R:</w:t>
      </w:r>
      <w:r w:rsidR="00CA3F6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CA3F6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EPCC name of the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procedure</w:t>
      </w:r>
      <w:r w:rsidR="00CA3F6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2F0390AD" w14:textId="09D11896" w:rsidR="00CA3F6E" w:rsidRDefault="00CA3F6E" w:rsidP="00CA3F6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IPCCC_CODE_R: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EPCC code for the </w:t>
      </w:r>
      <w:r w:rsidR="00EB351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procedure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70304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Again, note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that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‘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IPCCC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refers to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n older version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of the registry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where the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IPCCC long list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was used.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he current DRT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CHAANZ R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egistry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and the </w:t>
      </w:r>
      <w:r w:rsidR="0070304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PRT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all 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use the EPCC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list.</w:t>
      </w:r>
    </w:p>
    <w:p w14:paraId="305ED1A8" w14:textId="4AAAD9BF" w:rsidR="007B1675" w:rsidRPr="00EB3814" w:rsidRDefault="007B1675" w:rsidP="00CA3F6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</w:pPr>
      <w:r w:rsidRPr="00EB3814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PROCEDURE_STS_R</w:t>
      </w: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 xml:space="preserve">: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PRT contains an output mapping to the STS procedure codes, this variable contains the STS procedure name that matches the EPCC Code</w:t>
      </w:r>
    </w:p>
    <w:p w14:paraId="2B2EDC6F" w14:textId="062925C0" w:rsidR="007B1675" w:rsidRPr="00EB3814" w:rsidRDefault="007B1675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 xml:space="preserve">STS_CODE_R: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PRT contains an output mapping to the STS procedure codes, this variable contains the STS procedure code that matches the EPCC Code, not a few options are not coded and suggest a manual review required.</w:t>
      </w:r>
    </w:p>
    <w:p w14:paraId="36D2108B" w14:textId="52368B3F" w:rsidR="00CA3F6E" w:rsidRPr="00CC0DAB" w:rsidRDefault="00B37202" w:rsidP="00CA3F6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B37202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PROC_ELIGIBILITY</w:t>
      </w:r>
      <w:r w:rsidR="00CA3F6E"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:</w:t>
      </w:r>
      <w:r w:rsidR="00CA3F6E" w:rsidRP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CA3F6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Binary flag </w:t>
      </w:r>
      <w:r w:rsidR="00CA3F6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to denote</w:t>
      </w:r>
      <w:r w:rsidR="00CA3F6E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6C22B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a procedure if present instantly qualifies a patient for inclusion in the CHAANZ Registry. </w:t>
      </w:r>
    </w:p>
    <w:p w14:paraId="2FAF4177" w14:textId="77777777" w:rsidR="0040584C" w:rsidRDefault="0040584C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1B874ACE" w14:textId="1E8AABB8" w:rsidR="006E641D" w:rsidRPr="00CC0DAB" w:rsidRDefault="00C426F9" w:rsidP="00CC0DAB">
      <w:pPr>
        <w:pStyle w:val="Heading2"/>
      </w:pPr>
      <w:r>
        <w:t xml:space="preserve">1.3 </w:t>
      </w:r>
      <w:r w:rsidR="006E641D" w:rsidRPr="00CC0DAB">
        <w:t xml:space="preserve">Summary of Eligibility </w:t>
      </w:r>
      <w:r w:rsidR="00A208E0" w:rsidRPr="00CC0DAB">
        <w:t>Levels</w:t>
      </w:r>
    </w:p>
    <w:p w14:paraId="0CC56159" w14:textId="77777777" w:rsidR="006E641D" w:rsidRDefault="006E641D" w:rsidP="00B83F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5635FF67" w14:textId="7A855A4A" w:rsidR="00CD69C1" w:rsidRDefault="00346D1D" w:rsidP="00B83F09">
      <w:p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For data collected from 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all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sites, there are </w:t>
      </w:r>
      <w:r w:rsidR="00720828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five 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e</w:t>
      </w:r>
      <w:r w:rsidR="00860783" w:rsidRPr="00CC0DAB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ligibility</w:t>
      </w:r>
      <w:r w:rsidR="003F745F" w:rsidRPr="00CC0DAB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f</w:t>
      </w:r>
      <w:r w:rsidR="003F745F" w:rsidRPr="00CC0DAB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lags for patient inclusion in the CHAANZ Registry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:</w:t>
      </w:r>
    </w:p>
    <w:p w14:paraId="705C3B99" w14:textId="6B8595E9" w:rsidR="00346D1D" w:rsidRDefault="00FC5D76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Baseline</w:t>
      </w:r>
      <w:r w:rsidR="00346D1D"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:</w:t>
      </w:r>
      <w:r w:rsidR="00346D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Baseline Eligibility determined by the CHAANZELIGIBILITY </w:t>
      </w:r>
      <w:r w:rsidR="00720828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variable</w:t>
      </w:r>
      <w:r w:rsidR="007B1675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in the DRT</w:t>
      </w:r>
      <w:r w:rsidR="00720828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.</w:t>
      </w:r>
    </w:p>
    <w:p w14:paraId="29E16057" w14:textId="48EE5CB3" w:rsidR="00720828" w:rsidRPr="00720828" w:rsidRDefault="00720828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Baseline Procedure: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Baseline eligibility determine by the </w:t>
      </w:r>
      <w:r w:rsidRPr="00953E66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PROC_ELIGIBILITY variable</w:t>
      </w:r>
      <w:r w:rsidR="007B1675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in the PRT</w:t>
      </w:r>
      <w:r w:rsidRPr="00953E66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.</w:t>
      </w:r>
    </w:p>
    <w:p w14:paraId="01B07718" w14:textId="6A5318EF" w:rsidR="00346D1D" w:rsidRPr="00876AF3" w:rsidRDefault="00FC5D76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Marfan</w:t>
      </w:r>
      <w:r w:rsidR="00DD0D14"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:</w:t>
      </w:r>
      <w:r w:rsidR="00DD0D14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whose baseline flag = 0 and have 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diagnosis Marfan’s Syndrome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(</w:t>
      </w:r>
      <w:r w:rsidR="006E641D" w:rsidRPr="00187C0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14.02.17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),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applying 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rule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type</w:t>
      </w:r>
      <w:r w:rsidR="00346D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“Gene Specific”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535BD48E" w14:textId="3EAB5BD4" w:rsidR="00346D1D" w:rsidRPr="00876AF3" w:rsidRDefault="00346D1D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William: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whose baseline flag = 0 and have 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diagnosis William’s Syndrome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(14.02.30), applying the rule type “Gene Specific”.</w:t>
      </w:r>
    </w:p>
    <w:p w14:paraId="572675AB" w14:textId="01C1F351" w:rsidR="00346D1D" w:rsidRPr="00DD0D14" w:rsidRDefault="00FC5D76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LD</w:t>
      </w:r>
      <w:r w:rsidR="00346D1D" w:rsidRPr="00CC0DAB">
        <w:rPr>
          <w:rFonts w:ascii="Calibri" w:eastAsia="Times New Roman" w:hAnsi="Calibri" w:cs="Calibri"/>
          <w:b/>
          <w:color w:val="000000"/>
          <w:kern w:val="0"/>
          <w:lang w:eastAsia="en-AU"/>
          <w14:ligatures w14:val="none"/>
        </w:rPr>
        <w:t>: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whose baseline flag = 0 and have 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diagnosis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Loeys-Dietz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Syndrome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(14.04.85), applying the rule “Gene Specific”.</w:t>
      </w:r>
    </w:p>
    <w:p w14:paraId="13C9F27E" w14:textId="77777777" w:rsidR="00DD0D14" w:rsidRPr="00DD0D14" w:rsidRDefault="00DD0D14" w:rsidP="00CC0DAB">
      <w:pPr>
        <w:pStyle w:val="ListParagraph"/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</w:p>
    <w:p w14:paraId="352C474D" w14:textId="219640E8" w:rsidR="00DD0D14" w:rsidRPr="00CC0DAB" w:rsidRDefault="00FC5D76" w:rsidP="00DD0D14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</w:t>
      </w:r>
      <w:r w:rsidR="00DD0D14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who do</w:t>
      </w:r>
      <w:r w:rsidR="00DD0D14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not have a clear CHD diagnosis have a baseline flag equal to 0, but they may still be included in the CHAANZ Registry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if </w:t>
      </w:r>
      <w:r w:rsidR="0072082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 Procedure, 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Marfan, William and/or</w:t>
      </w:r>
      <w:r w:rsidR="00DD0D14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Loeys-Dietz flag = 1. </w:t>
      </w:r>
    </w:p>
    <w:p w14:paraId="509BC872" w14:textId="77777777" w:rsidR="00346D1D" w:rsidRDefault="00346D1D">
      <w:p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</w:p>
    <w:p w14:paraId="6556CA12" w14:textId="747C3C9A" w:rsidR="00346D1D" w:rsidRDefault="00FC5D76">
      <w:p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For d</w:t>
      </w:r>
      <w:r w:rsidR="00346D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ata collected at </w:t>
      </w:r>
      <w:r w:rsidR="00DD0D14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child</w:t>
      </w:r>
      <w:r w:rsidR="00346D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sites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, patients whose baseline flag = 1 are reviewed to assess</w:t>
      </w:r>
      <w:r w:rsidR="00346D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three additions flags:</w:t>
      </w:r>
    </w:p>
    <w:p w14:paraId="2D587E23" w14:textId="2CE88824" w:rsidR="006E641D" w:rsidRPr="00541F6F" w:rsidRDefault="00FC5D76" w:rsidP="006E641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PFO</w:t>
      </w:r>
      <w:r w:rsidR="00346D1D"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:</w:t>
      </w:r>
      <w:r w:rsidR="00346D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 w:rsidR="00DD0D14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with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base</w:t>
      </w:r>
      <w:r w:rsidR="00DD0D1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line flag = 1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due to a single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diagnosis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of </w:t>
      </w:r>
      <w:r w:rsidR="006E641D" w:rsidRP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Patent foramen ovale</w:t>
      </w:r>
      <w:r w:rsidR="0040584C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(i.e. </w:t>
      </w:r>
      <w:r w:rsid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codes where 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rule type = “PFO”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)</w:t>
      </w:r>
      <w:r w:rsidR="006E64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5865E46B" w14:textId="24F3F838" w:rsidR="006E641D" w:rsidRPr="00541F6F" w:rsidRDefault="006E641D" w:rsidP="006E641D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PDA: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 w:rsidR="00FC5D76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</w:t>
      </w:r>
      <w:r w:rsidR="00FC5D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with </w:t>
      </w:r>
      <w:r w:rsidR="00FC5D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 flag = 1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due to a single diagnosis of</w:t>
      </w:r>
      <w:r w:rsidR="00FC5D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diagnosis </w:t>
      </w:r>
      <w:r w:rsidRPr="006E641D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Patent arterial duct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 w:rsidR="0040584C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(i.e. 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codes where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rule type = “PDA”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41463D7C" w14:textId="2C53E876" w:rsidR="00346D1D" w:rsidRPr="00876AF3" w:rsidRDefault="006E641D" w:rsidP="00CC0DAB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Valve: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 </w:t>
      </w:r>
      <w:r w:rsidR="00FC5D76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>P</w:t>
      </w:r>
      <w:r w:rsidR="00FC5D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atients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with </w:t>
      </w:r>
      <w:r w:rsidR="00FC5D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 flag = 1 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due to one or more </w:t>
      </w:r>
      <w:r w:rsidR="0040584C"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valve-related diagnosis only (i.e. </w:t>
      </w:r>
      <w:r>
        <w:rPr>
          <w:rFonts w:ascii="Calibri" w:eastAsia="Times New Roman" w:hAnsi="Calibri" w:cs="Calibri"/>
          <w:bCs/>
          <w:color w:val="000000"/>
          <w:kern w:val="0"/>
          <w:lang w:eastAsia="en-AU"/>
          <w14:ligatures w14:val="none"/>
        </w:rPr>
        <w:t xml:space="preserve">where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rule type = “Valve”</w:t>
      </w:r>
      <w:r w:rsidR="004058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)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7A0E6423" w14:textId="3C36429F" w:rsidR="00515CA1" w:rsidRPr="00CC0DAB" w:rsidRDefault="00FC5D76" w:rsidP="00CC0DAB">
      <w:pPr>
        <w:pStyle w:val="Heading1"/>
        <w:rPr>
          <w:lang w:eastAsia="en-AU"/>
        </w:rPr>
      </w:pPr>
      <w:r>
        <w:rPr>
          <w:lang w:eastAsia="en-AU"/>
        </w:rPr>
        <w:t>Eligibility at All Hospitals</w:t>
      </w:r>
    </w:p>
    <w:p w14:paraId="2FE1A360" w14:textId="3B6CD1E9" w:rsidR="00346D1D" w:rsidRPr="00CC0DAB" w:rsidRDefault="00346D1D" w:rsidP="00CC0DAB">
      <w:pPr>
        <w:pStyle w:val="Heading2"/>
        <w:rPr>
          <w:rFonts w:eastAsia="Times New Roman"/>
          <w:lang w:eastAsia="en-AU"/>
        </w:rPr>
      </w:pPr>
      <w:r w:rsidRPr="00CC0DAB">
        <w:rPr>
          <w:rFonts w:eastAsia="Times New Roman"/>
          <w:lang w:eastAsia="en-AU"/>
        </w:rPr>
        <w:t>Baseline Eligibility</w:t>
      </w:r>
    </w:p>
    <w:p w14:paraId="292C66C5" w14:textId="2849A688" w:rsidR="00BE1DC6" w:rsidRDefault="00C354C1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variable CHAANZELIGIBILITY indicates a 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clear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CHD diagnosis </w:t>
      </w:r>
      <w:r w:rsidR="00287F1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that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287F1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instantly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qualif</w:t>
      </w:r>
      <w:r w:rsidR="00287F1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ies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 patient 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for</w:t>
      </w:r>
      <w:r w:rsidR="0086078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inclusion in</w:t>
      </w:r>
      <w:r w:rsidR="0086078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the CHAANZ Registry. 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This </w:t>
      </w:r>
      <w:r w:rsidR="00FF12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‘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baseline</w:t>
      </w:r>
      <w:r w:rsidR="00FF12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level of eligibility is calculated and flagged with a variable called </w:t>
      </w:r>
      <w:r w:rsidR="00BF5E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‘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baseline</w:t>
      </w:r>
      <w:r w:rsidR="00BF5E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</w:t>
      </w:r>
      <w:r w:rsidR="00FF12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that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equals 1 </w:t>
      </w:r>
      <w:r w:rsidR="00FC731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if</w:t>
      </w:r>
      <w:r w:rsidR="00FF124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 patient has at least one diagnosis </w:t>
      </w:r>
      <w:r w:rsidR="00A228D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where CHAANZELIGIBILITY = 1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</w:p>
    <w:p w14:paraId="1E8F2204" w14:textId="77777777" w:rsidR="009576E5" w:rsidRDefault="009576E5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627A569D" w14:textId="62C274EB" w:rsidR="009576E5" w:rsidRPr="00CC0DAB" w:rsidRDefault="009576E5" w:rsidP="009576E5">
      <w:pPr>
        <w:pStyle w:val="Heading2"/>
        <w:rPr>
          <w:rFonts w:eastAsia="Times New Roman"/>
          <w:lang w:eastAsia="en-AU"/>
        </w:rPr>
      </w:pPr>
      <w:r w:rsidRPr="00CC0DAB">
        <w:rPr>
          <w:rFonts w:eastAsia="Times New Roman"/>
          <w:lang w:eastAsia="en-AU"/>
        </w:rPr>
        <w:lastRenderedPageBreak/>
        <w:t>Baseline Eligibility</w:t>
      </w:r>
      <w:r>
        <w:rPr>
          <w:rFonts w:eastAsia="Times New Roman"/>
          <w:lang w:eastAsia="en-AU"/>
        </w:rPr>
        <w:t xml:space="preserve"> - Procedure</w:t>
      </w:r>
    </w:p>
    <w:p w14:paraId="3DABF568" w14:textId="4DF3F3DE" w:rsidR="009576E5" w:rsidRDefault="009576E5" w:rsidP="009576E5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variable </w:t>
      </w:r>
      <w:r w:rsidRPr="009576E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PROC_ELIGIBILITY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indicates a clear CHD procedure that instantly qualifies a patient for inclusion in the CHAANZ Registry. This baseline-procedure level of eligibility is calculated and flagged with a variable called ‘baseline_proc’ that equals 1 if a patient has at least one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procedure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where </w:t>
      </w:r>
      <w:r w:rsidR="00DA0349" w:rsidRPr="009576E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PROC_ELIGIBILITY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= 1. </w:t>
      </w:r>
    </w:p>
    <w:p w14:paraId="0046F23C" w14:textId="77777777" w:rsidR="009576E5" w:rsidRDefault="009576E5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78CDA010" w14:textId="78487753" w:rsidR="00BE1DC6" w:rsidRPr="00CC0DAB" w:rsidRDefault="00FC5D76" w:rsidP="00CC0DAB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Genetic Eligibility</w:t>
      </w:r>
    </w:p>
    <w:p w14:paraId="03668420" w14:textId="58E4441A" w:rsidR="00C87F29" w:rsidRDefault="00FC5D76" w:rsidP="00C87F2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After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the baseline eligibility, eligibility for three h</w:t>
      </w:r>
      <w:r w:rsidR="00201D24" w:rsidRPr="00BB473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ereditary disorder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 that are </w:t>
      </w:r>
      <w:r w:rsidR="00BE1DC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sometimes</w:t>
      </w:r>
      <w:r w:rsidR="00201D24" w:rsidRPr="00BB473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associated </w:t>
      </w:r>
      <w:r w:rsidR="00BE1DC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with </w:t>
      </w:r>
      <w:r w:rsidR="00201D24" w:rsidRPr="00BB473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heart disease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is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calculated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These three hereditary disorders are </w:t>
      </w:r>
      <w:r w:rsidR="00201D24" w:rsidRPr="008C00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Marfan</w:t>
      </w:r>
      <w:r w:rsidR="0067550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’s</w:t>
      </w:r>
      <w:r w:rsidR="00201D24" w:rsidRPr="008C00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syndrome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(</w:t>
      </w:r>
      <w:r w:rsidR="00201D24" w:rsidRPr="008C00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14.02.17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), </w:t>
      </w:r>
      <w:r w:rsidR="00201D24" w:rsidRPr="00757C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Williams syndrome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(</w:t>
      </w:r>
      <w:r w:rsidR="00201D24" w:rsidRPr="00757C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14.02.30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), and </w:t>
      </w:r>
      <w:r w:rsidR="00201D24" w:rsidRPr="00757C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Loeys-Dietz </w:t>
      </w:r>
      <w:r w:rsidR="00244AB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</w:t>
      </w:r>
      <w:r w:rsidR="00201D24" w:rsidRPr="00757C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yndrome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(</w:t>
      </w:r>
      <w:r w:rsidR="00201D24" w:rsidRPr="00757C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14.04.85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). For each condition, we </w:t>
      </w:r>
      <w:r w:rsidR="009D1C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created a</w:t>
      </w:r>
      <w:r w:rsidR="00244AB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CE665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separate</w:t>
      </w:r>
      <w:r w:rsidR="009D1C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binary flag variable </w:t>
      </w:r>
      <w:r w:rsidR="0067550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(‘Marfan’, ‘William’, and ‘LD’) </w:t>
      </w:r>
      <w:r w:rsidR="009D1C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and </w:t>
      </w:r>
      <w:r w:rsidR="0067550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searched the patient’s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other diagnoses </w:t>
      </w:r>
      <w:r w:rsidR="0067550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for </w:t>
      </w:r>
      <w:r w:rsidR="00244AB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</w:t>
      </w:r>
      <w:r w:rsidR="008649C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associated codes</w:t>
      </w:r>
      <w:r w:rsidR="005E4E6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shown in Table 1 below. Each hereditary disease </w:t>
      </w:r>
      <w:r w:rsidR="00244AB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therefore </w:t>
      </w:r>
      <w:r w:rsidR="005E4E6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has a distinct set of associated diagnostic codes</w:t>
      </w:r>
      <w:r w:rsidR="00D54F2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Presence of at least one of these associated codes with the </w:t>
      </w:r>
      <w:r w:rsidR="00DE57D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hereditary syndrome </w:t>
      </w:r>
      <w:r w:rsidR="009D1C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qualif</w:t>
      </w:r>
      <w:r w:rsidR="00CE7F4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ies a</w:t>
      </w:r>
      <w:r w:rsidR="009D1C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patient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for inclusion in the CHAANZ </w:t>
      </w:r>
      <w:r w:rsidR="007F67B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registry and</w:t>
      </w:r>
      <w:r w:rsidR="00CE7F45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is indicated by the relevant flag being set to 1</w:t>
      </w:r>
      <w:r w:rsidR="00201D2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="009A61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5E4E6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</w:t>
      </w:r>
      <w:r w:rsidR="007F67B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three </w:t>
      </w:r>
      <w:r w:rsidR="005E4E6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hereditary diseases, their EPCC codes, and the associated codes </w:t>
      </w:r>
      <w:r w:rsidR="00501AD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qualify patients for inclusion in the CHAANZ Registry are </w:t>
      </w:r>
      <w:r w:rsidR="00FB3D0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shown in </w:t>
      </w:r>
      <w:r w:rsidR="00CA77A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Appendix</w:t>
      </w:r>
      <w:r w:rsidR="006B36B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1.</w:t>
      </w:r>
      <w:r w:rsidR="00C87F29" w:rsidRPr="00C87F2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</w:p>
    <w:p w14:paraId="28E15E0E" w14:textId="41B5925E" w:rsidR="00574130" w:rsidRDefault="00574130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4FBEFF0D" w14:textId="0CAF934F" w:rsidR="00FC5D76" w:rsidRPr="00CC0DAB" w:rsidRDefault="00FC5D76" w:rsidP="00CC0DAB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Final Eligibility</w:t>
      </w:r>
    </w:p>
    <w:p w14:paraId="4AC06506" w14:textId="7E2F3E12" w:rsidR="006E641D" w:rsidRDefault="00FC5D76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All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five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flags are considered when assessing the final eligibility of a patient</w:t>
      </w:r>
      <w:r w:rsidR="008065EC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 patient is included in the Registry (and the data sent to Keysoft) only if at least one of the eligibility flags equals 1. For example, i</w:t>
      </w:r>
      <w:r w:rsidR="0086078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 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 patient does not have a clear CHD diagnos</w:t>
      </w:r>
      <w:r w:rsidR="009A61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s (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i.e., 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CHAANZELIGIBILITY = 0 for all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 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diagnoses), the</w:t>
      </w:r>
      <w:r w:rsidR="009A61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y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will still</w:t>
      </w:r>
      <w:r w:rsidR="005C027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be included in the CHAANZ Registry if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either </w:t>
      </w:r>
      <w:r w:rsidR="009A61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their</w:t>
      </w:r>
      <w:r w:rsidR="00402A8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Baseline-procedure  flag, </w:t>
      </w:r>
      <w:r w:rsidR="00402A8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Marfan fla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g,</w:t>
      </w:r>
      <w:r w:rsidR="009A618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402A8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William flag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</w:t>
      </w:r>
      <w:r w:rsidR="000B02D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nd/</w:t>
      </w:r>
      <w:r w:rsidR="00402A8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or Loeys-Dietz flag</w:t>
      </w:r>
      <w:r w:rsidR="000B02D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equals</w:t>
      </w:r>
      <w:r w:rsidR="000B02D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1</w:t>
      </w:r>
      <w:r w:rsidR="00402A8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="00FD4A47" w:rsidRPr="00FD4A4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FD4A47" w:rsidRPr="009B023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Each patient </w:t>
      </w:r>
      <w:r w:rsidR="00FD4A4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 therefore associated with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five </w:t>
      </w:r>
      <w:r w:rsidR="00FD4A4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binary flag variables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together which determine final CHAANZ eligibility</w:t>
      </w:r>
      <w:r w:rsidR="00DE512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  <w:r w:rsidR="003B3CF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All patients submitted to Keysoft must have at least </w:t>
      </w:r>
      <w:r w:rsidR="0041427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one </w:t>
      </w:r>
      <w:r w:rsidR="00165B5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flag baseline, </w:t>
      </w:r>
      <w:r w:rsidR="00DA034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baseline_proc, </w:t>
      </w:r>
      <w:r w:rsidR="00165B5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Marfan, Williams or LD equal to 1.</w:t>
      </w:r>
      <w:r w:rsidR="007C24F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0B02D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</w:t>
      </w:r>
      <w:r w:rsidR="00287F1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026E6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associated codes for each syndrome are detailed</w:t>
      </w:r>
      <w:r w:rsidR="00FD4A4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2A661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in Appendix 1</w:t>
      </w:r>
      <w:r w:rsidR="00FD4A4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</w:p>
    <w:p w14:paraId="3BAD05E3" w14:textId="77777777" w:rsidR="00FC5D76" w:rsidRDefault="00FC5D76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72D9C170" w14:textId="001D64D6" w:rsidR="00515CA1" w:rsidRPr="00515CA1" w:rsidRDefault="00515CA1" w:rsidP="00CC0DAB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Flagging for Genetic Patients</w:t>
      </w:r>
    </w:p>
    <w:p w14:paraId="583D77FE" w14:textId="756D2A94" w:rsidR="00515CA1" w:rsidRPr="003929E9" w:rsidRDefault="00515CA1" w:rsidP="00515CA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To facilitate interrogation of data in the CHAANZ Registry, we create two additional binary flag </w:t>
      </w:r>
      <w:r w:rsidRPr="003929E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variables. We called these flags ‘GENE_PATIENT’ and ‘</w:t>
      </w:r>
      <w:r w:rsidR="00090453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</w:t>
      </w:r>
      <w:r w:rsidR="000904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ENE_ISOLATED’</w:t>
      </w:r>
      <w:r w:rsidRPr="003929E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493132E6" w14:textId="77777777" w:rsidR="00515CA1" w:rsidRPr="003929E9" w:rsidRDefault="00515CA1" w:rsidP="00515CA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137571CF" w14:textId="77777777" w:rsidR="003929E9" w:rsidRPr="00CC0DAB" w:rsidRDefault="003929E9" w:rsidP="003929E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Each code that is a genetic condition has “GENE_FLAG” = 1. Use this diagnosis level flag to create two patient level flags:</w:t>
      </w:r>
    </w:p>
    <w:p w14:paraId="1B9BD2DD" w14:textId="6939F900" w:rsidR="003929E9" w:rsidRPr="00CC0DAB" w:rsidRDefault="003929E9" w:rsidP="003929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GENE_PATIENT – if equal to 1, then this patient has </w:t>
      </w:r>
      <w:r w:rsidR="00FC498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</w:t>
      </w: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genetic diagnosis in their list</w:t>
      </w:r>
    </w:p>
    <w:p w14:paraId="43F538C2" w14:textId="0F7644B8" w:rsidR="003929E9" w:rsidRPr="00CC0DAB" w:rsidRDefault="00EA53C4" w:rsidP="003929E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ENE_ISOLATED </w:t>
      </w:r>
      <w:r w:rsidR="003929E9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– if equal to 1, then this patient has a </w:t>
      </w:r>
      <w:r w:rsidR="003929E9" w:rsidRPr="003929E9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genetic</w:t>
      </w:r>
      <w:r w:rsidR="003929E9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diagnosis as their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only </w:t>
      </w:r>
      <w:r w:rsidR="003929E9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CHAANZ eligible </w:t>
      </w:r>
      <w:r w:rsidR="00953E66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diagnosis.</w:t>
      </w:r>
    </w:p>
    <w:p w14:paraId="346A3155" w14:textId="033B0034" w:rsidR="00CB6C85" w:rsidRDefault="00C426F9" w:rsidP="00CC0DAB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 xml:space="preserve">2.1 </w:t>
      </w:r>
      <w:r w:rsidR="007E7E5C">
        <w:rPr>
          <w:rFonts w:eastAsia="Times New Roman"/>
          <w:lang w:eastAsia="en-AU"/>
        </w:rPr>
        <w:t>Additional rules for Paediatric sites</w:t>
      </w:r>
    </w:p>
    <w:p w14:paraId="3D95BC6B" w14:textId="77777777" w:rsidR="00CB6C85" w:rsidRDefault="00CB6C85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660BB073" w14:textId="1F80161D" w:rsidR="00502F1F" w:rsidRDefault="00502F1F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Data from each paediatric hospital will undergo </w:t>
      </w:r>
      <w:r w:rsidR="00F920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another round of eligibility selection whereby some patients have their 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eligibility </w:t>
      </w:r>
      <w:r w:rsidR="00F920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in the CHAANZ Registry revoked due to the presence of transient circulatory features</w:t>
      </w:r>
      <w:r w:rsidR="002956B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i.e. anatomical structures that are part of normal foetal development and may still appear in neonates but do not persist past 12 months</w:t>
      </w:r>
      <w:r w:rsidR="00F920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</w:p>
    <w:p w14:paraId="7F276F38" w14:textId="77777777" w:rsidR="00502F1F" w:rsidRDefault="00502F1F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5DDB8F13" w14:textId="44241999" w:rsidR="00F458E0" w:rsidRDefault="00771A68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To </w:t>
      </w:r>
      <w:r w:rsidR="006161A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apply these additional rules for child sites, we create a follow-up file </w:t>
      </w:r>
      <w:r w:rsidR="00F920FD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that contains all available 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encounter </w:t>
      </w:r>
      <w:r w:rsidR="006161A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data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 This</w:t>
      </w:r>
      <w:r w:rsidR="006161A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includ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es</w:t>
      </w:r>
      <w:r w:rsidR="006161A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any </w:t>
      </w:r>
      <w:r w:rsidR="0002566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data that 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notes an interaction with the cardiology service and the date of the interaction, such as </w:t>
      </w:r>
      <w:r w:rsidR="000542E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diagnosis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or procedure 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records</w:t>
      </w:r>
      <w:r w:rsidR="000542E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clinic visits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 cardiac</w:t>
      </w:r>
      <w:r w:rsidR="00EA53C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</w:t>
      </w:r>
      <w:r w:rsidR="00515C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catheter or echocardiography visits, etc</w:t>
      </w:r>
      <w:r w:rsidR="000542EA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. </w:t>
      </w:r>
      <w:r w:rsidR="00B367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We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then</w:t>
      </w:r>
      <w:r w:rsidR="00B3671F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calculate </w:t>
      </w:r>
      <w:r w:rsidR="001E1E9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age at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each </w:t>
      </w:r>
      <w:r w:rsidR="004E501E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visit </w:t>
      </w:r>
      <w:r w:rsidR="00F0369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and </w:t>
      </w:r>
      <w:r w:rsidR="001E10D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delete all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rows</w:t>
      </w:r>
      <w:r w:rsidR="001E10D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for age less than one year. </w:t>
      </w:r>
    </w:p>
    <w:p w14:paraId="3F61BA25" w14:textId="77777777" w:rsidR="00F458E0" w:rsidRDefault="00F458E0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42A08CFE" w14:textId="65CC89AB" w:rsidR="00771A68" w:rsidRDefault="00A13E43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This file is used to create a list of patient IDs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,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where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evidence </w:t>
      </w: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is available to indicate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 </w:t>
      </w:r>
      <w:r w:rsidR="00D528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continuation of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patient </w:t>
      </w:r>
      <w:r w:rsidR="00D5285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follow-up with a cardiac service </w:t>
      </w:r>
      <w:r w:rsidR="00C51BA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at </w:t>
      </w:r>
      <w:r w:rsidR="00F458E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greater than one year of </w:t>
      </w:r>
      <w:r w:rsidR="00C51BA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age</w:t>
      </w:r>
      <w:r w:rsidR="00D85C5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.</w:t>
      </w:r>
    </w:p>
    <w:p w14:paraId="5488714C" w14:textId="77777777" w:rsidR="00771A68" w:rsidRDefault="00771A68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6C0296AA" w14:textId="00B5C2FF" w:rsidR="00515CA1" w:rsidRDefault="00515CA1" w:rsidP="00CC0DAB">
      <w:pPr>
        <w:pStyle w:val="Heading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PFO</w:t>
      </w:r>
      <w:r w:rsidR="00EA53C4">
        <w:rPr>
          <w:rFonts w:eastAsia="Times New Roman"/>
          <w:lang w:eastAsia="en-AU"/>
        </w:rPr>
        <w:t>, PDA, and VALVE rules</w:t>
      </w:r>
    </w:p>
    <w:p w14:paraId="3D5AC665" w14:textId="41FF2DC9" w:rsidR="004E0976" w:rsidRDefault="00CA63A4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The DIAGNOSIS Table is used to create two files. The first file contains a</w:t>
      </w:r>
      <w:r w:rsidR="002C4E9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list of </w:t>
      </w:r>
      <w:r w:rsidR="004E09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unique </w:t>
      </w:r>
      <w:r w:rsidR="002C4E97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patient IDs </w:t>
      </w:r>
      <w:r w:rsidR="004E097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for all patients with at least one diagnosis associated with a RULE_TYPE of either PFO, PDA or VALVE. </w:t>
      </w:r>
    </w:p>
    <w:p w14:paraId="2C3AE61E" w14:textId="77777777" w:rsidR="00F415F0" w:rsidRDefault="00F415F0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796CCF8F" w14:textId="75270384" w:rsidR="00CA63A4" w:rsidRDefault="00CA63A4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The second file comprises a list of patients that have at least one diagnosis </w:t>
      </w:r>
      <w:r w:rsidR="00C5384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where </w:t>
      </w:r>
      <w:r w:rsidR="00C53840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CHAANZELIGIBILITY</w:t>
      </w:r>
      <w:r w:rsidR="00C53840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= 1. </w:t>
      </w:r>
      <w:r w:rsidR="008D35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Diagnoses where RULE_TYPE = GENE_SPECIFIC are excluded from this file because these are dealt with separately. </w:t>
      </w:r>
    </w:p>
    <w:p w14:paraId="53D0DA85" w14:textId="77777777" w:rsidR="008D3566" w:rsidRDefault="008D3566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145A510E" w14:textId="1E83E6CD" w:rsidR="008D3566" w:rsidRDefault="008D3566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We then compare these two files to </w:t>
      </w:r>
      <w:r w:rsidR="00BD01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create a new list of </w:t>
      </w:r>
      <w:r w:rsid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patients</w:t>
      </w:r>
      <w:r w:rsidR="00BD01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that have at least one diagnosis where RULE_TYPE is either PFO, PDA or VALVE, but there is no other diagnosis for which </w:t>
      </w:r>
      <w:r w:rsidR="00BD01A1" w:rsidRPr="00CC0DAB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>CHAANZELIGIBILITY</w:t>
      </w:r>
      <w:r w:rsidR="00BD01A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= 1. </w:t>
      </w:r>
      <w:r w:rsidR="00407131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 These patients are individuals that are initially considered </w:t>
      </w:r>
      <w:r w:rsidR="00545073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for inclusion in the Registry but because their </w:t>
      </w:r>
      <w:r w:rsidR="00C47B44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qualifying diagnosis is a transient circulatory feature present in many infants, their participation in the Registry can be revoked. </w:t>
      </w:r>
    </w:p>
    <w:p w14:paraId="472CA2ED" w14:textId="77777777" w:rsidR="00C47B44" w:rsidRDefault="00C47B44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p w14:paraId="72CF07FF" w14:textId="1BC45C8C" w:rsidR="00C47B44" w:rsidRDefault="00C47B44" w:rsidP="00F415F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To determine whether Patients with PFO, PDA, or VALVE diagnoses </w:t>
      </w:r>
      <w:r w:rsidR="009C3CE2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(and no other CHD diagnosis) are eligible for the Registry we consult the follow-up file mentioned above. The follow-up file contains all data after one year of age </w:t>
      </w:r>
      <w:r w:rsidR="00984F68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for all sources. If an ID is found in this follow-up list, we assume that the patient has had follow-up with the cardiac service after one year of age. </w:t>
      </w:r>
      <w:r w:rsidR="00953E66"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t xml:space="preserve">Patients who have had follow-up remain in the Registry while patients that have no evidence of follow-up after 1 year are removed from Registry participation. </w:t>
      </w:r>
    </w:p>
    <w:p w14:paraId="1CC763ED" w14:textId="029E4034" w:rsidR="003929E9" w:rsidRDefault="003929E9">
      <w:pP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  <w:br w:type="page"/>
      </w:r>
    </w:p>
    <w:p w14:paraId="10EC8F85" w14:textId="7E91F409" w:rsidR="005230EC" w:rsidRDefault="005230EC" w:rsidP="005230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lastRenderedPageBreak/>
        <w:t xml:space="preserve">Appendix 1. Associated codes for </w:t>
      </w:r>
      <w:r w:rsidR="00CA77A4"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>hereditary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  <w:t xml:space="preserve"> diseases of interest to the CHAANZ Registry. </w:t>
      </w:r>
    </w:p>
    <w:p w14:paraId="5E4AA101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AU"/>
          <w14:ligatures w14:val="none"/>
        </w:rPr>
      </w:pPr>
    </w:p>
    <w:p w14:paraId="700F8C56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AU"/>
          <w14:ligatures w14:val="none"/>
        </w:rPr>
        <w:t>Marfan’s associated codes:</w:t>
      </w:r>
    </w:p>
    <w:p w14:paraId="1F87AB71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 xml:space="preserve">ascending aorta dilatation </w:t>
      </w:r>
    </w:p>
    <w:p w14:paraId="32C8CC9E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Aortic abnormality, Ascending aorta dilation, - 09.16.09</w:t>
      </w:r>
    </w:p>
    <w:p w14:paraId="5C5E9693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Ascending aorta dilation: acquired - 10.14.40</w:t>
      </w:r>
    </w:p>
    <w:p w14:paraId="33C362B0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aortic aneurysm</w:t>
      </w:r>
    </w:p>
    <w:p w14:paraId="69ADD93E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Ascending aorta aneurysm, - 10.14.42</w:t>
      </w:r>
    </w:p>
    <w:p w14:paraId="4D742186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Descending aorta aneurysm, - 10.14.43</w:t>
      </w:r>
    </w:p>
    <w:p w14:paraId="7B36F123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Abdominal aorta aneurysm, - 10.14.44</w:t>
      </w:r>
    </w:p>
    <w:p w14:paraId="05CDB54B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- 10.14.50</w:t>
      </w:r>
    </w:p>
    <w:p w14:paraId="3FB0AF2D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dissection - 10.14.51</w:t>
      </w:r>
    </w:p>
    <w:p w14:paraId="783D1C46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Descending aorta dilation, - 09.28.16</w:t>
      </w:r>
    </w:p>
    <w:p w14:paraId="5B729BD8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mitral valve prolapse</w:t>
      </w:r>
    </w:p>
    <w:p w14:paraId="56D19565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 xml:space="preserve">Mitral valvar abnormality, Mitral valvar prolapse, - 06.02.35 </w:t>
      </w:r>
    </w:p>
    <w:p w14:paraId="415D1B0F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AU"/>
          <w14:ligatures w14:val="none"/>
        </w:rPr>
      </w:pPr>
    </w:p>
    <w:p w14:paraId="2BE3E059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AU"/>
          <w14:ligatures w14:val="none"/>
        </w:rPr>
        <w:t>William’s Syndrome a</w:t>
      </w: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0"/>
          <w:szCs w:val="20"/>
          <w:lang w:eastAsia="en-AU"/>
          <w14:ligatures w14:val="none"/>
        </w:rPr>
        <w:t xml:space="preserve">ssociated codes: </w:t>
      </w:r>
    </w:p>
    <w:p w14:paraId="60227E43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supra aortic stenosis</w:t>
      </w:r>
    </w:p>
    <w:p w14:paraId="2652B891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Aortic abnormality, Supravalvar aortic stenosis, 09.16.00</w:t>
      </w:r>
    </w:p>
    <w:p w14:paraId="4E7F5F8D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Supravalvar aortic stenosis: acquired, 10.14.77</w:t>
      </w:r>
    </w:p>
    <w:p w14:paraId="07818C01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 xml:space="preserve">pulmonary artery stenosis </w:t>
      </w:r>
    </w:p>
    <w:p w14:paraId="0FE4A56F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Pulmonary arterial abnormality, Pulmonary arterial stenosis, 09.10.01</w:t>
      </w:r>
    </w:p>
    <w:p w14:paraId="51AB4719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Pulmonary arterial abnormality, Pulmonary arterial stenosis, Peripheral pulmonary arterial stenoses or hypoplasia: at-beyond hilar bifurcation, 09.10.06</w:t>
      </w:r>
    </w:p>
    <w:p w14:paraId="32D377A1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Pulmonary arterial abnormality, Pulmonary arterial stenosis, Central pulmonary arterial stenosis or hypoplasia: proximal to hilar bifurcation, 09.10.07</w:t>
      </w:r>
    </w:p>
    <w:p w14:paraId="75A12464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Pulmonary arterial abnormality, Pulmonary arterial stenosis, Right pulmonary arterial stenosis, 09.10.25</w:t>
      </w:r>
    </w:p>
    <w:p w14:paraId="41FE066A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Pulmonary arterial abnormality, Pulmonary arterial stenosis, Left pulmonary arterial stenosis, 09.10.26</w:t>
      </w:r>
    </w:p>
    <w:p w14:paraId="4948F489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middle aortic syndrome</w:t>
      </w:r>
    </w:p>
    <w:p w14:paraId="0EDA186B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Descending-abdominal aorta hypoplasia (middle aortic syndrome), - 09.29.16</w:t>
      </w:r>
    </w:p>
    <w:p w14:paraId="5FE782E2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</w:p>
    <w:p w14:paraId="4F94F2EA" w14:textId="77777777" w:rsidR="005230EC" w:rsidRDefault="005230EC" w:rsidP="005230EC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20"/>
          <w:szCs w:val="20"/>
          <w:lang w:eastAsia="en-AU"/>
          <w14:ligatures w14:val="none"/>
        </w:rPr>
        <w:t>LD Syndrome a</w:t>
      </w:r>
      <w:r>
        <w:rPr>
          <w:rFonts w:ascii="Calibri" w:eastAsia="Times New Roman" w:hAnsi="Calibri" w:cs="Calibri"/>
          <w:b/>
          <w:bCs/>
          <w:i/>
          <w:iCs/>
          <w:color w:val="000000"/>
          <w:kern w:val="0"/>
          <w:sz w:val="20"/>
          <w:szCs w:val="20"/>
          <w:lang w:eastAsia="en-AU"/>
          <w14:ligatures w14:val="none"/>
        </w:rPr>
        <w:t>ssociated codes:</w:t>
      </w:r>
    </w:p>
    <w:p w14:paraId="2037DA8B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ascending aorta dilatation Aortic abnormality, Ascending aorta dilation, - 09.16.09</w:t>
      </w:r>
    </w:p>
    <w:p w14:paraId="19C7D0AE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Ascending aorta dilation: acquired - 10.14.40</w:t>
      </w:r>
    </w:p>
    <w:p w14:paraId="219D4FF2" w14:textId="7AACB621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 xml:space="preserve">aortic </w:t>
      </w:r>
      <w:r w:rsidR="00CA77A4"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aneurysm</w:t>
      </w:r>
      <w:bookmarkStart w:id="0" w:name="_GoBack"/>
      <w:bookmarkEnd w:id="0"/>
    </w:p>
    <w:p w14:paraId="2B10BB40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Ascending aorta aneurysm, - 10.14.42</w:t>
      </w:r>
    </w:p>
    <w:p w14:paraId="3BEC52E7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Descending aorta aneurysm, - 10.14.43</w:t>
      </w:r>
    </w:p>
    <w:p w14:paraId="74353AC9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Abdominal aorta aneurysm, - 10.14.44</w:t>
      </w:r>
    </w:p>
    <w:p w14:paraId="391D2D2D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aneurysm, - 10.14.50</w:t>
      </w:r>
    </w:p>
    <w:p w14:paraId="2F5AF070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Abnormality of aorta: acquired, Aortic dissection - 10.14.51</w:t>
      </w:r>
    </w:p>
    <w:p w14:paraId="4EC6D167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Descending aorta dilation, - 09.28.16</w:t>
      </w:r>
    </w:p>
    <w:p w14:paraId="3C5C38A8" w14:textId="77777777" w:rsidR="005230EC" w:rsidRDefault="005230EC" w:rsidP="005230EC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mitral valve prolapse</w:t>
      </w:r>
    </w:p>
    <w:p w14:paraId="38F64F83" w14:textId="77777777" w:rsidR="005230EC" w:rsidRDefault="005230EC" w:rsidP="005230EC">
      <w:pPr>
        <w:pStyle w:val="ListParagraph"/>
        <w:numPr>
          <w:ilvl w:val="1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  <w:t>Mitral valvar abnormality, Mitral valvar prolapse, - 06.02.35 (CHD = 1)</w:t>
      </w:r>
    </w:p>
    <w:p w14:paraId="26148318" w14:textId="027412D3" w:rsidR="002A661B" w:rsidRPr="002A661B" w:rsidRDefault="002A661B" w:rsidP="002A661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AU"/>
          <w14:ligatures w14:val="none"/>
        </w:rPr>
      </w:pPr>
    </w:p>
    <w:p w14:paraId="3046C887" w14:textId="77777777" w:rsidR="00B60E8D" w:rsidRPr="00B83F09" w:rsidRDefault="00B60E8D" w:rsidP="00B83F0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AU"/>
          <w14:ligatures w14:val="none"/>
        </w:rPr>
      </w:pPr>
    </w:p>
    <w:sectPr w:rsidR="00B60E8D" w:rsidRPr="00B8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C84AD" w16cex:dateUtc="2023-08-07T23:09:00Z"/>
  <w16cex:commentExtensible w16cex:durableId="287C84E3" w16cex:dateUtc="2023-08-07T23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226ED2" w16cid:durableId="287C84AD"/>
  <w16cid:commentId w16cid:paraId="58FB3A4E" w16cid:durableId="287C84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6CBC"/>
    <w:multiLevelType w:val="hybridMultilevel"/>
    <w:tmpl w:val="7C900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8614F"/>
    <w:multiLevelType w:val="hybridMultilevel"/>
    <w:tmpl w:val="B824A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26E48"/>
    <w:multiLevelType w:val="hybridMultilevel"/>
    <w:tmpl w:val="08843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1E8"/>
    <w:multiLevelType w:val="hybridMultilevel"/>
    <w:tmpl w:val="067650E8"/>
    <w:lvl w:ilvl="0" w:tplc="F790F502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034F8"/>
    <w:multiLevelType w:val="hybridMultilevel"/>
    <w:tmpl w:val="6548E086"/>
    <w:lvl w:ilvl="0" w:tplc="C26C3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09"/>
    <w:rsid w:val="00004C62"/>
    <w:rsid w:val="00005A62"/>
    <w:rsid w:val="000168C3"/>
    <w:rsid w:val="0002566B"/>
    <w:rsid w:val="00026E6A"/>
    <w:rsid w:val="000542EA"/>
    <w:rsid w:val="000737BA"/>
    <w:rsid w:val="00077191"/>
    <w:rsid w:val="00090453"/>
    <w:rsid w:val="0009461E"/>
    <w:rsid w:val="000B02DF"/>
    <w:rsid w:val="000D6198"/>
    <w:rsid w:val="000E490B"/>
    <w:rsid w:val="000F0A83"/>
    <w:rsid w:val="000F15E6"/>
    <w:rsid w:val="000F5373"/>
    <w:rsid w:val="001047B3"/>
    <w:rsid w:val="00134376"/>
    <w:rsid w:val="00142263"/>
    <w:rsid w:val="0015481C"/>
    <w:rsid w:val="00165B52"/>
    <w:rsid w:val="0017294E"/>
    <w:rsid w:val="00187C02"/>
    <w:rsid w:val="001B0197"/>
    <w:rsid w:val="001E10D7"/>
    <w:rsid w:val="001E1E91"/>
    <w:rsid w:val="001E5617"/>
    <w:rsid w:val="001E72EF"/>
    <w:rsid w:val="00201D24"/>
    <w:rsid w:val="00203E49"/>
    <w:rsid w:val="002229B5"/>
    <w:rsid w:val="00244AB0"/>
    <w:rsid w:val="0026248A"/>
    <w:rsid w:val="0026536A"/>
    <w:rsid w:val="00270E57"/>
    <w:rsid w:val="00282C7E"/>
    <w:rsid w:val="00285337"/>
    <w:rsid w:val="00286544"/>
    <w:rsid w:val="00287F18"/>
    <w:rsid w:val="0029046C"/>
    <w:rsid w:val="002956B0"/>
    <w:rsid w:val="002A661B"/>
    <w:rsid w:val="002B198B"/>
    <w:rsid w:val="002C4E97"/>
    <w:rsid w:val="002C5BC0"/>
    <w:rsid w:val="002F37A6"/>
    <w:rsid w:val="00301AAE"/>
    <w:rsid w:val="00317195"/>
    <w:rsid w:val="00346D1D"/>
    <w:rsid w:val="00360353"/>
    <w:rsid w:val="00362BA6"/>
    <w:rsid w:val="00375DD5"/>
    <w:rsid w:val="003929E9"/>
    <w:rsid w:val="003A22AE"/>
    <w:rsid w:val="003A249A"/>
    <w:rsid w:val="003B3CF4"/>
    <w:rsid w:val="003E35A1"/>
    <w:rsid w:val="003F745F"/>
    <w:rsid w:val="00401473"/>
    <w:rsid w:val="00402A84"/>
    <w:rsid w:val="0040584C"/>
    <w:rsid w:val="00407131"/>
    <w:rsid w:val="0041427B"/>
    <w:rsid w:val="00426AEB"/>
    <w:rsid w:val="0042705E"/>
    <w:rsid w:val="0043776C"/>
    <w:rsid w:val="004421DB"/>
    <w:rsid w:val="0045125F"/>
    <w:rsid w:val="00456A7A"/>
    <w:rsid w:val="00461400"/>
    <w:rsid w:val="00461BA5"/>
    <w:rsid w:val="00485617"/>
    <w:rsid w:val="004A39BD"/>
    <w:rsid w:val="004A7BE7"/>
    <w:rsid w:val="004B7AC9"/>
    <w:rsid w:val="004E0976"/>
    <w:rsid w:val="004E501E"/>
    <w:rsid w:val="0050125C"/>
    <w:rsid w:val="00501ADB"/>
    <w:rsid w:val="00502F1F"/>
    <w:rsid w:val="0050301F"/>
    <w:rsid w:val="005060E2"/>
    <w:rsid w:val="0051591A"/>
    <w:rsid w:val="00515CA1"/>
    <w:rsid w:val="005230EC"/>
    <w:rsid w:val="00545073"/>
    <w:rsid w:val="00574130"/>
    <w:rsid w:val="00583847"/>
    <w:rsid w:val="00585281"/>
    <w:rsid w:val="005C027A"/>
    <w:rsid w:val="005D6621"/>
    <w:rsid w:val="005E4E6B"/>
    <w:rsid w:val="005E7A0D"/>
    <w:rsid w:val="005F452C"/>
    <w:rsid w:val="006010EC"/>
    <w:rsid w:val="006110E3"/>
    <w:rsid w:val="006161A4"/>
    <w:rsid w:val="00616F34"/>
    <w:rsid w:val="00664F96"/>
    <w:rsid w:val="00675509"/>
    <w:rsid w:val="006954FE"/>
    <w:rsid w:val="006B36B6"/>
    <w:rsid w:val="006C22B7"/>
    <w:rsid w:val="006D7D9B"/>
    <w:rsid w:val="006E392C"/>
    <w:rsid w:val="006E641D"/>
    <w:rsid w:val="006F06C5"/>
    <w:rsid w:val="0070304B"/>
    <w:rsid w:val="00720828"/>
    <w:rsid w:val="0072471C"/>
    <w:rsid w:val="007369CC"/>
    <w:rsid w:val="00757CFD"/>
    <w:rsid w:val="00771A68"/>
    <w:rsid w:val="007B1675"/>
    <w:rsid w:val="007C24F7"/>
    <w:rsid w:val="007C3F2B"/>
    <w:rsid w:val="007C4C29"/>
    <w:rsid w:val="007D0B2E"/>
    <w:rsid w:val="007E7E5C"/>
    <w:rsid w:val="007F0571"/>
    <w:rsid w:val="007F67B9"/>
    <w:rsid w:val="007F79E2"/>
    <w:rsid w:val="008065EC"/>
    <w:rsid w:val="00811F7C"/>
    <w:rsid w:val="00834B9A"/>
    <w:rsid w:val="00841D45"/>
    <w:rsid w:val="00857280"/>
    <w:rsid w:val="00860783"/>
    <w:rsid w:val="008649CE"/>
    <w:rsid w:val="00871267"/>
    <w:rsid w:val="00871BB9"/>
    <w:rsid w:val="00876AF3"/>
    <w:rsid w:val="008B5A05"/>
    <w:rsid w:val="008C0076"/>
    <w:rsid w:val="008D3566"/>
    <w:rsid w:val="008E7639"/>
    <w:rsid w:val="00910244"/>
    <w:rsid w:val="0091676D"/>
    <w:rsid w:val="00947E73"/>
    <w:rsid w:val="00953E66"/>
    <w:rsid w:val="009576E5"/>
    <w:rsid w:val="00980A37"/>
    <w:rsid w:val="009828BA"/>
    <w:rsid w:val="00984F68"/>
    <w:rsid w:val="009A6186"/>
    <w:rsid w:val="009B0236"/>
    <w:rsid w:val="009C3CE2"/>
    <w:rsid w:val="009C636C"/>
    <w:rsid w:val="009D14A5"/>
    <w:rsid w:val="009D1C1B"/>
    <w:rsid w:val="009E4147"/>
    <w:rsid w:val="009F7430"/>
    <w:rsid w:val="00A13E43"/>
    <w:rsid w:val="00A17076"/>
    <w:rsid w:val="00A17B04"/>
    <w:rsid w:val="00A208E0"/>
    <w:rsid w:val="00A228D6"/>
    <w:rsid w:val="00A236F0"/>
    <w:rsid w:val="00A253E3"/>
    <w:rsid w:val="00A368D3"/>
    <w:rsid w:val="00A5174A"/>
    <w:rsid w:val="00A54A0E"/>
    <w:rsid w:val="00A56BEF"/>
    <w:rsid w:val="00A6696B"/>
    <w:rsid w:val="00A66E48"/>
    <w:rsid w:val="00A70E94"/>
    <w:rsid w:val="00AA3EC1"/>
    <w:rsid w:val="00AD365C"/>
    <w:rsid w:val="00B1615C"/>
    <w:rsid w:val="00B3671F"/>
    <w:rsid w:val="00B37202"/>
    <w:rsid w:val="00B57D82"/>
    <w:rsid w:val="00B60E8D"/>
    <w:rsid w:val="00B83F09"/>
    <w:rsid w:val="00B92D07"/>
    <w:rsid w:val="00BA3124"/>
    <w:rsid w:val="00BB4734"/>
    <w:rsid w:val="00BB7944"/>
    <w:rsid w:val="00BC4266"/>
    <w:rsid w:val="00BD01A1"/>
    <w:rsid w:val="00BE1DC6"/>
    <w:rsid w:val="00BF5E86"/>
    <w:rsid w:val="00BF64AB"/>
    <w:rsid w:val="00C20588"/>
    <w:rsid w:val="00C354C1"/>
    <w:rsid w:val="00C41469"/>
    <w:rsid w:val="00C426F9"/>
    <w:rsid w:val="00C47B44"/>
    <w:rsid w:val="00C51BA6"/>
    <w:rsid w:val="00C53840"/>
    <w:rsid w:val="00C8254A"/>
    <w:rsid w:val="00C87F29"/>
    <w:rsid w:val="00C9622D"/>
    <w:rsid w:val="00CA3518"/>
    <w:rsid w:val="00CA3F6E"/>
    <w:rsid w:val="00CA63A4"/>
    <w:rsid w:val="00CA77A4"/>
    <w:rsid w:val="00CB6C4C"/>
    <w:rsid w:val="00CB6C85"/>
    <w:rsid w:val="00CC0DAB"/>
    <w:rsid w:val="00CC11F6"/>
    <w:rsid w:val="00CD69C1"/>
    <w:rsid w:val="00CD6D3F"/>
    <w:rsid w:val="00CE6651"/>
    <w:rsid w:val="00CE7F45"/>
    <w:rsid w:val="00D47DC6"/>
    <w:rsid w:val="00D52853"/>
    <w:rsid w:val="00D54F2E"/>
    <w:rsid w:val="00D570BC"/>
    <w:rsid w:val="00D77B89"/>
    <w:rsid w:val="00D82B70"/>
    <w:rsid w:val="00D85C54"/>
    <w:rsid w:val="00DA0349"/>
    <w:rsid w:val="00DD0D14"/>
    <w:rsid w:val="00DD0F15"/>
    <w:rsid w:val="00DD5E51"/>
    <w:rsid w:val="00DE12EE"/>
    <w:rsid w:val="00DE512F"/>
    <w:rsid w:val="00DE57D0"/>
    <w:rsid w:val="00DF70DC"/>
    <w:rsid w:val="00E03CED"/>
    <w:rsid w:val="00E22249"/>
    <w:rsid w:val="00E316AD"/>
    <w:rsid w:val="00EA53C4"/>
    <w:rsid w:val="00EB3515"/>
    <w:rsid w:val="00EB3814"/>
    <w:rsid w:val="00EB3C74"/>
    <w:rsid w:val="00EB5B67"/>
    <w:rsid w:val="00EC1D68"/>
    <w:rsid w:val="00EE0577"/>
    <w:rsid w:val="00EE4185"/>
    <w:rsid w:val="00F03697"/>
    <w:rsid w:val="00F324CC"/>
    <w:rsid w:val="00F32F41"/>
    <w:rsid w:val="00F415F0"/>
    <w:rsid w:val="00F43AE6"/>
    <w:rsid w:val="00F458E0"/>
    <w:rsid w:val="00F920FD"/>
    <w:rsid w:val="00FB3D0C"/>
    <w:rsid w:val="00FB5CF4"/>
    <w:rsid w:val="00FC498B"/>
    <w:rsid w:val="00FC5398"/>
    <w:rsid w:val="00FC5D76"/>
    <w:rsid w:val="00FC731D"/>
    <w:rsid w:val="00FD4A47"/>
    <w:rsid w:val="00FF0F91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F323"/>
  <w15:chartTrackingRefBased/>
  <w15:docId w15:val="{0617AECC-BDC0-4CD5-AB63-AC25C349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0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0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6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6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0F15E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C0D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D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D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D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D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844F86D12E404198AFFB63875DCCD4" ma:contentTypeVersion="19" ma:contentTypeDescription="Create a new document." ma:contentTypeScope="" ma:versionID="23a1a0b18e07ff26b5ced53ab756d952">
  <xsd:schema xmlns:xsd="http://www.w3.org/2001/XMLSchema" xmlns:xs="http://www.w3.org/2001/XMLSchema" xmlns:p="http://schemas.microsoft.com/office/2006/metadata/properties" xmlns:ns1="http://schemas.microsoft.com/sharepoint/v3" xmlns:ns2="f4adf844-dfbf-47e3-a22b-4b187da06d22" xmlns:ns3="2410fab6-de54-4a1d-ae8b-d842bcea4188" targetNamespace="http://schemas.microsoft.com/office/2006/metadata/properties" ma:root="true" ma:fieldsID="58764eb9578c47ff32e8f50c4ea38cec" ns1:_="" ns2:_="" ns3:_="">
    <xsd:import namespace="http://schemas.microsoft.com/sharepoint/v3"/>
    <xsd:import namespace="f4adf844-dfbf-47e3-a22b-4b187da06d22"/>
    <xsd:import namespace="2410fab6-de54-4a1d-ae8b-d842bcea41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df844-dfbf-47e3-a22b-4b187da06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c88e851-db04-4093-865d-cd089c91e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0fab6-de54-4a1d-ae8b-d842bcea418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6158eb1-7ecd-4d6c-a926-bf43d5c9c793}" ma:internalName="TaxCatchAll" ma:showField="CatchAllData" ma:web="2410fab6-de54-4a1d-ae8b-d842bcea41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10fab6-de54-4a1d-ae8b-d842bcea4188" xsi:nil="true"/>
    <_ip_UnifiedCompliancePolicyUIAction xmlns="http://schemas.microsoft.com/sharepoint/v3" xsi:nil="true"/>
    <lcf76f155ced4ddcb4097134ff3c332f xmlns="f4adf844-dfbf-47e3-a22b-4b187da06d22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041B6-5848-407C-A2BA-9A5A0B80C1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A52FBA-240C-4774-8B4C-E4E4EA32E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4adf844-dfbf-47e3-a22b-4b187da06d22"/>
    <ds:schemaRef ds:uri="2410fab6-de54-4a1d-ae8b-d842bcea41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A336A0-6BF6-4CC1-A17B-B7476798E24D}">
  <ds:schemaRefs>
    <ds:schemaRef ds:uri="http://schemas.microsoft.com/sharepoint/v3"/>
    <ds:schemaRef ds:uri="http://purl.org/dc/terms/"/>
    <ds:schemaRef ds:uri="2410fab6-de54-4a1d-ae8b-d842bcea418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4adf844-dfbf-47e3-a22b-4b187da06d2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5AF0B31-30E4-4BC1-B53E-163EA23E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1993</Words>
  <Characters>11363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SLHD</Company>
  <LinksUpToDate>false</LinksUpToDate>
  <CharactersWithSpaces>13330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Nicholson</dc:creator>
  <cp:keywords/>
  <dc:description/>
  <cp:lastModifiedBy>Calum Nicholson (Sydney LHD)</cp:lastModifiedBy>
  <cp:revision>3</cp:revision>
  <cp:lastPrinted>2023-07-18T01:04:00Z</cp:lastPrinted>
  <dcterms:created xsi:type="dcterms:W3CDTF">2023-10-24T04:44:00Z</dcterms:created>
  <dcterms:modified xsi:type="dcterms:W3CDTF">2023-10-24T04:46:00Z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0x0101009D844F86D12E404198AFFB63875DCCD4</vt:lpwstr>
  </property>
  <property fmtid="{D5CDD505-2E9C-101B-9397-08002B2CF9AE}" pid="3" name="MediaServiceImageTags">
    <vt:lpwstr/>
  </property>
</Properties>
</file>